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5,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160020</wp:posOffset>
            </wp:positionV>
            <wp:extent cx="246888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5, 2026, Priority Technology Holdings, Inc. ("Priority Commerce") issued a press release announcing its financial results for the quarter ended September 30, 2026. A copy of that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99.1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Press Release of Priority Technology Holdings, Inc. dated November 5, 2026</w:t>
            </w:r>
          </w:p>
        </w:tc>
      </w:tr>
      <w:tr>
        <w:trPr>
          <w:trHeight w:val="234"/>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Timothy M.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Timothy M. O'Leary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668655</wp:posOffset>
            </wp:positionV>
            <wp:extent cx="2468880" cy="942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888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Priority Technology Holdings, Inc. Reports Third Quarter Financial Results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Third Quarter Performance Driven by Strength of Unified Commerce Platform</w:t>
      </w:r>
    </w:p>
    <w:p>
      <w:pPr>
        <w:spacing w:after="0" w:line="24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ALPHARETTA, GA - November 5, 2026 -- Priority Technology Holdings, Inc. (NASDAQ: PRTH) ("Priority Commerce" or the "Company"), delivers payments and banking solutions that power connected commerce. Through a unified platform of payables, merchant services, and banking and treasury, Priority Commerce helps businesses manage money more effectively and unlock growth. The Priority Commerce Engine accelerates cash flow, improves working capital, reduces costs, and creates new revenue opportunities. Today, the Company has announced its third quarter 2026 financial results including strong year-over-year revenue growth.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Highlights of Consolidated Results and Additional Information</w:t>
      </w:r>
      <w:r>
        <w:rPr>
          <w:rFonts w:ascii="Times New Roman" w:cs="Times New Roman" w:eastAsia="Times New Roman" w:hAnsi="Times New Roman"/>
          <w:sz w:val="25"/>
          <w:szCs w:val="25"/>
          <w:color w:val="auto"/>
          <w:vertAlign w:val="superscript"/>
        </w:rPr>
        <w:t>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 Quarter 2026 Financial Highlights compared with Third Quarter 2025</w:t>
      </w:r>
    </w:p>
    <w:p>
      <w:pPr>
        <w:spacing w:after="0" w:line="274"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of $268.6 million increased 11.3% from $241.4 million, including organic growth of 9.2%</w:t>
      </w:r>
    </w:p>
    <w:p>
      <w:pPr>
        <w:spacing w:after="0" w:line="4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of $97.0 million increased 8.1% from $89.8 million</w:t>
      </w:r>
    </w:p>
    <w:p>
      <w:pPr>
        <w:spacing w:after="0" w:line="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gross profit (a non-GAAP measure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of $102.7 million increased 8.4% from $94.8 million</w:t>
      </w:r>
    </w:p>
    <w:p>
      <w:pPr>
        <w:spacing w:after="0" w:line="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margin of 36.1% decreased by nearly 110 basis points from 37.2%</w:t>
      </w:r>
    </w:p>
    <w:p>
      <w:pPr>
        <w:spacing w:after="0" w:line="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gross profit margin (a non-GAAP measure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of 38.2% decreased by nearly 100 basis points from 39.2%</w:t>
      </w:r>
    </w:p>
    <w:p>
      <w:pPr>
        <w:spacing w:after="0" w:line="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$35.9 million decreased 5.0% from $37.8 million</w:t>
      </w:r>
    </w:p>
    <w:p>
      <w:pPr>
        <w:spacing w:after="0" w:line="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$12.2 million decreased 55.7% from $27.6 million</w:t>
      </w:r>
    </w:p>
    <w:p>
      <w:pPr>
        <w:spacing w:after="0" w:line="4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of $60.9 million increased 5.5% from $57.8 million</w:t>
      </w:r>
    </w:p>
    <w:p>
      <w:pPr>
        <w:spacing w:after="0" w:line="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EPS of $0.14 decreased by $0.20, or by 58.8%, from $0.34</w:t>
      </w:r>
    </w:p>
    <w:p>
      <w:pPr>
        <w:spacing w:after="0" w:line="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Diluted EPS (a non-GAAP measure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of $0.30 increased by $0.02, or 7.1%, from $0.28</w:t>
      </w:r>
    </w:p>
    <w:p>
      <w:pPr>
        <w:spacing w:after="0" w:line="131"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20"/>
          <w:szCs w:val="20"/>
          <w:i w:val="1"/>
          <w:iCs w:val="1"/>
          <w:color w:val="auto"/>
        </w:rPr>
        <w:t>Certain amounts/percentages may not compute accurately due to rounding.</w:t>
      </w:r>
    </w:p>
    <w:p>
      <w:pPr>
        <w:spacing w:after="0" w:line="33" w:lineRule="exact"/>
        <w:rPr>
          <w:rFonts w:ascii="Times New Roman" w:cs="Times New Roman" w:eastAsia="Times New Roman" w:hAnsi="Times New Roman"/>
          <w:sz w:val="26"/>
          <w:szCs w:val="26"/>
          <w:i w:val="1"/>
          <w:iCs w:val="1"/>
          <w:color w:val="auto"/>
          <w:vertAlign w:val="superscript"/>
        </w:rPr>
      </w:pPr>
    </w:p>
    <w:p>
      <w:pPr>
        <w:jc w:val="both"/>
        <w:ind w:left="660" w:hanging="328"/>
        <w:spacing w:after="0" w:line="243" w:lineRule="auto"/>
        <w:tabs>
          <w:tab w:leader="none" w:pos="648" w:val="left"/>
        </w:tabs>
        <w:numPr>
          <w:ilvl w:val="0"/>
          <w:numId w:val="3"/>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20"/>
          <w:szCs w:val="20"/>
          <w:i w:val="1"/>
          <w:iCs w:val="1"/>
          <w:color w:val="auto"/>
        </w:rPr>
        <w:t>See "Non-GAAP Financial Measures" and the reconciliations of Adjusted Gross Profit (non-GAAP), Adjusted Gross Profit Margin (non-GAAP), Adjusted EBITDA (non-GAAP), and Adjusted EPS- diluted (non-GAAP) to their most comparable GAAP measures provided within this document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A0A0A"/>
        </w:rPr>
        <w:t>Announced Go-Private Transaction</w:t>
      </w:r>
    </w:p>
    <w:p>
      <w:pPr>
        <w:spacing w:after="0" w:line="260"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20"/>
          <w:szCs w:val="20"/>
          <w:color w:val="auto"/>
        </w:rPr>
        <w:t>As previously announced on September 21, 2026, Priority Commerce entered into an Agreement and Plan of Merger (the “Merger Agreement”) under which certain affiliates of WD Capital Partners Parent Inc. will acquire the outstanding common stock of Priority Commerce for $8.05 per share in cash and the Company will become privately held (the "Transaction"). The Company expects to complete the Transaction in the first half of 2027, subject to fulfillment of customary closing conditions, including approval of Priority Commerce stockholders and receipt of required regulatory approvals.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A0A0A"/>
        </w:rPr>
        <w:t>Business Outlook and Earnings Conference Call</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light of the pending Transaction, Priority Commerce will not be providing forward-looking guidance or updates to previously issued guidance and will not host an earnings conference call or webcast for its third quarter fiscal 2026 results and does not expect to do so for any future quarters. Earnings materials are publicly available on the Investor Relations page of Priority Commerce's website at ir.prioritycommerce.com.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A0A0A"/>
        </w:rPr>
        <w:t>Non-GAAP Financial Measures</w:t>
      </w:r>
    </w:p>
    <w:p>
      <w:pPr>
        <w:spacing w:after="0" w:line="2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5" w:right="339" w:bottom="1440" w:gutter="0" w:footer="0" w:header="0"/>
        </w:sectPr>
      </w:pPr>
    </w:p>
    <w:bookmarkStart w:id="5" w:name="page6"/>
    <w:bookmarkEnd w:id="5"/>
    <w:p>
      <w:pPr>
        <w:ind w:left="10160"/>
        <w:spacing w:after="0"/>
        <w:rPr>
          <w:sz w:val="20"/>
          <w:szCs w:val="20"/>
          <w:color w:val="auto"/>
        </w:rPr>
      </w:pPr>
      <w:r>
        <w:rPr>
          <w:rFonts w:ascii="Times New Roman" w:cs="Times New Roman" w:eastAsia="Times New Roman" w:hAnsi="Times New Roman"/>
          <w:sz w:val="17"/>
          <w:szCs w:val="17"/>
          <w:color w:val="auto"/>
        </w:rPr>
        <w:t>EXHIBIT 99.1</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Gross Profit and Adjusted Gross Profit Margin</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Revenues</w:t>
      </w:r>
    </w:p>
    <w:p>
      <w:pPr>
        <w:spacing w:after="0" w:line="28"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20"/>
          <w:szCs w:val="20"/>
          <w:color w:val="auto"/>
        </w:rPr>
        <w:t>Cost of revenue (excluding depreciation and amortization)</w:t>
      </w:r>
    </w:p>
    <w:p>
      <w:pPr>
        <w:spacing w:after="0" w:line="26" w:lineRule="exact"/>
        <w:rPr>
          <w:sz w:val="20"/>
          <w:szCs w:val="20"/>
          <w:color w:val="auto"/>
        </w:rPr>
      </w:pPr>
    </w:p>
    <w:p>
      <w:pPr>
        <w:ind w:left="20" w:right="1240"/>
        <w:spacing w:after="0" w:line="297" w:lineRule="auto"/>
        <w:rPr>
          <w:sz w:val="20"/>
          <w:szCs w:val="20"/>
          <w:color w:val="auto"/>
        </w:rPr>
      </w:pPr>
      <w:r>
        <w:rPr>
          <w:rFonts w:ascii="Times New Roman" w:cs="Times New Roman" w:eastAsia="Times New Roman" w:hAnsi="Times New Roman"/>
          <w:sz w:val="19"/>
          <w:szCs w:val="19"/>
          <w:color w:val="auto"/>
        </w:rPr>
        <w:t>Adjusted gross profit Adjusted gross profit margin</w:t>
      </w:r>
    </w:p>
    <w:p>
      <w:pPr>
        <w:spacing w:after="0" w:line="1" w:lineRule="exact"/>
        <w:rPr>
          <w:sz w:val="20"/>
          <w:szCs w:val="20"/>
          <w:color w:val="auto"/>
        </w:rPr>
      </w:pPr>
    </w:p>
    <w:p>
      <w:pPr>
        <w:ind w:left="20" w:right="220"/>
        <w:spacing w:after="0" w:line="239" w:lineRule="auto"/>
        <w:rPr>
          <w:sz w:val="20"/>
          <w:szCs w:val="20"/>
          <w:color w:val="auto"/>
        </w:rPr>
      </w:pPr>
      <w:r>
        <w:rPr>
          <w:rFonts w:ascii="Times New Roman" w:cs="Times New Roman" w:eastAsia="Times New Roman" w:hAnsi="Times New Roman"/>
          <w:sz w:val="20"/>
          <w:szCs w:val="20"/>
          <w:color w:val="auto"/>
        </w:rPr>
        <w:t>Depreciation and amortization of revenue generating assets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Gross profit</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Gross profit margin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EBITDA and 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180" w:type="dxa"/>
            <w:vAlign w:val="bottom"/>
          </w:tcPr>
          <w:p>
            <w:pPr>
              <w:spacing w:after="0"/>
              <w:rPr>
                <w:sz w:val="23"/>
                <w:szCs w:val="23"/>
                <w:color w:val="auto"/>
              </w:rPr>
            </w:pPr>
          </w:p>
        </w:tc>
        <w:tc>
          <w:tcPr>
            <w:tcW w:w="346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color w:val="auto"/>
              </w:rPr>
              <w:t>Three Months Ended September 30,</w:t>
            </w:r>
          </w:p>
        </w:tc>
        <w:tc>
          <w:tcPr>
            <w:tcW w:w="200" w:type="dxa"/>
            <w:vAlign w:val="bottom"/>
          </w:tcPr>
          <w:p>
            <w:pPr>
              <w:spacing w:after="0"/>
              <w:rPr>
                <w:sz w:val="23"/>
                <w:szCs w:val="23"/>
                <w:color w:val="auto"/>
              </w:rPr>
            </w:pPr>
          </w:p>
        </w:tc>
        <w:tc>
          <w:tcPr>
            <w:tcW w:w="3340" w:type="dxa"/>
            <w:vAlign w:val="bottom"/>
            <w:gridSpan w:val="4"/>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Nine Months Ended September 30,</w:t>
            </w:r>
          </w:p>
        </w:tc>
      </w:tr>
      <w:tr>
        <w:trPr>
          <w:trHeight w:val="254"/>
        </w:trPr>
        <w:tc>
          <w:tcPr>
            <w:tcW w:w="1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52"/>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268,623</w:t>
            </w:r>
          </w:p>
        </w:tc>
        <w:tc>
          <w:tcPr>
            <w:tcW w:w="100" w:type="dxa"/>
            <w:vAlign w:val="bottom"/>
          </w:tcPr>
          <w:p>
            <w:pPr>
              <w:spacing w:after="0"/>
              <w:rPr>
                <w:sz w:val="21"/>
                <w:szCs w:val="21"/>
                <w:color w:val="auto"/>
              </w:rPr>
            </w:pP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241,439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780,437</w:t>
            </w:r>
          </w:p>
        </w:tc>
        <w:tc>
          <w:tcPr>
            <w:tcW w:w="100" w:type="dxa"/>
            <w:vAlign w:val="bottom"/>
          </w:tcPr>
          <w:p>
            <w:pPr>
              <w:spacing w:after="0"/>
              <w:rPr>
                <w:sz w:val="21"/>
                <w:szCs w:val="21"/>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705,881</w:t>
            </w:r>
          </w:p>
        </w:tc>
      </w:tr>
      <w:tr>
        <w:trPr>
          <w:trHeight w:val="440"/>
        </w:trPr>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(165,908)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(146,681)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(479,053)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(431,433)</w:t>
            </w:r>
          </w:p>
        </w:tc>
      </w:tr>
      <w:tr>
        <w:trPr>
          <w:trHeight w:val="254"/>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102,715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94,758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301,384</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274,448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2"/>
        </w:trPr>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38.9 %</w:t>
            </w:r>
          </w:p>
        </w:tc>
      </w:tr>
      <w:tr>
        <w:trPr>
          <w:trHeight w:val="440"/>
        </w:trPr>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(5,715)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(4,985)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(16,458)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(14,581)</w:t>
            </w:r>
          </w:p>
        </w:tc>
      </w:tr>
      <w:tr>
        <w:trPr>
          <w:trHeight w:val="254"/>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97,000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89,773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284,926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259,867</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2"/>
        </w:trPr>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36.8 %</w:t>
            </w:r>
          </w:p>
        </w:tc>
      </w:tr>
    </w:tbl>
    <w:p>
      <w:pPr>
        <w:spacing w:after="0" w:line="981" w:lineRule="exact"/>
        <w:rPr>
          <w:sz w:val="20"/>
          <w:szCs w:val="20"/>
          <w:color w:val="auto"/>
        </w:rPr>
      </w:pPr>
    </w:p>
    <w:p>
      <w:pPr>
        <w:sectPr>
          <w:pgSz w:w="11900" w:h="16838" w:orient="portrait"/>
          <w:cols w:equalWidth="0" w:num="2">
            <w:col w:w="3540" w:space="500"/>
            <w:col w:w="7200"/>
          </w:cols>
          <w:pgMar w:left="320" w:top="135" w:right="339" w:bottom="1440" w:gutter="0" w:footer="0" w:header="0"/>
          <w:type w:val="continuous"/>
        </w:sectPr>
      </w:pPr>
    </w:p>
    <w:p>
      <w:pPr>
        <w:spacing w:after="0" w:line="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EBITDA and adjusted EBITDA are performance measures. EBITDA is earnings before interest, income tax,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5"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reconciliation of adjusted EBITDA to its most comparable GAAP measure is provided below:</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43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Three Months Ended September 30,</w:t>
            </w:r>
          </w:p>
        </w:tc>
        <w:tc>
          <w:tcPr>
            <w:tcW w:w="338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Nine Months Ended September 30,</w:t>
            </w:r>
          </w:p>
        </w:tc>
      </w:tr>
      <w:tr>
        <w:trPr>
          <w:trHeight w:val="254"/>
        </w:trPr>
        <w:tc>
          <w:tcPr>
            <w:tcW w:w="4340" w:type="dxa"/>
            <w:vAlign w:val="bottom"/>
          </w:tcPr>
          <w:p>
            <w:pPr>
              <w:spacing w:after="0"/>
              <w:rPr>
                <w:sz w:val="22"/>
                <w:szCs w:val="22"/>
                <w:color w:val="auto"/>
              </w:rPr>
            </w:pPr>
          </w:p>
        </w:tc>
        <w:tc>
          <w:tcPr>
            <w:tcW w:w="1700" w:type="dxa"/>
            <w:vAlign w:val="bottom"/>
            <w:tcBorders>
              <w:top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68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2"/>
                <w:szCs w:val="22"/>
                <w:color w:val="auto"/>
              </w:rPr>
            </w:pPr>
          </w:p>
        </w:tc>
        <w:tc>
          <w:tcPr>
            <w:tcW w:w="1700" w:type="dxa"/>
            <w:vAlign w:val="bottom"/>
            <w:tcBorders>
              <w:top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68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r>
    </w:tbl>
    <w:p>
      <w:pPr>
        <w:spacing w:after="0" w:line="1" w:lineRule="exact"/>
        <w:rPr>
          <w:sz w:val="20"/>
          <w:szCs w:val="20"/>
          <w:color w:val="auto"/>
        </w:rPr>
      </w:pPr>
    </w:p>
    <w:p>
      <w:pPr>
        <w:sectPr>
          <w:pgSz w:w="11900" w:h="16838" w:orient="portrait"/>
          <w:cols w:equalWidth="0" w:num="1">
            <w:col w:w="11240"/>
          </w:cols>
          <w:pgMar w:left="320" w:top="135" w:right="339" w:bottom="1440" w:gutter="0" w:footer="0" w:header="0"/>
        </w:sectPr>
      </w:pPr>
    </w:p>
    <w:tbl>
      <w:tblPr>
        <w:tblLayout w:type="fixed"/>
        <w:tblInd w:w="2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58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12,223</w:t>
            </w:r>
          </w:p>
        </w:tc>
      </w:tr>
      <w:tr>
        <w:trPr>
          <w:trHeight w:val="257"/>
        </w:trPr>
        <w:tc>
          <w:tcPr>
            <w:tcW w:w="4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expense</w:t>
            </w:r>
          </w:p>
        </w:tc>
        <w:tc>
          <w:tcPr>
            <w:tcW w:w="5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21,190</w:t>
            </w:r>
          </w:p>
        </w:tc>
      </w:tr>
      <w:tr>
        <w:trPr>
          <w:trHeight w:val="257"/>
        </w:trPr>
        <w:tc>
          <w:tcPr>
            <w:tcW w:w="4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5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4,371</w:t>
            </w:r>
          </w:p>
        </w:tc>
      </w:tr>
      <w:tr>
        <w:trPr>
          <w:trHeight w:val="259"/>
        </w:trPr>
        <w:tc>
          <w:tcPr>
            <w:tcW w:w="4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18,231</w:t>
            </w:r>
          </w:p>
        </w:tc>
      </w:tr>
      <w:tr>
        <w:trPr>
          <w:trHeight w:val="247"/>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EBITDA</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56,015</w:t>
            </w:r>
          </w:p>
        </w:tc>
      </w:tr>
      <w:tr>
        <w:trPr>
          <w:trHeight w:val="257"/>
        </w:trPr>
        <w:tc>
          <w:tcPr>
            <w:tcW w:w="4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Debt modification and extinguishment expenses</w:t>
            </w:r>
          </w:p>
        </w:tc>
        <w:tc>
          <w:tcPr>
            <w:tcW w:w="5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Selling, general and administrative (non-recurring)</w:t>
            </w:r>
          </w:p>
        </w:tc>
        <w:tc>
          <w:tcPr>
            <w:tcW w:w="5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2,905</w:t>
            </w:r>
          </w:p>
        </w:tc>
      </w:tr>
      <w:tr>
        <w:trPr>
          <w:trHeight w:val="257"/>
        </w:trPr>
        <w:tc>
          <w:tcPr>
            <w:tcW w:w="4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Non-cash stock-based compensation</w:t>
            </w:r>
          </w:p>
        </w:tc>
        <w:tc>
          <w:tcPr>
            <w:tcW w:w="5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w:t>
            </w:r>
          </w:p>
        </w:tc>
      </w:tr>
      <w:tr>
        <w:trPr>
          <w:trHeight w:val="262"/>
        </w:trPr>
        <w:tc>
          <w:tcPr>
            <w:tcW w:w="434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Bargain purchase adjustment/(gain) (non-recurring)</w:t>
            </w: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w:t>
            </w:r>
          </w:p>
        </w:tc>
      </w:tr>
      <w:tr>
        <w:trPr>
          <w:trHeight w:val="254"/>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5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60,926</w:t>
            </w:r>
          </w:p>
        </w:tc>
      </w:tr>
      <w:tr>
        <w:trPr>
          <w:trHeight w:val="21"/>
        </w:trPr>
        <w:tc>
          <w:tcPr>
            <w:tcW w:w="4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27,588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31,846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46,735</w:t>
            </w:r>
          </w:p>
        </w:tc>
      </w:tr>
      <w:tr>
        <w:trPr>
          <w:trHeight w:val="257"/>
        </w:trPr>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22,463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63,257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68,693</w:t>
            </w:r>
          </w:p>
        </w:tc>
      </w:tr>
      <w:tr>
        <w:trPr>
          <w:trHeight w:val="257"/>
        </w:trPr>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(20,201)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(13,528)</w:t>
            </w:r>
          </w:p>
        </w:tc>
      </w:tr>
      <w:tr>
        <w:trPr>
          <w:trHeight w:val="262"/>
        </w:trPr>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15,122</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56,739</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42,992</w:t>
            </w:r>
          </w:p>
        </w:tc>
      </w:tr>
      <w:tr>
        <w:trPr>
          <w:trHeight w:val="244"/>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144,892</w:t>
            </w:r>
          </w:p>
        </w:tc>
      </w:tr>
      <w:tr>
        <w:trPr>
          <w:trHeight w:val="257"/>
        </w:trPr>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12,514</w:t>
            </w:r>
          </w:p>
        </w:tc>
      </w:tr>
      <w:tr>
        <w:trPr>
          <w:trHeight w:val="257"/>
        </w:trPr>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4,085</w:t>
            </w:r>
          </w:p>
        </w:tc>
      </w:tr>
      <w:tr>
        <w:trPr>
          <w:trHeight w:val="257"/>
        </w:trPr>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7,119</w:t>
            </w:r>
          </w:p>
        </w:tc>
      </w:tr>
      <w:tr>
        <w:trPr>
          <w:trHeight w:val="262"/>
        </w:trPr>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(3,507)</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(3,507)</w:t>
            </w:r>
          </w:p>
        </w:tc>
      </w:tr>
      <w:tr>
        <w:trPr>
          <w:trHeight w:val="254"/>
        </w:trPr>
        <w:tc>
          <w:tcPr>
            <w:tcW w:w="5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57,759</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178,415</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165,103</w:t>
            </w: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00" w:space="100"/>
            <w:col w:w="5140"/>
          </w:cols>
          <w:pgMar w:left="320" w:top="135" w:right="339" w:bottom="1440" w:gutter="0" w:footer="0" w:header="0"/>
          <w:type w:val="continuous"/>
        </w:sectPr>
      </w:pPr>
    </w:p>
    <w:p>
      <w:pPr>
        <w:spacing w:after="0" w:line="385" w:lineRule="exact"/>
        <w:rPr>
          <w:sz w:val="20"/>
          <w:szCs w:val="20"/>
          <w:color w:val="auto"/>
        </w:rPr>
      </w:pPr>
    </w:p>
    <w:p>
      <w:pPr>
        <w:ind w:right="220"/>
        <w:spacing w:after="0" w:line="311" w:lineRule="auto"/>
        <w:rPr>
          <w:sz w:val="20"/>
          <w:szCs w:val="20"/>
          <w:color w:val="auto"/>
        </w:rPr>
      </w:pPr>
      <w:r>
        <w:rPr>
          <w:rFonts w:ascii="Times New Roman" w:cs="Times New Roman" w:eastAsia="Times New Roman" w:hAnsi="Times New Roman"/>
          <w:sz w:val="20"/>
          <w:szCs w:val="20"/>
          <w:color w:val="auto"/>
        </w:rPr>
        <w:t>Further detail of certain of these adjustments, and where these items are recorded in our unaudited consolidated statements of operations, is provided below:</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43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40" w:type="dxa"/>
            <w:vAlign w:val="bottom"/>
          </w:tcPr>
          <w:p>
            <w:pPr>
              <w:spacing w:after="0"/>
              <w:rPr>
                <w:sz w:val="23"/>
                <w:szCs w:val="23"/>
                <w:color w:val="auto"/>
              </w:rPr>
            </w:pPr>
          </w:p>
        </w:tc>
        <w:tc>
          <w:tcPr>
            <w:tcW w:w="334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Three Months Ended September 30,</w:t>
            </w:r>
          </w:p>
        </w:tc>
        <w:tc>
          <w:tcPr>
            <w:tcW w:w="160" w:type="dxa"/>
            <w:vAlign w:val="bottom"/>
          </w:tcPr>
          <w:p>
            <w:pPr>
              <w:spacing w:after="0"/>
              <w:rPr>
                <w:sz w:val="23"/>
                <w:szCs w:val="23"/>
                <w:color w:val="auto"/>
              </w:rPr>
            </w:pPr>
          </w:p>
        </w:tc>
        <w:tc>
          <w:tcPr>
            <w:tcW w:w="3220" w:type="dxa"/>
            <w:vAlign w:val="bottom"/>
            <w:gridSpan w:val="4"/>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w w:val="99"/>
              </w:rPr>
              <w:t>Nine Months Ended September 30,</w:t>
            </w:r>
          </w:p>
        </w:tc>
        <w:tc>
          <w:tcPr>
            <w:tcW w:w="0" w:type="dxa"/>
            <w:vAlign w:val="bottom"/>
          </w:tcPr>
          <w:p>
            <w:pPr>
              <w:spacing w:after="0"/>
              <w:rPr>
                <w:sz w:val="1"/>
                <w:szCs w:val="1"/>
                <w:color w:val="auto"/>
              </w:rPr>
            </w:pPr>
          </w:p>
        </w:tc>
      </w:tr>
      <w:tr>
        <w:trPr>
          <w:trHeight w:val="254"/>
        </w:trPr>
        <w:tc>
          <w:tcPr>
            <w:tcW w:w="4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 (non-</w:t>
            </w:r>
          </w:p>
        </w:tc>
        <w:tc>
          <w:tcPr>
            <w:tcW w:w="14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173"/>
        </w:trPr>
        <w:tc>
          <w:tcPr>
            <w:tcW w:w="4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recurring):</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40" w:type="dxa"/>
            <w:vAlign w:val="bottom"/>
          </w:tcPr>
          <w:p>
            <w:pPr>
              <w:ind w:left="220"/>
              <w:spacing w:after="0" w:line="257" w:lineRule="exact"/>
              <w:rPr>
                <w:sz w:val="20"/>
                <w:szCs w:val="20"/>
                <w:color w:val="auto"/>
              </w:rPr>
            </w:pPr>
            <w:r>
              <w:rPr>
                <w:rFonts w:ascii="Times New Roman" w:cs="Times New Roman" w:eastAsia="Times New Roman" w:hAnsi="Times New Roman"/>
                <w:sz w:val="20"/>
                <w:szCs w:val="20"/>
                <w:color w:val="auto"/>
              </w:rPr>
              <w:t>Legal fees</w:t>
            </w:r>
            <w:r>
              <w:rPr>
                <w:rFonts w:ascii="Times New Roman" w:cs="Times New Roman" w:eastAsia="Times New Roman" w:hAnsi="Times New Roman"/>
                <w:sz w:val="25"/>
                <w:szCs w:val="25"/>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w:t>
            </w:r>
          </w:p>
        </w:tc>
        <w:tc>
          <w:tcPr>
            <w:tcW w:w="10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w:t>
            </w:r>
          </w:p>
        </w:tc>
        <w:tc>
          <w:tcPr>
            <w:tcW w:w="10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w:t>
            </w:r>
          </w:p>
        </w:tc>
        <w:tc>
          <w:tcPr>
            <w:tcW w:w="0" w:type="dxa"/>
            <w:vAlign w:val="bottom"/>
          </w:tcPr>
          <w:p>
            <w:pPr>
              <w:spacing w:after="0"/>
              <w:rPr>
                <w:sz w:val="1"/>
                <w:szCs w:val="1"/>
                <w:color w:val="auto"/>
              </w:rPr>
            </w:pPr>
          </w:p>
        </w:tc>
      </w:tr>
      <w:tr>
        <w:trPr>
          <w:trHeight w:val="257"/>
        </w:trPr>
        <w:tc>
          <w:tcPr>
            <w:tcW w:w="4340" w:type="dxa"/>
            <w:vAlign w:val="bottom"/>
          </w:tcPr>
          <w:p>
            <w:pPr>
              <w:ind w:left="220"/>
              <w:spacing w:after="0" w:line="257" w:lineRule="exact"/>
              <w:rPr>
                <w:sz w:val="20"/>
                <w:szCs w:val="20"/>
                <w:color w:val="auto"/>
              </w:rPr>
            </w:pPr>
            <w:r>
              <w:rPr>
                <w:rFonts w:ascii="Times New Roman" w:cs="Times New Roman" w:eastAsia="Times New Roman" w:hAnsi="Times New Roman"/>
                <w:sz w:val="20"/>
                <w:szCs w:val="20"/>
                <w:color w:val="auto"/>
              </w:rPr>
              <w:t>Professional, accounting and consulting fees</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w:t>
            </w:r>
          </w:p>
        </w:tc>
        <w:tc>
          <w:tcPr>
            <w:tcW w:w="0" w:type="dxa"/>
            <w:vAlign w:val="bottom"/>
          </w:tcPr>
          <w:p>
            <w:pPr>
              <w:spacing w:after="0"/>
              <w:rPr>
                <w:sz w:val="1"/>
                <w:szCs w:val="1"/>
                <w:color w:val="auto"/>
              </w:rPr>
            </w:pPr>
          </w:p>
        </w:tc>
      </w:tr>
      <w:tr>
        <w:trPr>
          <w:trHeight w:val="253"/>
        </w:trPr>
        <w:tc>
          <w:tcPr>
            <w:tcW w:w="4340" w:type="dxa"/>
            <w:vAlign w:val="bottom"/>
          </w:tcPr>
          <w:p>
            <w:pPr>
              <w:ind w:left="220"/>
              <w:spacing w:after="0" w:line="252" w:lineRule="exact"/>
              <w:rPr>
                <w:sz w:val="20"/>
                <w:szCs w:val="20"/>
                <w:color w:val="auto"/>
              </w:rPr>
            </w:pPr>
            <w:r>
              <w:rPr>
                <w:rFonts w:ascii="Times New Roman" w:cs="Times New Roman" w:eastAsia="Times New Roman" w:hAnsi="Times New Roman"/>
                <w:sz w:val="20"/>
                <w:szCs w:val="20"/>
                <w:color w:val="auto"/>
              </w:rPr>
              <w:t>Other expenses, net</w:t>
            </w:r>
            <w:r>
              <w:rPr>
                <w:rFonts w:ascii="Times New Roman" w:cs="Times New Roman" w:eastAsia="Times New Roman" w:hAnsi="Times New Roman"/>
                <w:sz w:val="25"/>
                <w:szCs w:val="25"/>
                <w:color w:val="auto"/>
                <w:vertAlign w:val="superscript"/>
              </w:rPr>
              <w:t>(3)</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0" w:type="dxa"/>
            <w:vAlign w:val="bottom"/>
          </w:tcPr>
          <w:p>
            <w:pPr>
              <w:spacing w:after="0"/>
              <w:rPr>
                <w:sz w:val="1"/>
                <w:szCs w:val="1"/>
                <w:color w:val="auto"/>
              </w:rPr>
            </w:pPr>
          </w:p>
        </w:tc>
      </w:tr>
      <w:tr>
        <w:trPr>
          <w:trHeight w:val="266"/>
        </w:trPr>
        <w:tc>
          <w:tcPr>
            <w:tcW w:w="4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Litigation settlement</w:t>
            </w:r>
          </w:p>
        </w:tc>
        <w:tc>
          <w:tcPr>
            <w:tcW w:w="140" w:type="dxa"/>
            <w:vAlign w:val="bottom"/>
          </w:tcPr>
          <w:p>
            <w:pPr>
              <w:spacing w:after="0"/>
              <w:rPr>
                <w:sz w:val="23"/>
                <w:szCs w:val="23"/>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54"/>
        </w:trPr>
        <w:tc>
          <w:tcPr>
            <w:tcW w:w="43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520" w:firstLine="10"/>
        <w:spacing w:after="0" w:line="223" w:lineRule="auto"/>
        <w:tabs>
          <w:tab w:leader="none" w:pos="23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legal expenses primarily relate to litigation matters, mergers and acquisitions, and other transactions (e.g., the pending Transaction), all of which are non-recurring in nature.</w:t>
      </w:r>
    </w:p>
    <w:p>
      <w:pPr>
        <w:ind w:right="400" w:firstLine="10"/>
        <w:spacing w:after="0" w:line="211" w:lineRule="auto"/>
        <w:tabs>
          <w:tab w:leader="none" w:pos="23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professional, accounting, and consulting fees are associated with non-recurring projects, including professional fees and incremental audit fees incurred for valuation and audit work related to the pending Transaction, acquisitions, disposals, and automation initiatives.</w:t>
      </w:r>
    </w:p>
    <w:p>
      <w:pPr>
        <w:ind w:right="420" w:firstLine="10"/>
        <w:spacing w:after="0" w:line="233" w:lineRule="auto"/>
        <w:tabs>
          <w:tab w:leader="none" w:pos="23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other expenses primarily include non-recurring director and management fees related to the pending Transaction, as well as non-recurring fees for web and security hosting, and software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5" w:right="33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Earnings Per Share (Adjusted EPS)</w:t>
      </w:r>
    </w:p>
    <w:p>
      <w:pPr>
        <w:spacing w:after="0" w:line="287"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20"/>
          <w:szCs w:val="20"/>
          <w:color w:val="auto"/>
        </w:rPr>
        <w:t>Adjusted EPS is a performance measure. Adjusted EPS is calculated by dividing adjusted net income attributable to common stockholders by weighted average number of shares outstanding for the respective periods.</w:t>
      </w:r>
    </w:p>
    <w:p>
      <w:pPr>
        <w:spacing w:after="0" w:line="200" w:lineRule="exact"/>
        <w:rPr>
          <w:sz w:val="20"/>
          <w:szCs w:val="20"/>
          <w:color w:val="auto"/>
        </w:rPr>
      </w:pPr>
    </w:p>
    <w:p>
      <w:pPr>
        <w:jc w:val="both"/>
        <w:ind w:right="240"/>
        <w:spacing w:after="0" w:line="303" w:lineRule="auto"/>
        <w:rPr>
          <w:sz w:val="20"/>
          <w:szCs w:val="20"/>
          <w:color w:val="auto"/>
        </w:rPr>
      </w:pPr>
      <w:r>
        <w:rPr>
          <w:rFonts w:ascii="Times New Roman" w:cs="Times New Roman" w:eastAsia="Times New Roman" w:hAnsi="Times New Roman"/>
          <w:sz w:val="20"/>
          <w:szCs w:val="20"/>
          <w:color w:val="auto"/>
        </w:rPr>
        <w:t>Adjusted net income attributable to common stockholders begins with net income attributable to common stockholders adjusted to exclude various items listed below. We believe adjusted EPS is a measure that is useful to investors and management in understanding our ongoing profitability and in analysis of ongoing profitability trends.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7"/>
                <w:szCs w:val="17"/>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 w:type="dxa"/>
            <w:vAlign w:val="bottom"/>
          </w:tcPr>
          <w:p>
            <w:pPr>
              <w:spacing w:after="0"/>
              <w:rPr>
                <w:sz w:val="17"/>
                <w:szCs w:val="17"/>
                <w:color w:val="auto"/>
              </w:rPr>
            </w:pPr>
          </w:p>
        </w:tc>
        <w:tc>
          <w:tcPr>
            <w:tcW w:w="2180" w:type="dxa"/>
            <w:vAlign w:val="bottom"/>
            <w:gridSpan w:val="4"/>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9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Reconciliation of Adjusted EPS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227"/>
        </w:trPr>
        <w:tc>
          <w:tcPr>
            <w:tcW w:w="5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12,223</w:t>
            </w:r>
          </w:p>
        </w:tc>
        <w:tc>
          <w:tcPr>
            <w:tcW w:w="480" w:type="dxa"/>
            <w:vAlign w:val="bottom"/>
            <w:gridSpan w:val="3"/>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27,588</w:t>
            </w:r>
          </w:p>
        </w:tc>
        <w:tc>
          <w:tcPr>
            <w:tcW w:w="10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31,846</w:t>
            </w:r>
          </w:p>
        </w:tc>
        <w:tc>
          <w:tcPr>
            <w:tcW w:w="100" w:type="dxa"/>
            <w:vAlign w:val="bottom"/>
          </w:tcPr>
          <w:p>
            <w:pPr>
              <w:spacing w:after="0"/>
              <w:rPr>
                <w:sz w:val="22"/>
                <w:szCs w:val="22"/>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46,735</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release of valuation allowance on deferred tax assets</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(20,670)</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Debt extinguishment and modification costs</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12,514</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Non-cash stock-based compensation</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7,119</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Other non-recurring expenses</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4,085</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acquisition related intangible assets</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12,796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29,065</w:t>
            </w:r>
          </w:p>
        </w:tc>
        <w:tc>
          <w:tcPr>
            <w:tcW w:w="0" w:type="dxa"/>
            <w:vAlign w:val="bottom"/>
          </w:tcPr>
          <w:p>
            <w:pPr>
              <w:spacing w:after="0"/>
              <w:rPr>
                <w:sz w:val="1"/>
                <w:szCs w:val="1"/>
                <w:color w:val="auto"/>
              </w:rPr>
            </w:pPr>
          </w:p>
        </w:tc>
      </w:tr>
      <w:tr>
        <w:trPr>
          <w:trHeight w:val="257"/>
        </w:trPr>
        <w:tc>
          <w:tcPr>
            <w:tcW w:w="5900" w:type="dxa"/>
            <w:vAlign w:val="bottom"/>
          </w:tcPr>
          <w:p>
            <w:pPr>
              <w:spacing w:after="0" w:line="257" w:lineRule="exact"/>
              <w:rPr>
                <w:sz w:val="20"/>
                <w:szCs w:val="20"/>
                <w:color w:val="auto"/>
              </w:rPr>
            </w:pPr>
            <w:r>
              <w:rPr>
                <w:rFonts w:ascii="Times New Roman" w:cs="Times New Roman" w:eastAsia="Times New Roman" w:hAnsi="Times New Roman"/>
                <w:sz w:val="20"/>
                <w:szCs w:val="20"/>
                <w:color w:val="auto"/>
              </w:rPr>
              <w:t>Tax impact of adjustments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(13,724)</w:t>
            </w:r>
          </w:p>
        </w:tc>
        <w:tc>
          <w:tcPr>
            <w:tcW w:w="0" w:type="dxa"/>
            <w:vAlign w:val="bottom"/>
          </w:tcPr>
          <w:p>
            <w:pPr>
              <w:spacing w:after="0"/>
              <w:rPr>
                <w:sz w:val="1"/>
                <w:szCs w:val="1"/>
                <w:color w:val="auto"/>
              </w:rPr>
            </w:pPr>
          </w:p>
        </w:tc>
      </w:tr>
      <w:tr>
        <w:trPr>
          <w:trHeight w:val="262"/>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Bargain purchase adjustment/(gain) (non-recurring)</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(3,507)</w:t>
            </w:r>
          </w:p>
        </w:tc>
        <w:tc>
          <w:tcPr>
            <w:tcW w:w="0" w:type="dxa"/>
            <w:vAlign w:val="bottom"/>
          </w:tcPr>
          <w:p>
            <w:pPr>
              <w:spacing w:after="0"/>
              <w:rPr>
                <w:sz w:val="1"/>
                <w:szCs w:val="1"/>
                <w:color w:val="auto"/>
              </w:rPr>
            </w:pPr>
          </w:p>
        </w:tc>
      </w:tr>
      <w:tr>
        <w:trPr>
          <w:trHeight w:val="254"/>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 attributable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25,326</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22,615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73,244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61,617</w:t>
            </w:r>
          </w:p>
        </w:tc>
        <w:tc>
          <w:tcPr>
            <w:tcW w:w="0" w:type="dxa"/>
            <w:vAlign w:val="bottom"/>
          </w:tcPr>
          <w:p>
            <w:pPr>
              <w:spacing w:after="0"/>
              <w:rPr>
                <w:sz w:val="1"/>
                <w:szCs w:val="1"/>
                <w:color w:val="auto"/>
              </w:rPr>
            </w:pPr>
          </w:p>
        </w:tc>
      </w:tr>
      <w:tr>
        <w:trPr>
          <w:trHeight w:val="21"/>
        </w:trPr>
        <w:tc>
          <w:tcPr>
            <w:tcW w:w="5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Weighted average common shares outstanding (basic)</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5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81,663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79,366</w:t>
            </w:r>
          </w:p>
        </w:tc>
        <w:tc>
          <w:tcPr>
            <w:tcW w:w="0" w:type="dxa"/>
            <w:vAlign w:val="bottom"/>
          </w:tcPr>
          <w:p>
            <w:pPr>
              <w:spacing w:after="0"/>
              <w:rPr>
                <w:sz w:val="1"/>
                <w:szCs w:val="1"/>
                <w:color w:val="auto"/>
              </w:rPr>
            </w:pPr>
          </w:p>
        </w:tc>
      </w:tr>
      <w:tr>
        <w:trPr>
          <w:trHeight w:val="253"/>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Effect of dilutive potential common shares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0" w:type="dxa"/>
            <w:vAlign w:val="bottom"/>
          </w:tcPr>
          <w:p>
            <w:pPr>
              <w:spacing w:after="0"/>
              <w:rPr>
                <w:sz w:val="1"/>
                <w:szCs w:val="1"/>
                <w:color w:val="auto"/>
              </w:rPr>
            </w:pPr>
          </w:p>
        </w:tc>
      </w:tr>
      <w:tr>
        <w:trPr>
          <w:trHeight w:val="262"/>
        </w:trPr>
        <w:tc>
          <w:tcPr>
            <w:tcW w:w="5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 average common shares outstanding (diluted)</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84,293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80,383</w:t>
            </w:r>
          </w:p>
        </w:tc>
        <w:tc>
          <w:tcPr>
            <w:tcW w:w="0" w:type="dxa"/>
            <w:vAlign w:val="bottom"/>
          </w:tcPr>
          <w:p>
            <w:pPr>
              <w:spacing w:after="0"/>
              <w:rPr>
                <w:sz w:val="1"/>
                <w:szCs w:val="1"/>
                <w:color w:val="auto"/>
              </w:rPr>
            </w:pPr>
          </w:p>
        </w:tc>
      </w:tr>
      <w:tr>
        <w:trPr>
          <w:trHeight w:val="511"/>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Earnings per common share: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480" w:type="dxa"/>
            <w:vAlign w:val="bottom"/>
            <w:gridSpan w:val="3"/>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0.34</w:t>
            </w:r>
          </w:p>
        </w:tc>
        <w:tc>
          <w:tcPr>
            <w:tcW w:w="10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100" w:type="dxa"/>
            <w:vAlign w:val="bottom"/>
          </w:tcPr>
          <w:p>
            <w:pPr>
              <w:spacing w:after="0"/>
              <w:rPr>
                <w:sz w:val="22"/>
                <w:szCs w:val="22"/>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0.59</w:t>
            </w:r>
          </w:p>
        </w:tc>
        <w:tc>
          <w:tcPr>
            <w:tcW w:w="0" w:type="dxa"/>
            <w:vAlign w:val="bottom"/>
          </w:tcPr>
          <w:p>
            <w:pPr>
              <w:spacing w:after="0"/>
              <w:rPr>
                <w:sz w:val="1"/>
                <w:szCs w:val="1"/>
                <w:color w:val="auto"/>
              </w:rPr>
            </w:pPr>
          </w:p>
        </w:tc>
      </w:tr>
      <w:tr>
        <w:trPr>
          <w:trHeight w:val="258"/>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480" w:type="dxa"/>
            <w:vAlign w:val="bottom"/>
            <w:gridSpan w:val="3"/>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0.34</w:t>
            </w:r>
          </w:p>
        </w:tc>
        <w:tc>
          <w:tcPr>
            <w:tcW w:w="10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0.38</w:t>
            </w:r>
          </w:p>
        </w:tc>
        <w:tc>
          <w:tcPr>
            <w:tcW w:w="100" w:type="dxa"/>
            <w:vAlign w:val="bottom"/>
          </w:tcPr>
          <w:p>
            <w:pPr>
              <w:spacing w:after="0"/>
              <w:rPr>
                <w:sz w:val="22"/>
                <w:szCs w:val="22"/>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0.58</w:t>
            </w:r>
          </w:p>
        </w:tc>
        <w:tc>
          <w:tcPr>
            <w:tcW w:w="0" w:type="dxa"/>
            <w:vAlign w:val="bottom"/>
          </w:tcPr>
          <w:p>
            <w:pPr>
              <w:spacing w:after="0"/>
              <w:rPr>
                <w:sz w:val="1"/>
                <w:szCs w:val="1"/>
                <w:color w:val="auto"/>
              </w:rPr>
            </w:pPr>
          </w:p>
        </w:tc>
      </w:tr>
      <w:tr>
        <w:trPr>
          <w:trHeight w:val="525"/>
        </w:trPr>
        <w:tc>
          <w:tcPr>
            <w:tcW w:w="5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Adjusted earnings per common share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0.31</w:t>
            </w:r>
          </w:p>
        </w:tc>
        <w:tc>
          <w:tcPr>
            <w:tcW w:w="480" w:type="dxa"/>
            <w:vAlign w:val="bottom"/>
            <w:gridSpan w:val="3"/>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10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0.90</w:t>
            </w:r>
          </w:p>
        </w:tc>
        <w:tc>
          <w:tcPr>
            <w:tcW w:w="100" w:type="dxa"/>
            <w:vAlign w:val="bottom"/>
          </w:tcPr>
          <w:p>
            <w:pPr>
              <w:spacing w:after="0"/>
              <w:rPr>
                <w:sz w:val="22"/>
                <w:szCs w:val="22"/>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0" w:type="dxa"/>
            <w:vAlign w:val="bottom"/>
          </w:tcPr>
          <w:p>
            <w:pPr>
              <w:spacing w:after="0"/>
              <w:rPr>
                <w:sz w:val="1"/>
                <w:szCs w:val="1"/>
                <w:color w:val="auto"/>
              </w:rPr>
            </w:pPr>
          </w:p>
        </w:tc>
      </w:tr>
      <w:tr>
        <w:trPr>
          <w:trHeight w:val="258"/>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480" w:type="dxa"/>
            <w:vAlign w:val="bottom"/>
            <w:gridSpan w:val="3"/>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10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0.87</w:t>
            </w:r>
          </w:p>
        </w:tc>
        <w:tc>
          <w:tcPr>
            <w:tcW w:w="100" w:type="dxa"/>
            <w:vAlign w:val="bottom"/>
          </w:tcPr>
          <w:p>
            <w:pPr>
              <w:spacing w:after="0"/>
              <w:rPr>
                <w:sz w:val="22"/>
                <w:szCs w:val="22"/>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0.77</w:t>
            </w: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tax impact calculated using the blended statutory income tax rate (i.e., 26.0%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37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Priority Commerce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5"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About Priority Commerce</w:t>
      </w:r>
    </w:p>
    <w:p>
      <w:pPr>
        <w:spacing w:after="0" w:line="247"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20"/>
          <w:szCs w:val="20"/>
          <w:color w:val="auto"/>
        </w:rPr>
        <w:t xml:space="preserve">Priority Commerce delivers payments and banking solutions that power connected commerce. Through a unified platform of payables, merchant services, and banking and treasury, we help businesses manage money more effectively and unlock growth. The Priority Commerce Engine accelerates cash flow, improves working capital, reduces costs, and creates new revenue opportunities. Learn more about Priority Commerce </w:t>
      </w:r>
      <w:r>
        <w:rPr>
          <w:rFonts w:ascii="Times New Roman" w:cs="Times New Roman" w:eastAsia="Times New Roman" w:hAnsi="Times New Roman"/>
          <w:sz w:val="20"/>
          <w:szCs w:val="20"/>
          <w:i w:val="1"/>
          <w:iCs w:val="1"/>
          <w:color w:val="auto"/>
        </w:rPr>
        <w:t>(NASDAQ: PRTH)</w:t>
      </w:r>
      <w:r>
        <w:rPr>
          <w:rFonts w:ascii="Times New Roman" w:cs="Times New Roman" w:eastAsia="Times New Roman" w:hAnsi="Times New Roman"/>
          <w:sz w:val="20"/>
          <w:szCs w:val="20"/>
          <w:color w:val="auto"/>
        </w:rPr>
        <w:t xml:space="preserve"> at prioritycommerce.com.</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A0A0A"/>
        </w:rPr>
        <w:t>Forward-Looking Statements</w:t>
      </w:r>
    </w:p>
    <w:p>
      <w:pPr>
        <w:spacing w:after="0" w:line="2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2026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9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10, 2026. These filings are available online at www.sec.gov or www.prioritycommerce.com.</w:t>
      </w:r>
    </w:p>
    <w:p>
      <w:pPr>
        <w:spacing w:after="0" w:line="1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Priority Commerce Investor Inquiries:</w:t>
      </w:r>
    </w:p>
    <w:p>
      <w:pPr>
        <w:spacing w:after="0"/>
        <w:rPr>
          <w:sz w:val="20"/>
          <w:szCs w:val="20"/>
          <w:color w:val="auto"/>
        </w:rPr>
      </w:pPr>
      <w:r>
        <w:rPr>
          <w:rFonts w:ascii="Times New Roman" w:cs="Times New Roman" w:eastAsia="Times New Roman" w:hAnsi="Times New Roman"/>
          <w:sz w:val="20"/>
          <w:szCs w:val="20"/>
          <w:color w:val="auto"/>
        </w:rPr>
        <w:t>priorityIR@icrinc.com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5"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Unaudited Consolidated Statements of Operations and Comprehensive Income</w:t>
      </w: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89"/>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8"/>
                <w:szCs w:val="18"/>
                <w:b w:val="1"/>
                <w:bCs w:val="1"/>
                <w:color w:val="242424"/>
              </w:rPr>
              <w:t>2026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8"/>
                <w:szCs w:val="18"/>
                <w:b w:val="1"/>
                <w:bCs w:val="1"/>
                <w:color w:val="242424"/>
              </w:rPr>
              <w:t>2026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268,623</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241,439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780,437</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705,881</w:t>
            </w:r>
          </w:p>
        </w:tc>
        <w:tc>
          <w:tcPr>
            <w:tcW w:w="0" w:type="dxa"/>
            <w:vAlign w:val="bottom"/>
          </w:tcPr>
          <w:p>
            <w:pPr>
              <w:spacing w:after="0"/>
              <w:rPr>
                <w:sz w:val="1"/>
                <w:szCs w:val="1"/>
                <w:color w:val="auto"/>
              </w:rPr>
            </w:pPr>
          </w:p>
        </w:tc>
      </w:tr>
      <w:tr>
        <w:trPr>
          <w:trHeight w:val="205"/>
        </w:trPr>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(excludes depreciation and amortization)</w:t>
            </w:r>
          </w:p>
        </w:tc>
        <w:tc>
          <w:tcPr>
            <w:tcW w:w="100" w:type="dxa"/>
            <w:vAlign w:val="bottom"/>
          </w:tcPr>
          <w:p>
            <w:pPr>
              <w:spacing w:after="0"/>
              <w:rPr>
                <w:sz w:val="19"/>
                <w:szCs w:val="19"/>
                <w:color w:val="auto"/>
              </w:rPr>
            </w:pPr>
          </w:p>
        </w:tc>
        <w:tc>
          <w:tcPr>
            <w:tcW w:w="13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165,908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146,681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479,053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431,433</w:t>
            </w:r>
          </w:p>
        </w:tc>
        <w:tc>
          <w:tcPr>
            <w:tcW w:w="0" w:type="dxa"/>
            <w:vAlign w:val="bottom"/>
          </w:tcPr>
          <w:p>
            <w:pPr>
              <w:spacing w:after="0"/>
              <w:rPr>
                <w:sz w:val="1"/>
                <w:szCs w:val="1"/>
                <w:color w:val="auto"/>
              </w:rPr>
            </w:pPr>
          </w:p>
        </w:tc>
      </w:tr>
      <w:tr>
        <w:trPr>
          <w:trHeight w:val="229"/>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100" w:type="dxa"/>
            <w:vAlign w:val="bottom"/>
          </w:tcPr>
          <w:p>
            <w:pPr>
              <w:spacing w:after="0"/>
              <w:rPr>
                <w:sz w:val="19"/>
                <w:szCs w:val="19"/>
                <w:color w:val="auto"/>
              </w:rPr>
            </w:pPr>
          </w:p>
        </w:tc>
        <w:tc>
          <w:tcPr>
            <w:tcW w:w="13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28,950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26,140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86,625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78,975</w:t>
            </w:r>
          </w:p>
        </w:tc>
        <w:tc>
          <w:tcPr>
            <w:tcW w:w="0" w:type="dxa"/>
            <w:vAlign w:val="bottom"/>
          </w:tcPr>
          <w:p>
            <w:pPr>
              <w:spacing w:after="0"/>
              <w:rPr>
                <w:sz w:val="1"/>
                <w:szCs w:val="1"/>
                <w:color w:val="auto"/>
              </w:rPr>
            </w:pPr>
          </w:p>
        </w:tc>
      </w:tr>
      <w:tr>
        <w:trPr>
          <w:trHeight w:val="229"/>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3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18,231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15,122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56,739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42,992</w:t>
            </w:r>
          </w:p>
        </w:tc>
        <w:tc>
          <w:tcPr>
            <w:tcW w:w="0" w:type="dxa"/>
            <w:vAlign w:val="bottom"/>
          </w:tcPr>
          <w:p>
            <w:pPr>
              <w:spacing w:after="0"/>
              <w:rPr>
                <w:sz w:val="1"/>
                <w:szCs w:val="1"/>
                <w:color w:val="auto"/>
              </w:rPr>
            </w:pPr>
          </w:p>
        </w:tc>
      </w:tr>
      <w:tr>
        <w:trPr>
          <w:trHeight w:val="234"/>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19,647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15,724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55,699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44,734</w:t>
            </w:r>
          </w:p>
        </w:tc>
        <w:tc>
          <w:tcPr>
            <w:tcW w:w="0" w:type="dxa"/>
            <w:vAlign w:val="bottom"/>
          </w:tcPr>
          <w:p>
            <w:pPr>
              <w:spacing w:after="0"/>
              <w:rPr>
                <w:sz w:val="1"/>
                <w:szCs w:val="1"/>
                <w:color w:val="auto"/>
              </w:rPr>
            </w:pPr>
          </w:p>
        </w:tc>
      </w:tr>
      <w:tr>
        <w:trPr>
          <w:trHeight w:val="22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232,736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203,667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678,116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598,134</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35,887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37,772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102,321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107,747</w:t>
            </w:r>
          </w:p>
        </w:tc>
        <w:tc>
          <w:tcPr>
            <w:tcW w:w="0" w:type="dxa"/>
            <w:vAlign w:val="bottom"/>
          </w:tcPr>
          <w:p>
            <w:pPr>
              <w:spacing w:after="0"/>
              <w:rPr>
                <w:sz w:val="1"/>
                <w:szCs w:val="1"/>
                <w:color w:val="auto"/>
              </w:rPr>
            </w:pPr>
          </w:p>
        </w:tc>
      </w:tr>
      <w:tr>
        <w:trPr>
          <w:trHeight w:val="205"/>
        </w:trPr>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Other expense</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3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(21,190)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(22,463)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(63,257)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(68,693)</w:t>
            </w:r>
          </w:p>
        </w:tc>
        <w:tc>
          <w:tcPr>
            <w:tcW w:w="0" w:type="dxa"/>
            <w:vAlign w:val="bottom"/>
          </w:tcPr>
          <w:p>
            <w:pPr>
              <w:spacing w:after="0"/>
              <w:rPr>
                <w:sz w:val="1"/>
                <w:szCs w:val="1"/>
                <w:color w:val="auto"/>
              </w:rPr>
            </w:pPr>
          </w:p>
        </w:tc>
      </w:tr>
      <w:tr>
        <w:trPr>
          <w:trHeight w:val="229"/>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1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(12,476)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(12,514)</w:t>
            </w:r>
          </w:p>
        </w:tc>
        <w:tc>
          <w:tcPr>
            <w:tcW w:w="0" w:type="dxa"/>
            <w:vAlign w:val="bottom"/>
          </w:tcPr>
          <w:p>
            <w:pPr>
              <w:spacing w:after="0"/>
              <w:rPr>
                <w:sz w:val="1"/>
                <w:szCs w:val="1"/>
                <w:color w:val="auto"/>
              </w:rPr>
            </w:pPr>
          </w:p>
        </w:tc>
      </w:tr>
      <w:tr>
        <w:trPr>
          <w:trHeight w:val="234"/>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2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(19,293)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(30,385)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(58,684)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(74,540)</w:t>
            </w:r>
          </w:p>
        </w:tc>
        <w:tc>
          <w:tcPr>
            <w:tcW w:w="0" w:type="dxa"/>
            <w:vAlign w:val="bottom"/>
          </w:tcPr>
          <w:p>
            <w:pPr>
              <w:spacing w:after="0"/>
              <w:rPr>
                <w:sz w:val="1"/>
                <w:szCs w:val="1"/>
                <w:color w:val="auto"/>
              </w:rPr>
            </w:pPr>
          </w:p>
        </w:tc>
      </w:tr>
      <w:tr>
        <w:trPr>
          <w:trHeight w:val="21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8"/>
                <w:szCs w:val="18"/>
                <w:color w:val="auto"/>
              </w:rPr>
            </w:pPr>
          </w:p>
        </w:tc>
        <w:tc>
          <w:tcPr>
            <w:tcW w:w="13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16,594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7,387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43,637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33,207</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(20,201)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11,791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(13,528)</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12,223</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27,588</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31,846</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46,735</w:t>
            </w:r>
          </w:p>
        </w:tc>
        <w:tc>
          <w:tcPr>
            <w:tcW w:w="0" w:type="dxa"/>
            <w:vAlign w:val="bottom"/>
          </w:tcPr>
          <w:p>
            <w:pPr>
              <w:spacing w:after="0"/>
              <w:rPr>
                <w:sz w:val="1"/>
                <w:szCs w:val="1"/>
                <w:color w:val="auto"/>
              </w:rPr>
            </w:pPr>
          </w:p>
        </w:tc>
      </w:tr>
      <w:tr>
        <w:trPr>
          <w:trHeight w:val="23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12,155</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27,309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31,314</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46,716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4"/>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522"/>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common share</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0.31</w:t>
            </w:r>
          </w:p>
        </w:tc>
        <w:tc>
          <w:tcPr>
            <w:tcW w:w="100" w:type="dxa"/>
            <w:vAlign w:val="bottom"/>
          </w:tcPr>
          <w:p>
            <w:pPr>
              <w:spacing w:after="0"/>
              <w:rPr>
                <w:sz w:val="24"/>
                <w:szCs w:val="24"/>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120" w:type="dxa"/>
            <w:vAlign w:val="bottom"/>
          </w:tcPr>
          <w:p>
            <w:pPr>
              <w:spacing w:after="0"/>
              <w:rPr>
                <w:sz w:val="24"/>
                <w:szCs w:val="24"/>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0.90</w:t>
            </w:r>
          </w:p>
        </w:tc>
        <w:tc>
          <w:tcPr>
            <w:tcW w:w="100" w:type="dxa"/>
            <w:vAlign w:val="bottom"/>
          </w:tcPr>
          <w:p>
            <w:pPr>
              <w:spacing w:after="0"/>
              <w:rPr>
                <w:sz w:val="24"/>
                <w:szCs w:val="24"/>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0" w:type="dxa"/>
            <w:vAlign w:val="bottom"/>
          </w:tcPr>
          <w:p>
            <w:pPr>
              <w:spacing w:after="0"/>
              <w:rPr>
                <w:sz w:val="1"/>
                <w:szCs w:val="1"/>
                <w:color w:val="auto"/>
              </w:rPr>
            </w:pPr>
          </w:p>
        </w:tc>
      </w:tr>
      <w:tr>
        <w:trPr>
          <w:trHeight w:val="225"/>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10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0.87</w:t>
            </w:r>
          </w:p>
        </w:tc>
        <w:tc>
          <w:tcPr>
            <w:tcW w:w="10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0.77</w:t>
            </w:r>
          </w:p>
        </w:tc>
        <w:tc>
          <w:tcPr>
            <w:tcW w:w="0" w:type="dxa"/>
            <w:vAlign w:val="bottom"/>
          </w:tcPr>
          <w:p>
            <w:pPr>
              <w:spacing w:after="0"/>
              <w:rPr>
                <w:sz w:val="1"/>
                <w:szCs w:val="1"/>
                <w:color w:val="auto"/>
              </w:rPr>
            </w:pPr>
          </w:p>
        </w:tc>
      </w:tr>
      <w:tr>
        <w:trPr>
          <w:trHeight w:val="495"/>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79,366</w:t>
            </w:r>
          </w:p>
        </w:tc>
        <w:tc>
          <w:tcPr>
            <w:tcW w:w="0" w:type="dxa"/>
            <w:vAlign w:val="bottom"/>
          </w:tcPr>
          <w:p>
            <w:pPr>
              <w:spacing w:after="0"/>
              <w:rPr>
                <w:sz w:val="1"/>
                <w:szCs w:val="1"/>
                <w:color w:val="auto"/>
              </w:rPr>
            </w:pPr>
          </w:p>
        </w:tc>
      </w:tr>
      <w:tr>
        <w:trPr>
          <w:trHeight w:val="234"/>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80,383</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5540" w:right="3440" w:hanging="5248"/>
        <w:spacing w:after="0" w:line="843" w:lineRule="auto"/>
        <w:tabs>
          <w:tab w:leader="none" w:pos="605" w:val="left"/>
        </w:tabs>
        <w:numPr>
          <w:ilvl w:val="0"/>
          <w:numId w:val="5"/>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 xml:space="preserve">Adjusted EPS is a non-GAAP earnings measure. See Adjusted EPS reconciliation for further detail. </w:t>
      </w:r>
      <w:r>
        <w:rPr>
          <w:rFonts w:ascii="Times New Roman" w:cs="Times New Roman" w:eastAsia="Times New Roman" w:hAnsi="Times New Roman"/>
          <w:sz w:val="18"/>
          <w:szCs w:val="18"/>
          <w:color w:val="auto"/>
        </w:rPr>
        <w:t>8</w:t>
      </w:r>
    </w:p>
    <w:p>
      <w:pPr>
        <w:sectPr>
          <w:pgSz w:w="11900" w:h="16838" w:orient="portrait"/>
          <w:cols w:equalWidth="0" w:num="1">
            <w:col w:w="11200"/>
          </w:cols>
          <w:pgMar w:left="360" w:top="35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Consolidated Balance Sheets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0" w:type="dxa"/>
            <w:vAlign w:val="bottom"/>
          </w:tcPr>
          <w:p>
            <w:pPr>
              <w:spacing w:after="0"/>
              <w:rPr>
                <w:sz w:val="20"/>
                <w:szCs w:val="20"/>
                <w:color w:val="auto"/>
              </w:rPr>
            </w:pP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05"/>
        </w:trPr>
        <w:tc>
          <w:tcPr>
            <w:tcW w:w="7660" w:type="dxa"/>
            <w:vAlign w:val="bottom"/>
            <w:vMerge w:val="continue"/>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77,192</w:t>
            </w:r>
          </w:p>
        </w:tc>
        <w:tc>
          <w:tcPr>
            <w:tcW w:w="0" w:type="dxa"/>
            <w:vAlign w:val="bottom"/>
          </w:tcPr>
          <w:p>
            <w:pPr>
              <w:spacing w:after="0"/>
              <w:rPr>
                <w:sz w:val="1"/>
                <w:szCs w:val="1"/>
                <w:color w:val="auto"/>
              </w:rPr>
            </w:pP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0" w:type="dxa"/>
            <w:vAlign w:val="bottom"/>
          </w:tcPr>
          <w:p>
            <w:pPr>
              <w:spacing w:after="0"/>
              <w:rPr>
                <w:sz w:val="1"/>
                <w:szCs w:val="1"/>
                <w:color w:val="auto"/>
              </w:rPr>
            </w:pPr>
          </w:p>
        </w:tc>
      </w:tr>
      <w:tr>
        <w:trPr>
          <w:trHeight w:val="229"/>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91,300</w:t>
            </w:r>
          </w:p>
        </w:tc>
        <w:tc>
          <w:tcPr>
            <w:tcW w:w="0" w:type="dxa"/>
            <w:vAlign w:val="bottom"/>
          </w:tcPr>
          <w:p>
            <w:pPr>
              <w:spacing w:after="0"/>
              <w:rPr>
                <w:sz w:val="1"/>
                <w:szCs w:val="1"/>
                <w:color w:val="auto"/>
              </w:rPr>
            </w:pPr>
          </w:p>
        </w:tc>
      </w:tr>
      <w:tr>
        <w:trPr>
          <w:trHeight w:val="229"/>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32,145</w:t>
            </w:r>
          </w:p>
        </w:tc>
        <w:tc>
          <w:tcPr>
            <w:tcW w:w="0" w:type="dxa"/>
            <w:vAlign w:val="bottom"/>
          </w:tcPr>
          <w:p>
            <w:pPr>
              <w:spacing w:after="0"/>
              <w:rPr>
                <w:sz w:val="1"/>
                <w:szCs w:val="1"/>
                <w:color w:val="auto"/>
              </w:rPr>
            </w:pP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notes receivable, net of allowance</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34"/>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assets</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1,504,904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1,295,896</w:t>
            </w:r>
          </w:p>
        </w:tc>
        <w:tc>
          <w:tcPr>
            <w:tcW w:w="0" w:type="dxa"/>
            <w:vAlign w:val="bottom"/>
          </w:tcPr>
          <w:p>
            <w:pPr>
              <w:spacing w:after="0"/>
              <w:rPr>
                <w:sz w:val="1"/>
                <w:szCs w:val="1"/>
                <w:color w:val="auto"/>
              </w:rPr>
            </w:pPr>
          </w:p>
        </w:tc>
      </w:tr>
      <w:tr>
        <w:trPr>
          <w:trHeight w:val="218"/>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1,773,226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1,515,052</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58,636</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416,641</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315,190</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46,350</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0" w:type="dxa"/>
            <w:vAlign w:val="bottom"/>
          </w:tcPr>
          <w:p>
            <w:pPr>
              <w:spacing w:after="0"/>
              <w:rPr>
                <w:sz w:val="1"/>
                <w:szCs w:val="1"/>
                <w:color w:val="auto"/>
              </w:rPr>
            </w:pPr>
          </w:p>
        </w:tc>
      </w:tr>
      <w:tr>
        <w:trPr>
          <w:trHeight w:val="223"/>
        </w:trPr>
        <w:tc>
          <w:tcPr>
            <w:tcW w:w="76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2,649,241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2,398,804</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Stockholders' Deficit and Non-controlling interest</w:t>
            </w: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6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70,636</w:t>
            </w:r>
          </w:p>
        </w:tc>
        <w:tc>
          <w:tcPr>
            <w:tcW w:w="0" w:type="dxa"/>
            <w:vAlign w:val="bottom"/>
          </w:tcPr>
          <w:p>
            <w:pPr>
              <w:spacing w:after="0"/>
              <w:rPr>
                <w:sz w:val="1"/>
                <w:szCs w:val="1"/>
                <w:color w:val="auto"/>
              </w:rPr>
            </w:pP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40,463</w:t>
            </w:r>
          </w:p>
        </w:tc>
        <w:tc>
          <w:tcPr>
            <w:tcW w:w="0" w:type="dxa"/>
            <w:vAlign w:val="bottom"/>
          </w:tcPr>
          <w:p>
            <w:pPr>
              <w:spacing w:after="0"/>
              <w:rPr>
                <w:sz w:val="1"/>
                <w:szCs w:val="1"/>
                <w:color w:val="auto"/>
              </w:rPr>
            </w:pPr>
          </w:p>
        </w:tc>
      </w:tr>
      <w:tr>
        <w:trPr>
          <w:trHeight w:val="229"/>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obligations</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1,506,105</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1,297,263</w:t>
            </w:r>
          </w:p>
        </w:tc>
        <w:tc>
          <w:tcPr>
            <w:tcW w:w="0" w:type="dxa"/>
            <w:vAlign w:val="bottom"/>
          </w:tcPr>
          <w:p>
            <w:pPr>
              <w:spacing w:after="0"/>
              <w:rPr>
                <w:sz w:val="1"/>
                <w:szCs w:val="1"/>
                <w:color w:val="auto"/>
              </w:rPr>
            </w:pPr>
          </w:p>
        </w:tc>
      </w:tr>
      <w:tr>
        <w:trPr>
          <w:trHeight w:val="218"/>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1,410,334</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 discounts and debt issuance costs</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1,039,358</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0" w:type="dxa"/>
            <w:vAlign w:val="bottom"/>
          </w:tcPr>
          <w:p>
            <w:pPr>
              <w:spacing w:after="0"/>
              <w:rPr>
                <w:sz w:val="1"/>
                <w:szCs w:val="1"/>
                <w:color w:val="auto"/>
              </w:rPr>
            </w:pPr>
          </w:p>
        </w:tc>
      </w:tr>
      <w:tr>
        <w:trPr>
          <w:trHeight w:val="223"/>
        </w:trPr>
        <w:tc>
          <w:tcPr>
            <w:tcW w:w="76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2,706,721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2,491,176</w:t>
            </w:r>
          </w:p>
        </w:tc>
        <w:tc>
          <w:tcPr>
            <w:tcW w:w="0" w:type="dxa"/>
            <w:vAlign w:val="bottom"/>
          </w:tcPr>
          <w:p>
            <w:pPr>
              <w:spacing w:after="0"/>
              <w:rPr>
                <w:sz w:val="1"/>
                <w:szCs w:val="1"/>
                <w:color w:val="auto"/>
              </w:rPr>
            </w:pPr>
          </w:p>
        </w:tc>
      </w:tr>
      <w:tr>
        <w:trPr>
          <w:trHeight w:val="205"/>
        </w:trPr>
        <w:tc>
          <w:tcPr>
            <w:tcW w:w="7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Stockholders' deficit:</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5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0" w:type="dxa"/>
            <w:vAlign w:val="bottom"/>
          </w:tcPr>
          <w:p>
            <w:pPr>
              <w:spacing w:after="0"/>
              <w:rPr>
                <w:sz w:val="1"/>
                <w:szCs w:val="1"/>
                <w:color w:val="auto"/>
              </w:rPr>
            </w:pP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0" w:type="dxa"/>
            <w:vAlign w:val="bottom"/>
          </w:tcPr>
          <w:p>
            <w:pPr>
              <w:spacing w:after="0"/>
              <w:rPr>
                <w:sz w:val="1"/>
                <w:szCs w:val="1"/>
                <w:color w:val="auto"/>
              </w:rPr>
            </w:pP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4"/>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(91,453)</w:t>
            </w:r>
          </w:p>
        </w:tc>
        <w:tc>
          <w:tcPr>
            <w:tcW w:w="0" w:type="dxa"/>
            <w:vAlign w:val="bottom"/>
          </w:tcPr>
          <w:p>
            <w:pPr>
              <w:spacing w:after="0"/>
              <w:rPr>
                <w:sz w:val="1"/>
                <w:szCs w:val="1"/>
                <w:color w:val="auto"/>
              </w:rPr>
            </w:pPr>
          </w:p>
        </w:tc>
      </w:tr>
      <w:tr>
        <w:trPr>
          <w:trHeight w:val="218"/>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stockholders' deficit attributable to stockholders of Priority Commerce</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(100,415)</w:t>
            </w:r>
          </w:p>
        </w:tc>
        <w:tc>
          <w:tcPr>
            <w:tcW w:w="0" w:type="dxa"/>
            <w:vAlign w:val="bottom"/>
          </w:tcPr>
          <w:p>
            <w:pPr>
              <w:spacing w:after="0"/>
              <w:rPr>
                <w:sz w:val="1"/>
                <w:szCs w:val="1"/>
                <w:color w:val="auto"/>
              </w:rPr>
            </w:pPr>
          </w:p>
        </w:tc>
      </w:tr>
      <w:tr>
        <w:trPr>
          <w:trHeight w:val="234"/>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 in consolidated subsidiaries</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(92,372)</w:t>
            </w: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stockholders' deficit and Non-controlling interest</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2,649,241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2,398,804</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40" w:top="356" w:right="359" w:bottom="1440" w:gutter="0" w:footer="0" w:header="0"/>
        </w:sectPr>
      </w:pPr>
    </w:p>
    <w:bookmarkStart w:id="12" w:name="page13"/>
    <w:bookmarkEnd w:id="12"/>
    <w:p>
      <w:pPr>
        <w:ind w:left="4120"/>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r>
        <w:rPr>
          <w:rFonts w:ascii="Times New Roman" w:cs="Times New Roman" w:eastAsia="Times New Roman" w:hAnsi="Times New Roman"/>
          <w:sz w:val="20"/>
          <w:szCs w:val="20"/>
          <w:color w:val="auto"/>
        </w:rPr>
        <w:t>.</w:t>
      </w:r>
    </w:p>
    <w:p>
      <w:pPr>
        <w:spacing w:after="0" w:line="2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Unaudited Consolidated Statements of Cash Flows</w:t>
      </w: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5"/>
        </w:trPr>
        <w:tc>
          <w:tcPr>
            <w:tcW w:w="7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46,735</w:t>
            </w:r>
          </w:p>
        </w:tc>
        <w:tc>
          <w:tcPr>
            <w:tcW w:w="0" w:type="dxa"/>
            <w:vAlign w:val="bottom"/>
          </w:tcPr>
          <w:p>
            <w:pPr>
              <w:spacing w:after="0"/>
              <w:rPr>
                <w:sz w:val="1"/>
                <w:szCs w:val="1"/>
                <w:color w:val="auto"/>
              </w:rPr>
            </w:pPr>
          </w:p>
        </w:tc>
      </w:tr>
      <w:tr>
        <w:trPr>
          <w:trHeight w:val="229"/>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42,992</w:t>
            </w:r>
          </w:p>
        </w:tc>
        <w:tc>
          <w:tcPr>
            <w:tcW w:w="0" w:type="dxa"/>
            <w:vAlign w:val="bottom"/>
          </w:tcPr>
          <w:p>
            <w:pPr>
              <w:spacing w:after="0"/>
              <w:rPr>
                <w:sz w:val="1"/>
                <w:szCs w:val="1"/>
                <w:color w:val="auto"/>
              </w:rPr>
            </w:pPr>
          </w:p>
        </w:tc>
      </w:tr>
      <w:tr>
        <w:trPr>
          <w:trHeight w:val="230"/>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ESPP, and incentive units compensation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22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2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0" w:type="dxa"/>
            <w:vAlign w:val="bottom"/>
          </w:tcPr>
          <w:p>
            <w:pPr>
              <w:spacing w:after="0"/>
              <w:rPr>
                <w:sz w:val="1"/>
                <w:szCs w:val="1"/>
                <w:color w:val="auto"/>
              </w:rPr>
            </w:pPr>
          </w:p>
        </w:tc>
      </w:tr>
      <w:tr>
        <w:trPr>
          <w:trHeight w:val="230"/>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0" w:type="dxa"/>
            <w:vAlign w:val="bottom"/>
          </w:tcPr>
          <w:p>
            <w:pPr>
              <w:spacing w:after="0"/>
              <w:rPr>
                <w:sz w:val="1"/>
                <w:szCs w:val="1"/>
                <w:color w:val="auto"/>
              </w:rPr>
            </w:pPr>
          </w:p>
        </w:tc>
      </w:tr>
      <w:tr>
        <w:trPr>
          <w:trHeight w:val="22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30"/>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Bargain purchase adjustment/(gain)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29"/>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items,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(22,995)</w:t>
            </w:r>
          </w:p>
        </w:tc>
        <w:tc>
          <w:tcPr>
            <w:tcW w:w="0" w:type="dxa"/>
            <w:vAlign w:val="bottom"/>
          </w:tcPr>
          <w:p>
            <w:pPr>
              <w:spacing w:after="0"/>
              <w:rPr>
                <w:sz w:val="1"/>
                <w:szCs w:val="1"/>
                <w:color w:val="auto"/>
              </w:rPr>
            </w:pPr>
          </w:p>
        </w:tc>
      </w:tr>
      <w:tr>
        <w:trPr>
          <w:trHeight w:val="22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30"/>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0" w:type="dxa"/>
            <w:vAlign w:val="bottom"/>
          </w:tcPr>
          <w:p>
            <w:pPr>
              <w:spacing w:after="0"/>
              <w:rPr>
                <w:sz w:val="1"/>
                <w:szCs w:val="1"/>
                <w:color w:val="auto"/>
              </w:rPr>
            </w:pPr>
          </w:p>
        </w:tc>
      </w:tr>
      <w:tr>
        <w:trPr>
          <w:trHeight w:val="22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2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0"/>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34"/>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98,025</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63,161</w:t>
            </w:r>
          </w:p>
        </w:tc>
      </w:tr>
      <w:tr>
        <w:trPr>
          <w:trHeight w:val="205"/>
        </w:trPr>
        <w:tc>
          <w:tcPr>
            <w:tcW w:w="79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9"/>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(77,369)</w:t>
            </w: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to property, equipment and software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(18,952)</w:t>
            </w: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receivable, net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 net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(46,667)</w:t>
            </w:r>
          </w:p>
        </w:tc>
      </w:tr>
      <w:tr>
        <w:trPr>
          <w:trHeight w:val="234"/>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(547,189)</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(151,898)</w:t>
            </w:r>
          </w:p>
        </w:tc>
      </w:tr>
      <w:tr>
        <w:trPr>
          <w:trHeight w:val="205"/>
        </w:trPr>
        <w:tc>
          <w:tcPr>
            <w:tcW w:w="79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long-term debt, net of issue discount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1,019,714</w:t>
            </w: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and modification costs paid</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(945,537)</w:t>
            </w:r>
          </w:p>
        </w:tc>
      </w:tr>
      <w:tr>
        <w:trPr>
          <w:trHeight w:val="229"/>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obligations, net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215,155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247,531</w:t>
            </w: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deferred/contingent consideration related to business combination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(19,756)</w:t>
            </w:r>
          </w:p>
        </w:tc>
      </w:tr>
      <w:tr>
        <w:trPr>
          <w:trHeight w:val="234"/>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NCI repurchase</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222,493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288,634</w:t>
            </w:r>
          </w:p>
        </w:tc>
        <w:tc>
          <w:tcPr>
            <w:tcW w:w="0" w:type="dxa"/>
            <w:vAlign w:val="bottom"/>
          </w:tcPr>
          <w:p>
            <w:pPr>
              <w:spacing w:after="0"/>
              <w:rPr>
                <w:sz w:val="1"/>
                <w:szCs w:val="1"/>
                <w:color w:val="auto"/>
              </w:rPr>
            </w:pPr>
          </w:p>
        </w:tc>
      </w:tr>
      <w:tr>
        <w:trPr>
          <w:trHeight w:val="205"/>
        </w:trPr>
        <w:tc>
          <w:tcPr>
            <w:tcW w:w="79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(decrease)/increase in cash and cash equivalents, and restricted cash</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199,897</w:t>
            </w:r>
          </w:p>
        </w:tc>
        <w:tc>
          <w:tcPr>
            <w:tcW w:w="0" w:type="dxa"/>
            <w:vAlign w:val="bottom"/>
          </w:tcPr>
          <w:p>
            <w:pPr>
              <w:spacing w:after="0"/>
              <w:rPr>
                <w:sz w:val="1"/>
                <w:szCs w:val="1"/>
                <w:color w:val="auto"/>
              </w:rPr>
            </w:pPr>
          </w:p>
        </w:tc>
      </w:tr>
      <w:tr>
        <w:trPr>
          <w:trHeight w:val="234"/>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1,345,998</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993,864</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period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1,119,327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1,193,761</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79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135,648</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56,978</w:t>
            </w:r>
          </w:p>
        </w:tc>
        <w:tc>
          <w:tcPr>
            <w:tcW w:w="0" w:type="dxa"/>
            <w:vAlign w:val="bottom"/>
          </w:tcPr>
          <w:p>
            <w:pPr>
              <w:spacing w:after="0"/>
              <w:rPr>
                <w:sz w:val="1"/>
                <w:szCs w:val="1"/>
                <w:color w:val="auto"/>
              </w:rPr>
            </w:pPr>
          </w:p>
        </w:tc>
      </w:tr>
      <w:tr>
        <w:trPr>
          <w:trHeight w:val="230"/>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0" w:type="dxa"/>
            <w:vAlign w:val="bottom"/>
          </w:tcPr>
          <w:p>
            <w:pPr>
              <w:spacing w:after="0"/>
              <w:rPr>
                <w:sz w:val="1"/>
                <w:szCs w:val="1"/>
                <w:color w:val="auto"/>
              </w:rPr>
            </w:pPr>
          </w:p>
        </w:tc>
      </w:tr>
      <w:tr>
        <w:trPr>
          <w:trHeight w:val="234"/>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 included in settlement assets (restricted in nature)</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967,670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1,123,799</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1,119,327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1,193,761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114" w:right="339" w:bottom="1440" w:gutter="0" w:footer="0" w:header="0"/>
        </w:sect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60" w:top="114" w:right="339" w:bottom="1440" w:gutter="0" w:footer="0" w:header="0"/>
          <w:type w:val="continuous"/>
        </w:sectPr>
      </w:pPr>
    </w:p>
    <w:bookmarkStart w:id="13" w:name="page14"/>
    <w:bookmarkEnd w:id="13"/>
    <w:p>
      <w:pPr>
        <w:ind w:left="4152"/>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892"/>
        <w:spacing w:after="0"/>
        <w:rPr>
          <w:sz w:val="20"/>
          <w:szCs w:val="20"/>
          <w:color w:val="auto"/>
        </w:rPr>
      </w:pPr>
      <w:r>
        <w:rPr>
          <w:rFonts w:ascii="Times New Roman" w:cs="Times New Roman" w:eastAsia="Times New Roman" w:hAnsi="Times New Roman"/>
          <w:sz w:val="20"/>
          <w:szCs w:val="20"/>
          <w:b w:val="1"/>
          <w:bCs w:val="1"/>
          <w:color w:val="auto"/>
        </w:rPr>
        <w:t>Unaudited Reportable Segments' Results</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00" w:lineRule="exact"/>
        <w:rPr>
          <w:sz w:val="20"/>
          <w:szCs w:val="20"/>
          <w:color w:val="auto"/>
        </w:rPr>
      </w:pPr>
    </w:p>
    <w:p>
      <w:pPr>
        <w:spacing w:after="0" w:line="372" w:lineRule="exact"/>
        <w:rPr>
          <w:sz w:val="20"/>
          <w:szCs w:val="20"/>
          <w:color w:val="auto"/>
        </w:rPr>
      </w:pPr>
    </w:p>
    <w:tbl>
      <w:tblPr>
        <w:tblLayout w:type="fixed"/>
        <w:tblInd w:w="12"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Merchant Solutions:</w:t>
            </w: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5"/>
        </w:trPr>
        <w:tc>
          <w:tcPr>
            <w:tcW w:w="4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476,794</w:t>
            </w:r>
          </w:p>
        </w:tc>
        <w:tc>
          <w:tcPr>
            <w:tcW w:w="0" w:type="dxa"/>
            <w:vAlign w:val="bottom"/>
          </w:tcPr>
          <w:p>
            <w:pPr>
              <w:spacing w:after="0"/>
              <w:rPr>
                <w:sz w:val="1"/>
                <w:szCs w:val="1"/>
                <w:color w:val="auto"/>
              </w:rPr>
            </w:pPr>
          </w:p>
        </w:tc>
      </w:tr>
      <w:tr>
        <w:trPr>
          <w:trHeight w:val="234"/>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81,181</w:t>
            </w:r>
          </w:p>
        </w:tc>
        <w:tc>
          <w:tcPr>
            <w:tcW w:w="0" w:type="dxa"/>
            <w:vAlign w:val="bottom"/>
          </w:tcPr>
          <w:p>
            <w:pPr>
              <w:spacing w:after="0"/>
              <w:rPr>
                <w:sz w:val="1"/>
                <w:szCs w:val="1"/>
                <w:color w:val="auto"/>
              </w:rPr>
            </w:pPr>
          </w:p>
        </w:tc>
      </w:tr>
      <w:tr>
        <w:trPr>
          <w:trHeight w:val="49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Key Indicators: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card processing dollar value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19,265,134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18,457,881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57,151,775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55,018,391</w:t>
            </w:r>
          </w:p>
        </w:tc>
        <w:tc>
          <w:tcPr>
            <w:tcW w:w="0" w:type="dxa"/>
            <w:vAlign w:val="bottom"/>
          </w:tcPr>
          <w:p>
            <w:pPr>
              <w:spacing w:after="0"/>
              <w:rPr>
                <w:sz w:val="1"/>
                <w:szCs w:val="1"/>
                <w:color w:val="auto"/>
              </w:rPr>
            </w:pPr>
          </w:p>
        </w:tc>
      </w:tr>
      <w:tr>
        <w:trPr>
          <w:trHeight w:val="234"/>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card transaction count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669,878</w:t>
            </w:r>
          </w:p>
        </w:tc>
        <w:tc>
          <w:tcPr>
            <w:tcW w:w="0" w:type="dxa"/>
            <w:vAlign w:val="bottom"/>
          </w:tcPr>
          <w:p>
            <w:pPr>
              <w:spacing w:after="0"/>
              <w:rPr>
                <w:sz w:val="1"/>
                <w:szCs w:val="1"/>
                <w:color w:val="auto"/>
              </w:rPr>
            </w:pPr>
          </w:p>
        </w:tc>
      </w:tr>
      <w:tr>
        <w:trPr>
          <w:trHeight w:val="495"/>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74,113</w:t>
            </w:r>
          </w:p>
        </w:tc>
        <w:tc>
          <w:tcPr>
            <w:tcW w:w="0" w:type="dxa"/>
            <w:vAlign w:val="bottom"/>
          </w:tcPr>
          <w:p>
            <w:pPr>
              <w:spacing w:after="0"/>
              <w:rPr>
                <w:sz w:val="1"/>
                <w:szCs w:val="1"/>
                <w:color w:val="auto"/>
              </w:rPr>
            </w:pPr>
          </w:p>
        </w:tc>
      </w:tr>
      <w:tr>
        <w:trPr>
          <w:trHeight w:val="234"/>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0" w:type="dxa"/>
            <w:vAlign w:val="bottom"/>
          </w:tcPr>
          <w:p>
            <w:pPr>
              <w:spacing w:after="0"/>
              <w:rPr>
                <w:sz w:val="1"/>
                <w:szCs w:val="1"/>
                <w:color w:val="auto"/>
              </w:rPr>
            </w:pPr>
          </w:p>
        </w:tc>
      </w:tr>
      <w:tr>
        <w:trPr>
          <w:trHeight w:val="441"/>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Key Indicators: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Buyer funded card processing dollar value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1,134,730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3,050,300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2,295,100</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Supplier funded issuing dollar value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295,771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793,572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688,399</w:t>
            </w:r>
          </w:p>
        </w:tc>
        <w:tc>
          <w:tcPr>
            <w:tcW w:w="0" w:type="dxa"/>
            <w:vAlign w:val="bottom"/>
          </w:tcPr>
          <w:p>
            <w:pPr>
              <w:spacing w:after="0"/>
              <w:rPr>
                <w:sz w:val="1"/>
                <w:szCs w:val="1"/>
                <w:color w:val="auto"/>
              </w:rPr>
            </w:pPr>
          </w:p>
        </w:tc>
      </w:tr>
      <w:tr>
        <w:trPr>
          <w:trHeight w:val="234"/>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ACH transaction count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0" w:type="dxa"/>
            <w:vAlign w:val="bottom"/>
          </w:tcPr>
          <w:p>
            <w:pPr>
              <w:spacing w:after="0"/>
              <w:rPr>
                <w:sz w:val="1"/>
                <w:szCs w:val="1"/>
                <w:color w:val="auto"/>
              </w:rPr>
            </w:pPr>
          </w:p>
        </w:tc>
      </w:tr>
      <w:tr>
        <w:trPr>
          <w:trHeight w:val="495"/>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Treasury Solutions: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158,430</w:t>
            </w:r>
          </w:p>
        </w:tc>
        <w:tc>
          <w:tcPr>
            <w:tcW w:w="0" w:type="dxa"/>
            <w:vAlign w:val="bottom"/>
          </w:tcPr>
          <w:p>
            <w:pPr>
              <w:spacing w:after="0"/>
              <w:rPr>
                <w:sz w:val="1"/>
                <w:szCs w:val="1"/>
                <w:color w:val="auto"/>
              </w:rPr>
            </w:pPr>
          </w:p>
        </w:tc>
      </w:tr>
      <w:tr>
        <w:trPr>
          <w:trHeight w:val="234"/>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142,269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134,677</w:t>
            </w:r>
          </w:p>
        </w:tc>
        <w:tc>
          <w:tcPr>
            <w:tcW w:w="0" w:type="dxa"/>
            <w:vAlign w:val="bottom"/>
          </w:tcPr>
          <w:p>
            <w:pPr>
              <w:spacing w:after="0"/>
              <w:rPr>
                <w:sz w:val="1"/>
                <w:szCs w:val="1"/>
                <w:color w:val="auto"/>
              </w:rPr>
            </w:pPr>
          </w:p>
        </w:tc>
      </w:tr>
      <w:tr>
        <w:trPr>
          <w:trHeight w:val="481"/>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Key Indicators: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CFTPay billed clients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995,660</w:t>
            </w:r>
          </w:p>
        </w:tc>
        <w:tc>
          <w:tcPr>
            <w:tcW w:w="0" w:type="dxa"/>
            <w:vAlign w:val="bottom"/>
          </w:tcPr>
          <w:p>
            <w:pPr>
              <w:spacing w:after="0"/>
              <w:rPr>
                <w:sz w:val="1"/>
                <w:szCs w:val="1"/>
                <w:color w:val="auto"/>
              </w:rPr>
            </w:pPr>
          </w:p>
        </w:tc>
      </w:tr>
      <w:tr>
        <w:trPr>
          <w:trHeight w:val="22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CFTPay monthly enrollments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0" w:type="dxa"/>
            <w:vAlign w:val="bottom"/>
          </w:tcPr>
          <w:p>
            <w:pPr>
              <w:spacing w:after="0"/>
              <w:rPr>
                <w:sz w:val="1"/>
                <w:szCs w:val="1"/>
                <w:color w:val="auto"/>
              </w:rPr>
            </w:pPr>
          </w:p>
        </w:tc>
      </w:tr>
      <w:tr>
        <w:trPr>
          <w:trHeight w:val="30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total account balances</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1,542,346</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1,248,432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1,479,057</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1,145,164</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8" w:right="60" w:firstLine="8"/>
        <w:spacing w:after="0" w:line="237" w:lineRule="auto"/>
        <w:tabs>
          <w:tab w:leader="none" w:pos="19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represents the average total account balance in the Treasury Solutions segment, and excludes the deposits maintained in the Merchant Solutions and Payables segments. The total account and deposit balances as of September 30, 2026 and 2025, were $2.0 billion and $1.6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12"/>
          </w:cols>
          <w:pgMar w:left="328" w:top="114" w:right="359" w:bottom="1440" w:gutter="0" w:footer="0" w:header="0"/>
        </w:sectPr>
      </w:pPr>
    </w:p>
    <w:bookmarkStart w:id="14" w:name="page15"/>
    <w:bookmarkEnd w:id="14"/>
    <w:p>
      <w:pPr>
        <w:ind w:left="4140"/>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Unaudited Reportable Segments' Results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9"/>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Merchant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14"/>
                <w:szCs w:val="14"/>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to GAAP Measure:</w:t>
            </w:r>
          </w:p>
        </w:tc>
        <w:tc>
          <w:tcPr>
            <w:tcW w:w="16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8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60,926</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(21,190)</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(non-recurring)</w:t>
            </w: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Bargain purchase adjustment (non-recurring)</w:t>
            </w:r>
          </w:p>
        </w:tc>
        <w:tc>
          <w:tcPr>
            <w:tcW w:w="16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(49,880)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16,594</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12,223</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9"/>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2026</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Merchant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5"/>
                <w:szCs w:val="15"/>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to GAAP Measure:</w:t>
            </w:r>
          </w:p>
        </w:tc>
        <w:tc>
          <w:tcPr>
            <w:tcW w:w="16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178,415</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(56,739)</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(non-recurring)</w:t>
            </w:r>
          </w:p>
        </w:tc>
        <w:tc>
          <w:tcPr>
            <w:tcW w:w="16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Bargain purchase adjustment (non-recurring)</w:t>
            </w:r>
          </w:p>
        </w:tc>
        <w:tc>
          <w:tcPr>
            <w:tcW w:w="16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(145,153)</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43,637</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31,846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9"/>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4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Merchant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14"/>
                <w:szCs w:val="14"/>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to GAAP Measure:</w:t>
            </w:r>
          </w:p>
        </w:tc>
        <w:tc>
          <w:tcPr>
            <w:tcW w:w="16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8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57,759</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(22,463)</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Debt modification and extinguishment expenses</w:t>
            </w: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(non-recurring)</w:t>
            </w: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Bargain purchase gain (non-recurring)</w:t>
            </w:r>
          </w:p>
        </w:tc>
        <w:tc>
          <w:tcPr>
            <w:tcW w:w="16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(55,638)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7,387</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27,588</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40" w:top="114" w:right="419" w:bottom="1440" w:gutter="0" w:footer="0" w:header="0"/>
        </w:sectPr>
      </w:pPr>
    </w:p>
    <w:bookmarkStart w:id="15" w:name="page16"/>
    <w:bookmarkEnd w:id="15"/>
    <w:p>
      <w:pPr>
        <w:ind w:left="4140"/>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Unaudited Reportable Segments' Results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Merchant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180" w:type="dxa"/>
            <w:vAlign w:val="bottom"/>
          </w:tcPr>
          <w:p>
            <w:pPr>
              <w:spacing w:after="0"/>
              <w:rPr>
                <w:sz w:val="14"/>
                <w:szCs w:val="14"/>
                <w:color w:val="auto"/>
              </w:rPr>
            </w:pPr>
          </w:p>
        </w:tc>
        <w:tc>
          <w:tcPr>
            <w:tcW w:w="110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14"/>
                <w:szCs w:val="14"/>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to GAAP Measure:</w:t>
            </w:r>
          </w:p>
        </w:tc>
        <w:tc>
          <w:tcPr>
            <w:tcW w:w="16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6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8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(68,693)</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(42,992)</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Debt modification and extinguishment expenses</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(non-recurring)</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Bargain purchase gain (non-recurring)</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59,960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119,687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(150,924)</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33,207</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46,735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140"/>
      </w:cols>
      <w:pgMar w:left="340" w:top="11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2026-11-05T07:18:29Z</dcterms:created>
  <dcterms:modified xsi:type="dcterms:W3CDTF">2026-11-05T07:18:29Z</dcterms:modified>
</cp:coreProperties>
</file>