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0"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36"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74"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32"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2"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36"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36"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4"/>
          <w:szCs w:val="24"/>
          <w:color w:val="auto"/>
        </w:rPr>
      </w:pPr>
    </w:p>
    <w:p>
      <w:pPr>
        <w:jc w:val="center"/>
        <w:ind w:right="115"/>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286"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01"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67"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9" w:lineRule="exact"/>
        <w:rPr>
          <w:rFonts w:ascii="MS PGothic" w:cs="MS PGothic" w:eastAsia="MS PGothic" w:hAnsi="MS PGothic"/>
          <w:sz w:val="16"/>
          <w:szCs w:val="16"/>
          <w:color w:val="auto"/>
        </w:rPr>
      </w:pPr>
    </w:p>
    <w:p>
      <w:pPr>
        <w:ind w:left="4" w:right="4259" w:hanging="4"/>
        <w:spacing w:after="0" w:line="236" w:lineRule="exact"/>
        <w:tabs>
          <w:tab w:leader="none" w:pos="4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5"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0" w:lineRule="exact"/>
        <w:rPr>
          <w:sz w:val="24"/>
          <w:szCs w:val="24"/>
          <w:color w:val="auto"/>
        </w:rPr>
      </w:pPr>
    </w:p>
    <w:p>
      <w:pPr>
        <w:spacing w:after="0" w:line="262"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5"/>
          <w:szCs w:val="25"/>
          <w:b w:val="1"/>
          <w:bCs w:val="1"/>
          <w:u w:val="single" w:color="auto"/>
          <w:color w:val="auto"/>
        </w:rPr>
        <w:t>PRIORITY TECHNOLOGY HOLDINGS, INC.</w:t>
      </w:r>
    </w:p>
    <w:p>
      <w:pPr>
        <w:spacing w:after="0" w:line="47"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284"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32"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75"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67"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9"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043"/>
          </w:cols>
          <w:pgMar w:left="416" w:top="101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Amendment No. 1 (the “Proxy Statement Amendment”) to the definitive proxy statement on Schedule 14A (the “Proxy Statement”) filed by Priority Technology Holdings, Inc. (the “Company”) with the Securities and Exchange Commission on April 12, 2022 amends and replaces the form of proxy (the “Form of Proxy”) as included in the Proxy Statement. The information set forth in the Proxy Statement remains unchanged except as set forth in this Proxy Statement Amendment, in which case the information in the Proxy Statement is superseded by the information in this Proxy Statement Amendment.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the Form of Proxy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Form of Proxy as included with the Proxy Statement incorrectly stated the proposal as approval of the Priority Technology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Employee Stock Purchase Plan rather than to approve Amendment 1 to the Priority Technology Holdings, Inc. 2021 Employee Stock Purchase Plan.</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3 of the Form of Proxy as included with the Proxy Statement incorrectly stated the proposal as a vote to approve an amendment to our Second Amended and Restated Certificate of Incorporation to eliminate supermajority voting requirements rather than to approve Amendment 1 to the Priority Technology Holdings, Inc. 2018 Equity Incentive Plan.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this Proxy Statement Amendment, the Company is filing an amended form of proxy (the “Amended Form of Proxy”). The Amended Form of Proxy is necessary to make the Form of Proxy consistent with the proxy card that has been mailed to shareholders for vote at the Annual Meeting of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soliciting materials distributed to shareholders contained the Amended Form of Proxy.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Form of Proxy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Form of Proxy is as follows:</w:t>
      </w:r>
    </w:p>
    <w:p>
      <w:pPr>
        <w:sectPr>
          <w:pgSz w:w="11900" w:h="16838" w:orient="portrait"/>
          <w:cols w:equalWidth="0" w:num="1">
            <w:col w:w="11240"/>
          </w:cols>
          <w:pgMar w:left="320" w:top="90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26"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up until 11:59 P.M. Eastern Time on May 24, 2022. Have your proxy card in hand when you access the web site and follow the instructions to obtain your records and to create an electronic voting instruction 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www.virtualshareholdermeeting.com/PRTH2022</w:t>
      </w:r>
      <w:r>
        <w:rPr>
          <w:rFonts w:ascii="Times New Roman" w:cs="Times New Roman" w:eastAsia="Times New Roman" w:hAnsi="Times New Roman"/>
          <w:sz w:val="14"/>
          <w:szCs w:val="14"/>
          <w:b w:val="1"/>
          <w:bCs w:val="1"/>
          <w:color w:val="auto"/>
        </w:rPr>
        <w:t>.</w:t>
      </w:r>
    </w:p>
    <w:p>
      <w:pPr>
        <w:spacing w:after="0" w:line="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b w:val="1"/>
          <w:bCs w:val="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50"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up until 11:59 P.M. Eastern Time on May 24, 2022.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50"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9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ectPr>
          <w:pgSz w:w="11900" w:h="16838" w:orient="portrait"/>
          <w:cols w:equalWidth="0" w:num="1">
            <w:col w:w="11240"/>
          </w:cols>
          <w:pgMar w:left="320" w:top="992"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17" w:lineRule="exact"/>
        <w:rPr>
          <w:sz w:val="20"/>
          <w:szCs w:val="20"/>
          <w:color w:val="auto"/>
        </w:rPr>
      </w:pPr>
    </w:p>
    <w:p>
      <w:pPr>
        <w:ind w:right="1040"/>
        <w:spacing w:after="0" w:line="285"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ONE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on the following proposal:</w:t>
      </w:r>
    </w:p>
    <w:p>
      <w:pPr>
        <w:spacing w:after="0" w:line="187" w:lineRule="exact"/>
        <w:rPr>
          <w:sz w:val="20"/>
          <w:szCs w:val="20"/>
          <w:color w:val="auto"/>
        </w:rPr>
      </w:pPr>
    </w:p>
    <w:p>
      <w:pPr>
        <w:sectPr>
          <w:pgSz w:w="11900" w:h="16838" w:orient="portrait"/>
          <w:cols w:equalWidth="0" w:num="2">
            <w:col w:w="4680" w:space="720"/>
            <w:col w:w="5540"/>
          </w:cols>
          <w:pgMar w:left="340" w:top="938" w:right="619" w:bottom="1440" w:gutter="0" w:footer="0" w:header="0"/>
        </w:sect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1. To elect the following six directors to serve until their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8"/>
        </w:trPr>
        <w:tc>
          <w:tcPr>
            <w:tcW w:w="33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successors are duly elected and qualified:</w:t>
            </w:r>
          </w:p>
        </w:tc>
        <w:tc>
          <w:tcPr>
            <w:tcW w:w="3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For</w:t>
            </w:r>
          </w:p>
        </w:tc>
        <w:tc>
          <w:tcPr>
            <w:tcW w:w="70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color w:val="auto"/>
              </w:rPr>
              <w:t>Against</w:t>
            </w:r>
          </w:p>
        </w:tc>
        <w:tc>
          <w:tcPr>
            <w:tcW w:w="82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4"/>
                <w:szCs w:val="14"/>
                <w:color w:val="auto"/>
              </w:rPr>
              <w:t>Abstain</w:t>
            </w:r>
          </w:p>
        </w:tc>
        <w:tc>
          <w:tcPr>
            <w:tcW w:w="3400" w:type="dxa"/>
            <w:vAlign w:val="bottom"/>
          </w:tcPr>
          <w:p>
            <w:pPr>
              <w:spacing w:after="0"/>
              <w:rPr>
                <w:sz w:val="13"/>
                <w:szCs w:val="13"/>
                <w:color w:val="auto"/>
              </w:rPr>
            </w:pPr>
          </w:p>
        </w:tc>
        <w:tc>
          <w:tcPr>
            <w:tcW w:w="122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color w:val="auto"/>
              </w:rPr>
              <w:t>1 year   2 years</w:t>
            </w:r>
          </w:p>
        </w:tc>
        <w:tc>
          <w:tcPr>
            <w:tcW w:w="5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3 years</w:t>
            </w:r>
          </w:p>
        </w:tc>
        <w:tc>
          <w:tcPr>
            <w:tcW w:w="6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color w:val="auto"/>
                <w:w w:val="96"/>
              </w:rPr>
              <w:t>Abstain</w:t>
            </w:r>
          </w:p>
        </w:tc>
      </w:tr>
      <w:tr>
        <w:trPr>
          <w:trHeight w:val="227"/>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365"/>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1a. Thomas Priore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5. To approve, on a non-binding advisory basis, the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5"/>
          </w:tcPr>
          <w:p>
            <w:pPr>
              <w:ind w:left="240"/>
              <w:spacing w:after="0" w:line="149" w:lineRule="exact"/>
              <w:rPr>
                <w:sz w:val="20"/>
                <w:szCs w:val="20"/>
                <w:color w:val="auto"/>
              </w:rPr>
            </w:pPr>
            <w:r>
              <w:rPr>
                <w:rFonts w:ascii="Times New Roman" w:cs="Times New Roman" w:eastAsia="Times New Roman" w:hAnsi="Times New Roman"/>
                <w:sz w:val="14"/>
                <w:szCs w:val="14"/>
                <w:color w:val="auto"/>
              </w:rPr>
              <w:t>frequency of future shareholder advisory votes on the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5"/>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1b. John Priore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compensation of our Named Executive Officers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64"/>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1c. Marietta Davis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5"/>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1d. Christina Favilla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1e. Stephen Hipp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1f. Michael Passilla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40"/>
          </w:cols>
          <w:pgMar w:left="340" w:top="938" w:right="619" w:bottom="1440" w:gutter="0" w:footer="0" w:header="0"/>
          <w:type w:val="continuous"/>
        </w:sectPr>
      </w:pPr>
    </w:p>
    <w:p>
      <w:pPr>
        <w:spacing w:after="0" w:line="42" w:lineRule="exact"/>
        <w:rPr>
          <w:sz w:val="20"/>
          <w:szCs w:val="20"/>
          <w:color w:val="auto"/>
        </w:rPr>
      </w:pPr>
    </w:p>
    <w:p>
      <w:pPr>
        <w:ind w:right="1600"/>
        <w:spacing w:after="0" w:line="283"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proposals 2, 3 and 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following proposal:</w:t>
      </w:r>
    </w:p>
    <w:p>
      <w:pPr>
        <w:spacing w:after="0" w:line="39" w:lineRule="exact"/>
        <w:rPr>
          <w:sz w:val="20"/>
          <w:szCs w:val="20"/>
          <w:color w:val="auto"/>
        </w:rPr>
      </w:pPr>
    </w:p>
    <w:p>
      <w:pPr>
        <w:sectPr>
          <w:pgSz w:w="11900" w:h="16838" w:orient="portrait"/>
          <w:cols w:equalWidth="0" w:num="2">
            <w:col w:w="4680" w:space="720"/>
            <w:col w:w="5540"/>
          </w:cols>
          <w:pgMar w:left="340" w:top="938" w:right="619" w:bottom="1440" w:gutter="0" w:footer="0" w:header="0"/>
          <w:type w:val="continuous"/>
        </w:sectPr>
      </w:pPr>
    </w:p>
    <w:p>
      <w:pPr>
        <w:spacing w:after="0" w:line="215" w:lineRule="exact"/>
        <w:rPr>
          <w:sz w:val="20"/>
          <w:szCs w:val="20"/>
          <w:color w:val="auto"/>
        </w:rPr>
      </w:pPr>
    </w:p>
    <w:p>
      <w:pPr>
        <w:jc w:val="both"/>
        <w:ind w:right="120" w:firstLine="6"/>
        <w:spacing w:after="0" w:line="282" w:lineRule="auto"/>
        <w:tabs>
          <w:tab w:leader="none" w:pos="1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Amendment 1 to Priority Technology Holdings, Inc. 2021 Employee Stock Purchase Plan.</w:t>
      </w:r>
    </w:p>
    <w:p>
      <w:pPr>
        <w:spacing w:after="0" w:line="200" w:lineRule="exact"/>
        <w:rPr>
          <w:rFonts w:ascii="Times New Roman" w:cs="Times New Roman" w:eastAsia="Times New Roman" w:hAnsi="Times New Roman"/>
          <w:sz w:val="14"/>
          <w:szCs w:val="14"/>
          <w:color w:val="auto"/>
        </w:rPr>
      </w:pPr>
    </w:p>
    <w:p>
      <w:pPr>
        <w:spacing w:after="0" w:line="272" w:lineRule="exact"/>
        <w:rPr>
          <w:rFonts w:ascii="Times New Roman" w:cs="Times New Roman" w:eastAsia="Times New Roman" w:hAnsi="Times New Roman"/>
          <w:sz w:val="14"/>
          <w:szCs w:val="14"/>
          <w:color w:val="auto"/>
        </w:rPr>
      </w:pPr>
    </w:p>
    <w:p>
      <w:pPr>
        <w:ind w:right="140" w:firstLine="6"/>
        <w:spacing w:after="0" w:line="282" w:lineRule="auto"/>
        <w:tabs>
          <w:tab w:leader="none" w:pos="1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Amendment 1 to Priority Technology Holdings, Inc. 2018 Equity Incentive Plan.</w:t>
      </w:r>
    </w:p>
    <w:p>
      <w:pPr>
        <w:spacing w:after="0" w:line="200" w:lineRule="exact"/>
        <w:rPr>
          <w:rFonts w:ascii="Times New Roman" w:cs="Times New Roman" w:eastAsia="Times New Roman" w:hAnsi="Times New Roman"/>
          <w:sz w:val="14"/>
          <w:szCs w:val="14"/>
          <w:color w:val="auto"/>
        </w:rPr>
      </w:pPr>
    </w:p>
    <w:p>
      <w:pPr>
        <w:spacing w:after="0" w:line="380" w:lineRule="exact"/>
        <w:rPr>
          <w:rFonts w:ascii="Times New Roman" w:cs="Times New Roman" w:eastAsia="Times New Roman" w:hAnsi="Times New Roman"/>
          <w:sz w:val="14"/>
          <w:szCs w:val="14"/>
          <w:color w:val="auto"/>
        </w:rPr>
      </w:pPr>
    </w:p>
    <w:p>
      <w:pPr>
        <w:ind w:right="180" w:firstLine="6"/>
        <w:spacing w:after="0" w:line="282" w:lineRule="auto"/>
        <w:tabs>
          <w:tab w:leader="none" w:pos="1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 non-binding advisory basis, the compensation of our Named Executive Officers.</w:t>
      </w:r>
    </w:p>
    <w:p>
      <w:pPr>
        <w:spacing w:after="0" w:line="3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284607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00" w:val="left"/>
          <w:tab w:leader="none" w:pos="1140" w:val="left"/>
          <w:tab w:leader="none" w:pos="6000" w:val="left"/>
          <w:tab w:leader="none" w:pos="6440" w:val="left"/>
          <w:tab w:leader="none" w:pos="7160" w:val="left"/>
        </w:tabs>
        <w:rPr>
          <w:sz w:val="20"/>
          <w:szCs w:val="20"/>
          <w:color w:val="auto"/>
        </w:rPr>
      </w:pP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55" w:lineRule="exact"/>
        <w:rPr>
          <w:sz w:val="20"/>
          <w:szCs w:val="20"/>
          <w:color w:val="auto"/>
        </w:rPr>
      </w:pPr>
    </w:p>
    <w:p>
      <w:pPr>
        <w:ind w:left="2080" w:right="2440" w:firstLine="6"/>
        <w:spacing w:after="0" w:line="255" w:lineRule="auto"/>
        <w:tabs>
          <w:tab w:leader="none" w:pos="2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Ernst and Young LLP as the Company's independent registered public accounting firm for the year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NOTE: To consider such other business as may</w:t>
      </w:r>
    </w:p>
    <w:p>
      <w:pPr>
        <w:spacing w:after="0" w:line="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properly come before the</w:t>
      </w:r>
    </w:p>
    <w:p>
      <w:pPr>
        <w:spacing w:after="0" w:line="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Annual Meeting and any adjournments or</w:t>
      </w:r>
    </w:p>
    <w:p>
      <w:pPr>
        <w:spacing w:after="0" w:line="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193675</wp:posOffset>
            </wp:positionV>
            <wp:extent cx="3240405" cy="248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0405"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80"/>
            <w:col w:w="7620"/>
          </w:cols>
          <w:pgMar w:left="340" w:top="938" w:right="6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10940"/>
          </w:cols>
          <w:pgMar w:left="340" w:top="938" w:right="61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 25, 2022 11:00 A.M. Eastern Daylight Time</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www.virtualshareholdermeeting.com/PRTH2022 or any adjournment or postponement thereof, with all powers which the undersigned would possess if present at the meeting.</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3 AND 4, ONE YEAR ON PROPOSAL 5, FOR PROPOSAL 6,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120"/>
      </w:cols>
      <w:pgMar w:left="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2022-04-13T16:04:08Z</dcterms:created>
  <dcterms:modified xsi:type="dcterms:W3CDTF">2022-04-13T16:04:08Z</dcterms:modified>
</cp:coreProperties>
</file>