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26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February 14,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3"/>
              </w:rPr>
              <w:t>Delaware</w:t>
            </w:r>
          </w:p>
        </w:tc>
        <w:tc>
          <w:tcPr>
            <w:tcW w:w="2980" w:type="dxa"/>
            <w:vAlign w:val="bottom"/>
            <w:gridSpan w:val="3"/>
          </w:tcPr>
          <w:p>
            <w:pPr>
              <w:jc w:val="right"/>
              <w:ind w:right="1360"/>
              <w:spacing w:after="0"/>
              <w:rPr>
                <w:sz w:val="20"/>
                <w:szCs w:val="20"/>
                <w:color w:val="auto"/>
              </w:rPr>
            </w:pPr>
            <w:r>
              <w:rPr>
                <w:rFonts w:ascii="Arial" w:cs="Arial" w:eastAsia="Arial" w:hAnsi="Arial"/>
                <w:sz w:val="18"/>
                <w:szCs w:val="18"/>
                <w:b w:val="1"/>
                <w:bCs w:val="1"/>
                <w:color w:val="auto"/>
              </w:rPr>
              <w:t>001-37872</w:t>
            </w:r>
          </w:p>
        </w:tc>
        <w:tc>
          <w:tcPr>
            <w:tcW w:w="3860" w:type="dxa"/>
            <w:vAlign w:val="bottom"/>
            <w:gridSpan w:val="2"/>
          </w:tcPr>
          <w:p>
            <w:pPr>
              <w:jc w:val="right"/>
              <w:ind w:right="133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6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2980" w:type="dxa"/>
            <w:vAlign w:val="bottom"/>
            <w:tcBorders>
              <w:top w:val="single" w:sz="8" w:color="auto"/>
            </w:tcBorders>
            <w:gridSpan w:val="3"/>
          </w:tcPr>
          <w:p>
            <w:pPr>
              <w:jc w:val="center"/>
              <w:ind w:right="560"/>
              <w:spacing w:after="0"/>
              <w:rPr>
                <w:sz w:val="20"/>
                <w:szCs w:val="20"/>
                <w:color w:val="auto"/>
              </w:rPr>
            </w:pPr>
            <w:r>
              <w:rPr>
                <w:rFonts w:ascii="Arial" w:cs="Arial" w:eastAsia="Arial" w:hAnsi="Arial"/>
                <w:sz w:val="18"/>
                <w:szCs w:val="18"/>
                <w:color w:val="auto"/>
                <w:w w:val="92"/>
              </w:rPr>
              <w:t>(Commission File Number)</w:t>
            </w:r>
          </w:p>
        </w:tc>
        <w:tc>
          <w:tcPr>
            <w:tcW w:w="140" w:type="dxa"/>
            <w:vAlign w:val="bottom"/>
          </w:tcPr>
          <w:p>
            <w:pPr>
              <w:spacing w:after="0"/>
              <w:rPr>
                <w:sz w:val="18"/>
                <w:szCs w:val="18"/>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(I.R.S. Employer Identification No.)</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540" w:type="dxa"/>
            <w:vAlign w:val="bottom"/>
            <w:gridSpan w:val="3"/>
          </w:tcPr>
          <w:p>
            <w:pPr>
              <w:jc w:val="center"/>
              <w:ind w:right="720"/>
              <w:spacing w:after="0"/>
              <w:rPr>
                <w:sz w:val="20"/>
                <w:szCs w:val="20"/>
                <w:color w:val="auto"/>
              </w:rPr>
            </w:pPr>
            <w:r>
              <w:rPr>
                <w:rFonts w:ascii="Arial" w:cs="Arial" w:eastAsia="Arial" w:hAnsi="Arial"/>
                <w:sz w:val="18"/>
                <w:szCs w:val="18"/>
                <w:color w:val="auto"/>
                <w:w w:val="92"/>
              </w:rPr>
              <w:t>incorporation)</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1"/>
        </w:trPr>
        <w:tc>
          <w:tcPr>
            <w:tcW w:w="20" w:type="dxa"/>
            <w:vAlign w:val="bottom"/>
          </w:tcPr>
          <w:p>
            <w:pPr>
              <w:spacing w:after="0"/>
              <w:rPr>
                <w:sz w:val="24"/>
                <w:szCs w:val="24"/>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0"/>
              </w:rPr>
              <w:t>2001 Westside Parkway</w:t>
            </w: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jc w:val="center"/>
              <w:ind w:left="1170"/>
              <w:spacing w:after="0"/>
              <w:rPr>
                <w:sz w:val="20"/>
                <w:szCs w:val="20"/>
                <w:color w:val="auto"/>
              </w:rPr>
            </w:pPr>
            <w:r>
              <w:rPr>
                <w:rFonts w:ascii="Arial" w:cs="Arial" w:eastAsia="Arial" w:hAnsi="Arial"/>
                <w:sz w:val="18"/>
                <w:szCs w:val="18"/>
                <w:b w:val="1"/>
                <w:bCs w:val="1"/>
                <w:color w:val="auto"/>
                <w:w w:val="91"/>
              </w:rPr>
              <w:t>Suite 155</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5"/>
              </w:rPr>
              <w:t>Alpharetta, GA</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2"/>
          </w:tcPr>
          <w:p>
            <w:pPr>
              <w:jc w:val="right"/>
              <w:ind w:right="2390"/>
              <w:spacing w:after="0"/>
              <w:rPr>
                <w:sz w:val="20"/>
                <w:szCs w:val="20"/>
                <w:color w:val="auto"/>
              </w:rPr>
            </w:pPr>
            <w:r>
              <w:rPr>
                <w:rFonts w:ascii="Arial" w:cs="Arial" w:eastAsia="Arial" w:hAnsi="Arial"/>
                <w:sz w:val="18"/>
                <w:szCs w:val="18"/>
                <w:b w:val="1"/>
                <w:bCs w:val="1"/>
                <w:color w:val="auto"/>
              </w:rPr>
              <w:t>30004</w:t>
            </w:r>
          </w:p>
        </w:tc>
        <w:tc>
          <w:tcPr>
            <w:tcW w:w="20" w:type="dxa"/>
            <w:vAlign w:val="bottom"/>
            <w:tcBorders>
              <w:bottom w:val="single" w:sz="8" w:color="auto"/>
            </w:tcBorders>
          </w:tcPr>
          <w:p>
            <w:pPr>
              <w:spacing w:after="0"/>
              <w:rPr>
                <w:sz w:val="20"/>
                <w:szCs w:val="20"/>
                <w:color w:val="auto"/>
              </w:rPr>
            </w:pPr>
          </w:p>
        </w:tc>
      </w:tr>
      <w:tr>
        <w:trPr>
          <w:trHeight w:val="224"/>
        </w:trPr>
        <w:tc>
          <w:tcPr>
            <w:tcW w:w="20" w:type="dxa"/>
            <w:vAlign w:val="bottom"/>
          </w:tcPr>
          <w:p>
            <w:pPr>
              <w:spacing w:after="0"/>
              <w:rPr>
                <w:sz w:val="19"/>
                <w:szCs w:val="19"/>
                <w:color w:val="auto"/>
              </w:rPr>
            </w:pPr>
          </w:p>
        </w:tc>
        <w:tc>
          <w:tcPr>
            <w:tcW w:w="4540" w:type="dxa"/>
            <w:vAlign w:val="bottom"/>
            <w:gridSpan w:val="3"/>
          </w:tcPr>
          <w:p>
            <w:pPr>
              <w:jc w:val="center"/>
              <w:ind w:left="1110"/>
              <w:spacing w:after="0"/>
              <w:rPr>
                <w:sz w:val="20"/>
                <w:szCs w:val="20"/>
                <w:color w:val="auto"/>
              </w:rPr>
            </w:pPr>
            <w:r>
              <w:rPr>
                <w:rFonts w:ascii="Arial" w:cs="Arial" w:eastAsia="Arial" w:hAnsi="Arial"/>
                <w:sz w:val="18"/>
                <w:szCs w:val="18"/>
                <w:color w:val="auto"/>
                <w:w w:val="92"/>
              </w:rPr>
              <w:t>(Address of Principal Executive Offices)</w:t>
            </w: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2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c>
          <w:tcPr>
            <w:tcW w:w="20" w:type="dxa"/>
            <w:vAlign w:val="bottom"/>
          </w:tcPr>
          <w:p>
            <w:pPr>
              <w:spacing w:after="0"/>
              <w:rPr>
                <w:sz w:val="19"/>
                <w:szCs w:val="19"/>
                <w:color w:val="auto"/>
              </w:rPr>
            </w:pPr>
          </w:p>
        </w:tc>
      </w:tr>
    </w:tbl>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340" w:right="120" w:hanging="323"/>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w:t>
      </w:r>
    </w:p>
    <w:p>
      <w:pPr>
        <w:spacing w:after="0" w:line="225"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 w:lineRule="exact"/>
        <w:rPr>
          <w:sz w:val="24"/>
          <w:szCs w:val="24"/>
          <w:color w:val="auto"/>
        </w:rPr>
      </w:pPr>
    </w:p>
    <w:p>
      <w:pPr>
        <w:ind w:right="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79" w:lineRule="exact"/>
        <w:rPr>
          <w:sz w:val="20"/>
          <w:szCs w:val="20"/>
          <w:color w:val="auto"/>
        </w:rPr>
      </w:pPr>
    </w:p>
    <w:p>
      <w:pPr>
        <w:sectPr>
          <w:pgSz w:w="11900" w:h="16838" w:orient="portrait"/>
          <w:cols w:equalWidth="0" w:num="2">
            <w:col w:w="720" w:space="660"/>
            <w:col w:w="9980"/>
          </w:cols>
          <w:pgMar w:left="240" w:top="351" w:right="299" w:bottom="1440" w:gutter="0" w:footer="0" w:header="0"/>
        </w:sectPr>
      </w:pPr>
    </w:p>
    <w:p>
      <w:pPr>
        <w:ind w:right="60"/>
        <w:spacing w:after="0" w:line="270" w:lineRule="auto"/>
        <w:rPr>
          <w:sz w:val="20"/>
          <w:szCs w:val="20"/>
          <w:color w:val="auto"/>
        </w:rPr>
      </w:pPr>
      <w:r>
        <w:rPr>
          <w:rFonts w:ascii="Arial" w:cs="Arial" w:eastAsia="Arial" w:hAnsi="Arial"/>
          <w:sz w:val="17"/>
          <w:szCs w:val="17"/>
          <w:color w:val="auto"/>
        </w:rPr>
        <w:t>On February 14, 2019, the board of directors of Priority Technology Holdings, Inc. (the “Company”) approved a cash bonus award for the year ended December 31, 2018 for Thomas C. Priore, the Company’s President, Chief Executive Officer and Chairman and one of the Named Executive Officers identified in the Company’s Prospectus/Offer to Exchange, dated as of February 11, 2019 (the “Prospectus”). The award was made pursuant to that certain Director Agreement, dated as of May 21, 2014, as amended by Amendment No. 1 thereto dated as of April 19, 2018, between certain subsidiaries of the Company and Thomas C. Priore. As of the filing of the Prospectus, the amount of the cash bonus award for 2018 for Thomas C. Priore had not been determined and, therefore, was not included in the 2018 Summary Compensation Table included in the Prospectus. All other compensation for Thomas C. Priore and the other Named Executive Officers for 2018 was previously reported by the Company in the 2018 Summary Compensation Table on page 103 of the Prospectus. Pursuant to Instruction 1 to Item 402(c)(2)(iii) and (iv) of Regulation S-K and Item 5.02(f) of Form 8-K, the amount of the cash bonus award for 2018 for Thomas C. Priore was $400,000 and the total compensation for 2018 for Thomas C. Priore, recalculated to include the cash bonus award for 2018, was $900,000.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21, 2019</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 /s/ Michael Vollkommer</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Michael Vollkommer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-130810</wp:posOffset>
            </wp:positionV>
            <wp:extent cx="3241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1420"/>
      </w:cols>
      <w:pgMar w:left="240" w:top="35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2020-01-09T21:58:38Z</dcterms:created>
  <dcterms:modified xsi:type="dcterms:W3CDTF">2020-01-09T21:58:38Z</dcterms:modified>
</cp:coreProperties>
</file>