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March 6, 2025</w:t>
      </w:r>
    </w:p>
    <w:p>
      <w:pPr>
        <w:spacing w:after="0" w:line="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735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r>
      <w:tr>
        <w:trPr>
          <w:trHeight w:val="234"/>
        </w:trPr>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520" w:type="dxa"/>
            <w:vAlign w:val="bottom"/>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212"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447675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6, 2025, Priority Technology Holdings, Inc. ("Priority") issued a press release announcing its financial results for the quarter ended December 31, 2024.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March 6, 2025, Priority will hold an earnings conference call and webcast at 11:00 a.m. (Eastern Time) to discuss the financial results for the quarter ended December 31, 2024.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March 6, 2025</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March 6, 2025</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86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16510</wp:posOffset>
            </wp:positionV>
            <wp:extent cx="129159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chris.kettmann@dgagroup.com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Priority Technology Holdings, Inc. Announces Fourth Quarter and Full Year </w:t>
      </w: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6"/>
          <w:szCs w:val="16"/>
          <w:b w:val="1"/>
          <w:bCs w:val="1"/>
          <w:color w:val="auto"/>
        </w:rPr>
        <w:t xml:space="preserve">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Strong </w:t>
      </w:r>
      <w:r>
        <w:rPr>
          <w:rFonts w:ascii="Times New Roman" w:cs="Times New Roman" w:eastAsia="Times New Roman" w:hAnsi="Times New Roman"/>
          <w:sz w:val="15"/>
          <w:szCs w:val="15"/>
          <w:i w:val="1"/>
          <w:iCs w:val="1"/>
          <w:color w:val="auto"/>
        </w:rPr>
        <w:t>Fourth Quarter</w:t>
      </w:r>
      <w:r>
        <w:rPr>
          <w:rFonts w:ascii="Times New Roman" w:cs="Times New Roman" w:eastAsia="Times New Roman" w:hAnsi="Times New Roman"/>
          <w:sz w:val="14"/>
          <w:szCs w:val="14"/>
          <w:i w:val="1"/>
          <w:iCs w:val="1"/>
          <w:color w:val="auto"/>
        </w:rPr>
        <w:t xml:space="preserve"> Growth Driven by Performance Across Diverse Business Segments</w:t>
      </w:r>
    </w:p>
    <w:p>
      <w:pPr>
        <w:spacing w:after="0" w:line="18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3"/>
          <w:szCs w:val="13"/>
          <w:color w:val="auto"/>
        </w:rPr>
        <w:t xml:space="preserve">ALPHARETTA, GA - </w:t>
      </w:r>
      <w:r>
        <w:rPr>
          <w:rFonts w:ascii="Times New Roman" w:cs="Times New Roman" w:eastAsia="Times New Roman" w:hAnsi="Times New Roman"/>
          <w:sz w:val="14"/>
          <w:szCs w:val="14"/>
          <w:color w:val="auto"/>
        </w:rPr>
        <w:t>March 6, 2025</w:t>
      </w:r>
      <w:r>
        <w:rPr>
          <w:rFonts w:ascii="Times New Roman" w:cs="Times New Roman" w:eastAsia="Times New Roman" w:hAnsi="Times New Roman"/>
          <w:sz w:val="13"/>
          <w:szCs w:val="13"/>
          <w:color w:val="auto"/>
        </w:rPr>
        <w:t xml:space="preserve"> -- Priority Technology Holdings, Inc. (NASDAQ: PRTH) ("Priority" or the "Company"), a payments and </w:t>
      </w:r>
      <w:r>
        <w:rPr>
          <w:rFonts w:ascii="Times New Roman" w:cs="Times New Roman" w:eastAsia="Times New Roman" w:hAnsi="Times New Roman"/>
          <w:sz w:val="14"/>
          <w:szCs w:val="14"/>
          <w:color w:val="auto"/>
        </w:rPr>
        <w:t>banking fintech that streamlines collecting, storing, lending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and sending money through its innovative commerce engine (the “Priority Commerce Engine” or “PCE”) to unlock revenue opportunities and generate operational success for businesses</w:t>
      </w:r>
      <w:r>
        <w:rPr>
          <w:rFonts w:ascii="Times New Roman" w:cs="Times New Roman" w:eastAsia="Times New Roman" w:hAnsi="Times New Roman"/>
          <w:sz w:val="13"/>
          <w:szCs w:val="13"/>
          <w:color w:val="auto"/>
        </w:rPr>
        <w:t>, has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 xml:space="preserve">announced its fourth quarter and full year </w:t>
      </w:r>
      <w:r>
        <w:rPr>
          <w:rFonts w:ascii="Times New Roman" w:cs="Times New Roman" w:eastAsia="Times New Roman" w:hAnsi="Times New Roman"/>
          <w:sz w:val="14"/>
          <w:szCs w:val="14"/>
          <w:color w:val="auto"/>
        </w:rPr>
        <w:t>2024</w:t>
      </w:r>
      <w:r>
        <w:rPr>
          <w:rFonts w:ascii="Times New Roman" w:cs="Times New Roman" w:eastAsia="Times New Roman" w:hAnsi="Times New Roman"/>
          <w:sz w:val="13"/>
          <w:szCs w:val="13"/>
          <w:color w:val="auto"/>
        </w:rPr>
        <w:t xml:space="preserve"> financial results including strong year-over-year revenue and profit growth.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Fourth Quarter </w:t>
      </w:r>
      <w:r>
        <w:rPr>
          <w:rFonts w:ascii="Times New Roman" w:cs="Times New Roman" w:eastAsia="Times New Roman" w:hAnsi="Times New Roman"/>
          <w:sz w:val="14"/>
          <w:szCs w:val="14"/>
          <w:b w:val="1"/>
          <w:bCs w:val="1"/>
          <w:i w:val="1"/>
          <w:iCs w:val="1"/>
          <w:color w:val="auto"/>
        </w:rPr>
        <w:t>2024</w:t>
      </w:r>
      <w:r>
        <w:rPr>
          <w:rFonts w:ascii="Times New Roman" w:cs="Times New Roman" w:eastAsia="Times New Roman" w:hAnsi="Times New Roman"/>
          <w:sz w:val="13"/>
          <w:szCs w:val="13"/>
          <w:b w:val="1"/>
          <w:bCs w:val="1"/>
          <w:i w:val="1"/>
          <w:iCs w:val="1"/>
          <w:color w:val="auto"/>
        </w:rPr>
        <w:t xml:space="preserve"> Compared with Fourth Quarter </w:t>
      </w:r>
      <w:r>
        <w:rPr>
          <w:rFonts w:ascii="Times New Roman" w:cs="Times New Roman" w:eastAsia="Times New Roman" w:hAnsi="Times New Roman"/>
          <w:sz w:val="14"/>
          <w:szCs w:val="14"/>
          <w:b w:val="1"/>
          <w:bCs w:val="1"/>
          <w:i w:val="1"/>
          <w:iCs w:val="1"/>
          <w:color w:val="auto"/>
        </w:rPr>
        <w:t>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Financial highlights of the fourth quarter of </w:t>
      </w:r>
      <w:r>
        <w:rPr>
          <w:rFonts w:ascii="Times New Roman" w:cs="Times New Roman" w:eastAsia="Times New Roman" w:hAnsi="Times New Roman"/>
          <w:sz w:val="14"/>
          <w:szCs w:val="14"/>
          <w:color w:val="auto"/>
        </w:rPr>
        <w:t>2024</w:t>
      </w:r>
      <w:r>
        <w:rPr>
          <w:rFonts w:ascii="Times New Roman" w:cs="Times New Roman" w:eastAsia="Times New Roman" w:hAnsi="Times New Roman"/>
          <w:sz w:val="13"/>
          <w:szCs w:val="13"/>
          <w:color w:val="auto"/>
        </w:rPr>
        <w:t xml:space="preserve"> compared with the fourth quarter of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3"/>
          <w:szCs w:val="13"/>
          <w:color w:val="auto"/>
        </w:rPr>
        <w:t>, are as follows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w:t>
      </w:r>
    </w:p>
    <w:p>
      <w:pPr>
        <w:spacing w:after="0" w:line="150"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$227.1 million increased 13.9% from $199.3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$83.9 million increased 15.1% from $72.9 million</w:t>
      </w:r>
    </w:p>
    <w:p>
      <w:pPr>
        <w:spacing w:after="0" w:line="7"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37.0% increased 40.0 basis points from 36.6%</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$34.1 million increased 54.9% from $22.0 million</w:t>
      </w:r>
    </w:p>
    <w:p>
      <w:pPr>
        <w:spacing w:after="0" w:line="1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$51.7 million increased 16.0% from $44.6 million</w:t>
      </w:r>
    </w:p>
    <w:p>
      <w:pPr>
        <w:spacing w:after="0" w:line="14" w:lineRule="exact"/>
        <w:rPr>
          <w:rFonts w:ascii="Times New Roman" w:cs="Times New Roman" w:eastAsia="Times New Roman" w:hAnsi="Times New Roman"/>
          <w:sz w:val="13"/>
          <w:szCs w:val="13"/>
          <w:color w:val="auto"/>
        </w:rPr>
      </w:pPr>
    </w:p>
    <w:p>
      <w:pPr>
        <w:ind w:left="420" w:hanging="212"/>
        <w:spacing w:after="0" w:line="232"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EPS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$0.18</w:t>
      </w:r>
      <w:r>
        <w:rPr>
          <w:rFonts w:ascii="Times New Roman" w:cs="Times New Roman" w:eastAsia="Times New Roman" w:hAnsi="Times New Roman"/>
          <w:sz w:val="13"/>
          <w:szCs w:val="13"/>
          <w:color w:val="auto"/>
        </w:rPr>
        <w:t xml:space="preserve"> increased 800% from </w:t>
      </w:r>
      <w:r>
        <w:rPr>
          <w:rFonts w:ascii="Times New Roman" w:cs="Times New Roman" w:eastAsia="Times New Roman" w:hAnsi="Times New Roman"/>
          <w:sz w:val="14"/>
          <w:szCs w:val="14"/>
          <w:color w:val="auto"/>
        </w:rPr>
        <w:t>$0.02</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Driven by strong cash flow performance in 2024, the Company made a $10.0 million voluntary prepayment on its term loan on February 28,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Full Year </w:t>
      </w:r>
      <w:r>
        <w:rPr>
          <w:rFonts w:ascii="Times New Roman" w:cs="Times New Roman" w:eastAsia="Times New Roman" w:hAnsi="Times New Roman"/>
          <w:sz w:val="14"/>
          <w:szCs w:val="14"/>
          <w:b w:val="1"/>
          <w:bCs w:val="1"/>
          <w:i w:val="1"/>
          <w:iCs w:val="1"/>
          <w:color w:val="auto"/>
        </w:rPr>
        <w:t>2024</w:t>
      </w:r>
      <w:r>
        <w:rPr>
          <w:rFonts w:ascii="Times New Roman" w:cs="Times New Roman" w:eastAsia="Times New Roman" w:hAnsi="Times New Roman"/>
          <w:sz w:val="13"/>
          <w:szCs w:val="13"/>
          <w:b w:val="1"/>
          <w:bCs w:val="1"/>
          <w:i w:val="1"/>
          <w:iCs w:val="1"/>
          <w:color w:val="auto"/>
        </w:rPr>
        <w:t xml:space="preserve"> Compared with Full Year </w:t>
      </w:r>
      <w:r>
        <w:rPr>
          <w:rFonts w:ascii="Times New Roman" w:cs="Times New Roman" w:eastAsia="Times New Roman" w:hAnsi="Times New Roman"/>
          <w:sz w:val="14"/>
          <w:szCs w:val="14"/>
          <w:b w:val="1"/>
          <w:bCs w:val="1"/>
          <w:i w:val="1"/>
          <w:iCs w:val="1"/>
          <w:color w:val="auto"/>
        </w:rPr>
        <w:t>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Full Year of 2024 compared with the Full Year of 2023, are as follows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$879.7 million increased 16.4% from $755.6 million</w:t>
      </w:r>
    </w:p>
    <w:p>
      <w:pPr>
        <w:spacing w:after="0" w:line="32"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$328.1 million increased 19.2% from $275.3 million</w:t>
      </w:r>
    </w:p>
    <w:p>
      <w:pPr>
        <w:spacing w:after="0" w:line="5" w:lineRule="exact"/>
        <w:rPr>
          <w:rFonts w:ascii="Times New Roman" w:cs="Times New Roman" w:eastAsia="Times New Roman" w:hAnsi="Times New Roman"/>
          <w:sz w:val="13"/>
          <w:szCs w:val="13"/>
          <w:color w:val="auto"/>
        </w:rPr>
      </w:pPr>
    </w:p>
    <w:p>
      <w:pPr>
        <w:ind w:left="420" w:hanging="212"/>
        <w:spacing w:after="0" w:line="218" w:lineRule="auto"/>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37.3% increased 90 basis points from 36.4%</w:t>
      </w: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Operating income of $133.4 million </w:t>
      </w:r>
      <w:r>
        <w:rPr>
          <w:rFonts w:ascii="Times New Roman" w:cs="Times New Roman" w:eastAsia="Times New Roman" w:hAnsi="Times New Roman"/>
          <w:sz w:val="14"/>
          <w:szCs w:val="14"/>
          <w:color w:val="auto"/>
        </w:rPr>
        <w:t>increased</w:t>
      </w:r>
      <w:r>
        <w:rPr>
          <w:rFonts w:ascii="Times New Roman" w:cs="Times New Roman" w:eastAsia="Times New Roman" w:hAnsi="Times New Roman"/>
          <w:sz w:val="13"/>
          <w:szCs w:val="13"/>
          <w:color w:val="auto"/>
        </w:rPr>
        <w:t xml:space="preserve"> 63.7% from $81.5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of $204.3 million </w:t>
      </w:r>
      <w:r>
        <w:rPr>
          <w:rFonts w:ascii="Times New Roman" w:cs="Times New Roman" w:eastAsia="Times New Roman" w:hAnsi="Times New Roman"/>
          <w:sz w:val="14"/>
          <w:szCs w:val="14"/>
          <w:color w:val="auto"/>
        </w:rPr>
        <w:t>increased</w:t>
      </w:r>
      <w:r>
        <w:rPr>
          <w:rFonts w:ascii="Times New Roman" w:cs="Times New Roman" w:eastAsia="Times New Roman" w:hAnsi="Times New Roman"/>
          <w:sz w:val="13"/>
          <w:szCs w:val="13"/>
          <w:color w:val="auto"/>
        </w:rPr>
        <w:t xml:space="preserve"> 21.3% from $168.3 million</w:t>
      </w:r>
    </w:p>
    <w:p>
      <w:pPr>
        <w:spacing w:after="0" w:line="2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EPS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$0.51</w:t>
      </w:r>
      <w:r>
        <w:rPr>
          <w:rFonts w:ascii="Times New Roman" w:cs="Times New Roman" w:eastAsia="Times New Roman" w:hAnsi="Times New Roman"/>
          <w:sz w:val="13"/>
          <w:szCs w:val="13"/>
          <w:color w:val="auto"/>
        </w:rPr>
        <w:t xml:space="preserve"> increased 750% from </w:t>
      </w:r>
      <w:r>
        <w:rPr>
          <w:rFonts w:ascii="Times New Roman" w:cs="Times New Roman" w:eastAsia="Times New Roman" w:hAnsi="Times New Roman"/>
          <w:sz w:val="14"/>
          <w:szCs w:val="14"/>
          <w:color w:val="auto"/>
        </w:rPr>
        <w:t>$0.06</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51" w:right="299" w:bottom="1440" w:gutter="0" w:footer="0" w:header="0"/>
        </w:sectPr>
      </w:pPr>
    </w:p>
    <w:bookmarkStart w:id="4" w:name="page5"/>
    <w:bookmarkEnd w:id="4"/>
    <w:p>
      <w:pPr>
        <w:ind w:left="420" w:right="240" w:hanging="212"/>
        <w:spacing w:after="0" w:line="250" w:lineRule="auto"/>
        <w:tabs>
          <w:tab w:leader="none" w:pos="412" w:val="left"/>
        </w:tabs>
        <w:numPr>
          <w:ilvl w:val="0"/>
          <w:numId w:val="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Adjusted EBITDA (non-GAAP), and Adjusted EPS (non-GAAP), to their most comparable GAAP measures provided below for additional information.</w:t>
      </w:r>
    </w:p>
    <w:p>
      <w:pPr>
        <w:ind w:left="420" w:hanging="212"/>
        <w:spacing w:after="0" w:line="220" w:lineRule="auto"/>
        <w:tabs>
          <w:tab w:leader="none" w:pos="420" w:val="left"/>
        </w:tabs>
        <w:numPr>
          <w:ilvl w:val="0"/>
          <w:numId w:val="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add mathematically due to rounding.</w:t>
      </w:r>
    </w:p>
    <w:p>
      <w:pPr>
        <w:spacing w:after="0" w:line="16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reported the strongest revenue performance in our history, both for the fourth quarter and the full year, driven by continued momentum in every segment of our business," said Tom Priore, Chairman &amp; CEO of Priority. “The numbers demonstrate that the Priority Commerce Engine that streamlines collecting, storing, lending and sending money with solutions for acquiring, payables and banking – and creates revenue and operational success for businesses – continues to resonate with our partners and customers. We remain committed to meeting our customers where they are with a flexible financial toolset that makes working with Priority seamless and easy.”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2025 Financial Guidance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Priority's outlook remains strong, which is reflected in our full year 2025 guidance:</w:t>
      </w:r>
    </w:p>
    <w:p>
      <w:pPr>
        <w:spacing w:after="0" w:line="175"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to range between $965 million to $1 billion, a growth rate of 10% to 14%, compared to fiscal 2024 results</w:t>
      </w:r>
    </w:p>
    <w:p>
      <w:pPr>
        <w:spacing w:after="0" w:line="17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$360 million and $385 million, a growth rate of 10% to 17% compared to fiscal 2024 results</w:t>
      </w:r>
    </w:p>
    <w:p>
      <w:pPr>
        <w:spacing w:after="0" w:line="18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forecast to range between $220 million to $230 million, a growth rate of 8% to 13% compared to fiscal 2024 results</w:t>
      </w:r>
    </w:p>
    <w:p>
      <w:pPr>
        <w:spacing w:after="0" w:line="172" w:lineRule="exact"/>
        <w:rPr>
          <w:rFonts w:ascii="Times New Roman" w:cs="Times New Roman" w:eastAsia="Times New Roman" w:hAnsi="Times New Roman"/>
          <w:sz w:val="13"/>
          <w:szCs w:val="13"/>
          <w:color w:val="auto"/>
        </w:rPr>
      </w:pPr>
    </w:p>
    <w:p>
      <w:pPr>
        <w:ind w:left="5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Conference Call</w:t>
      </w:r>
    </w:p>
    <w:p>
      <w:pPr>
        <w:spacing w:after="0" w:line="186"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070707"/>
        </w:rPr>
        <w:t xml:space="preserve">Priority's leadership will host a conference call on </w:t>
      </w:r>
      <w:r>
        <w:rPr>
          <w:rFonts w:ascii="Times New Roman" w:cs="Times New Roman" w:eastAsia="Times New Roman" w:hAnsi="Times New Roman"/>
          <w:sz w:val="13"/>
          <w:szCs w:val="13"/>
          <w:color w:val="000000"/>
        </w:rPr>
        <w:t>Thursday, March 6, 2025</w:t>
      </w:r>
      <w:r>
        <w:rPr>
          <w:rFonts w:ascii="Times New Roman" w:cs="Times New Roman" w:eastAsia="Times New Roman" w:hAnsi="Times New Roman"/>
          <w:sz w:val="13"/>
          <w:szCs w:val="13"/>
          <w:color w:val="070707"/>
        </w:rPr>
        <w:t xml:space="preserve"> at 11:00 a.m. EDT to discuss its fourth quarter and full-year </w:t>
      </w:r>
      <w:r>
        <w:rPr>
          <w:rFonts w:ascii="Times New Roman" w:cs="Times New Roman" w:eastAsia="Times New Roman" w:hAnsi="Times New Roman"/>
          <w:sz w:val="13"/>
          <w:szCs w:val="13"/>
          <w:color w:val="000000"/>
        </w:rPr>
        <w:t>2024</w:t>
      </w:r>
      <w:r>
        <w:rPr>
          <w:rFonts w:ascii="Times New Roman" w:cs="Times New Roman" w:eastAsia="Times New Roman" w:hAnsi="Times New Roman"/>
          <w:sz w:val="13"/>
          <w:szCs w:val="13"/>
          <w:color w:val="070707"/>
        </w:rPr>
        <w:t xml:space="preserve"> financial results. Participants can access the call by p</w:t>
      </w:r>
      <w:r>
        <w:rPr>
          <w:rFonts w:ascii="Times New Roman" w:cs="Times New Roman" w:eastAsia="Times New Roman" w:hAnsi="Times New Roman"/>
          <w:sz w:val="13"/>
          <w:szCs w:val="13"/>
          <w:color w:val="000000"/>
        </w:rPr>
        <w:t>hone in the U.S. or</w:t>
      </w:r>
      <w:r>
        <w:rPr>
          <w:rFonts w:ascii="Times New Roman" w:cs="Times New Roman" w:eastAsia="Times New Roman" w:hAnsi="Times New Roman"/>
          <w:sz w:val="13"/>
          <w:szCs w:val="13"/>
          <w:color w:val="070707"/>
        </w:rPr>
        <w:t xml:space="preserve"> </w:t>
      </w:r>
      <w:r>
        <w:rPr>
          <w:rFonts w:ascii="Times New Roman" w:cs="Times New Roman" w:eastAsia="Times New Roman" w:hAnsi="Times New Roman"/>
          <w:sz w:val="13"/>
          <w:szCs w:val="13"/>
          <w:color w:val="000000"/>
        </w:rPr>
        <w:t>Canada at (833) 636-1319 or internationally at (412) 902-4286.</w:t>
      </w:r>
    </w:p>
    <w:p>
      <w:pPr>
        <w:spacing w:after="0" w:line="98" w:lineRule="exact"/>
        <w:rPr>
          <w:sz w:val="20"/>
          <w:szCs w:val="20"/>
          <w:color w:val="auto"/>
        </w:rPr>
      </w:pPr>
    </w:p>
    <w:p>
      <w:pPr>
        <w:ind w:right="280"/>
        <w:spacing w:after="0" w:line="342"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https://edge.media-server.com/mmc/p/59kiss68</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89"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March 13, 2025 at 2:00 p.m. EDT. To listen to the audio replay, dial (877) 344-7529 or (412) 317-0088 and enter conference ID number </w:t>
      </w:r>
      <w:r>
        <w:rPr>
          <w:rFonts w:ascii="Times New Roman" w:cs="Times New Roman" w:eastAsia="Times New Roman" w:hAnsi="Times New Roman"/>
          <w:sz w:val="13"/>
          <w:szCs w:val="13"/>
          <w:b w:val="1"/>
          <w:bCs w:val="1"/>
          <w:color w:val="222222"/>
        </w:rPr>
        <w:t>2813602</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Adjusted Gross Profit Margin</w:t>
      </w:r>
    </w:p>
    <w:p>
      <w:pPr>
        <w:spacing w:after="0" w:line="152" w:lineRule="exact"/>
        <w:rPr>
          <w:sz w:val="20"/>
          <w:szCs w:val="20"/>
          <w:color w:val="auto"/>
        </w:rPr>
      </w:pPr>
    </w:p>
    <w:p>
      <w:pPr>
        <w:ind w:right="60"/>
        <w:spacing w:after="0" w:line="338"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services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0" w:type="dxa"/>
            <w:vAlign w:val="bottom"/>
          </w:tcPr>
          <w:p>
            <w:pPr>
              <w:spacing w:after="0"/>
              <w:rPr>
                <w:sz w:val="12"/>
                <w:szCs w:val="12"/>
                <w:color w:val="auto"/>
              </w:rPr>
            </w:pPr>
          </w:p>
        </w:tc>
        <w:tc>
          <w:tcPr>
            <w:tcW w:w="28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80" w:type="dxa"/>
            <w:vAlign w:val="bottom"/>
          </w:tcPr>
          <w:p>
            <w:pPr>
              <w:spacing w:after="0"/>
              <w:rPr>
                <w:sz w:val="12"/>
                <w:szCs w:val="12"/>
                <w:color w:val="auto"/>
              </w:rPr>
            </w:pPr>
          </w:p>
        </w:tc>
        <w:tc>
          <w:tcPr>
            <w:tcW w:w="186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227,067</w:t>
            </w:r>
          </w:p>
        </w:tc>
        <w:tc>
          <w:tcPr>
            <w:tcW w:w="60" w:type="dxa"/>
            <w:vAlign w:val="bottom"/>
          </w:tcPr>
          <w:p>
            <w:pPr>
              <w:spacing w:after="0"/>
              <w:rPr>
                <w:sz w:val="13"/>
                <w:szCs w:val="13"/>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199,279</w:t>
            </w:r>
          </w:p>
        </w:tc>
        <w:tc>
          <w:tcPr>
            <w:tcW w:w="8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879,702</w:t>
            </w:r>
          </w:p>
        </w:tc>
        <w:tc>
          <w:tcPr>
            <w:tcW w:w="80" w:type="dxa"/>
            <w:vAlign w:val="bottom"/>
          </w:tcPr>
          <w:p>
            <w:pPr>
              <w:spacing w:after="0"/>
              <w:rPr>
                <w:sz w:val="13"/>
                <w:szCs w:val="13"/>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755,612</w:t>
            </w:r>
          </w:p>
        </w:tc>
        <w:tc>
          <w:tcPr>
            <w:tcW w:w="0" w:type="dxa"/>
            <w:vAlign w:val="bottom"/>
          </w:tcPr>
          <w:p>
            <w:pPr>
              <w:spacing w:after="0"/>
              <w:rPr>
                <w:sz w:val="1"/>
                <w:szCs w:val="1"/>
                <w:color w:val="auto"/>
              </w:rPr>
            </w:pPr>
          </w:p>
        </w:tc>
      </w:tr>
      <w:tr>
        <w:trPr>
          <w:trHeight w:val="174"/>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Cost of services (excluding depreciation and amortization)</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(143,134)</w:t>
            </w: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(126,378)</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(551,621)</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(480,307)</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83,933</w:t>
            </w:r>
          </w:p>
        </w:tc>
        <w:tc>
          <w:tcPr>
            <w:tcW w:w="60" w:type="dxa"/>
            <w:vAlign w:val="bottom"/>
          </w:tcPr>
          <w:p>
            <w:pPr>
              <w:spacing w:after="0"/>
              <w:rPr>
                <w:sz w:val="14"/>
                <w:szCs w:val="14"/>
                <w:color w:val="auto"/>
              </w:rPr>
            </w:pP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72,901</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328,081</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275,305</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37.0 %</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36.6 %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37.3 %</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36.4 %</w:t>
            </w:r>
          </w:p>
        </w:tc>
        <w:tc>
          <w:tcPr>
            <w:tcW w:w="0" w:type="dxa"/>
            <w:vAlign w:val="bottom"/>
          </w:tcPr>
          <w:p>
            <w:pPr>
              <w:spacing w:after="0"/>
              <w:rPr>
                <w:sz w:val="1"/>
                <w:szCs w:val="1"/>
                <w:color w:val="auto"/>
              </w:rPr>
            </w:pPr>
          </w:p>
        </w:tc>
      </w:tr>
      <w:tr>
        <w:trPr>
          <w:trHeight w:val="174"/>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(4,467)</w:t>
            </w: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(3,638)</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(16,516)</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(12,628)</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79,466</w:t>
            </w:r>
          </w:p>
        </w:tc>
        <w:tc>
          <w:tcPr>
            <w:tcW w:w="60" w:type="dxa"/>
            <w:vAlign w:val="bottom"/>
          </w:tcPr>
          <w:p>
            <w:pPr>
              <w:spacing w:after="0"/>
              <w:rPr>
                <w:sz w:val="14"/>
                <w:szCs w:val="14"/>
                <w:color w:val="auto"/>
              </w:rPr>
            </w:pP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69,263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311,565</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262,677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35.0 %</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34.8 %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35.4 %</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34.8 %</w:t>
            </w:r>
          </w:p>
        </w:tc>
        <w:tc>
          <w:tcPr>
            <w:tcW w:w="0" w:type="dxa"/>
            <w:vAlign w:val="bottom"/>
          </w:tcPr>
          <w:p>
            <w:pPr>
              <w:spacing w:after="0"/>
              <w:rPr>
                <w:sz w:val="1"/>
                <w:szCs w:val="1"/>
                <w:color w:val="auto"/>
              </w:rPr>
            </w:pPr>
          </w:p>
        </w:tc>
      </w:tr>
      <w:tr>
        <w:trPr>
          <w:trHeight w:val="881"/>
        </w:trPr>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7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expense,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57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25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20" w:type="dxa"/>
            <w:vAlign w:val="bottom"/>
          </w:tcPr>
          <w:p>
            <w:pPr>
              <w:spacing w:after="0"/>
              <w:rPr>
                <w:sz w:val="24"/>
                <w:szCs w:val="24"/>
                <w:color w:val="auto"/>
              </w:rPr>
            </w:pPr>
          </w:p>
        </w:tc>
        <w:tc>
          <w:tcPr>
            <w:tcW w:w="15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7,220</w:t>
            </w:r>
          </w:p>
        </w:tc>
        <w:tc>
          <w:tcPr>
            <w:tcW w:w="8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60" w:type="dxa"/>
            <w:vAlign w:val="bottom"/>
          </w:tcPr>
          <w:p>
            <w:pPr>
              <w:spacing w:after="0"/>
              <w:rPr>
                <w:sz w:val="13"/>
                <w:szCs w:val="13"/>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24,015</w:t>
            </w:r>
          </w:p>
        </w:tc>
        <w:tc>
          <w:tcPr>
            <w:tcW w:w="60" w:type="dxa"/>
            <w:vAlign w:val="bottom"/>
          </w:tcPr>
          <w:p>
            <w:pPr>
              <w:spacing w:after="0"/>
              <w:rPr>
                <w:sz w:val="13"/>
                <w:szCs w:val="13"/>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76,108</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8,463</w:t>
            </w:r>
          </w:p>
        </w:tc>
        <w:tc>
          <w:tcPr>
            <w:tcW w:w="0" w:type="dxa"/>
            <w:vAlign w:val="bottom"/>
          </w:tcPr>
          <w:p>
            <w:pPr>
              <w:spacing w:after="0"/>
              <w:rPr>
                <w:sz w:val="1"/>
                <w:szCs w:val="1"/>
                <w:color w:val="auto"/>
              </w:rPr>
            </w:pPr>
          </w:p>
        </w:tc>
      </w:tr>
      <w:tr>
        <w:trPr>
          <w:trHeight w:val="172"/>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13,811</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15,092</w:t>
            </w: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58,041</w:t>
            </w: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68,395</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37,546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184,270</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151,655</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9,825</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modification and extinguishment expenses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10,369</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6,768</w:t>
            </w:r>
          </w:p>
        </w:tc>
        <w:tc>
          <w:tcPr>
            <w:tcW w:w="0" w:type="dxa"/>
            <w:vAlign w:val="bottom"/>
          </w:tcPr>
          <w:p>
            <w:pPr>
              <w:spacing w:after="0"/>
              <w:rPr>
                <w:sz w:val="1"/>
                <w:szCs w:val="1"/>
                <w:color w:val="auto"/>
              </w:rPr>
            </w:pPr>
          </w:p>
        </w:tc>
      </w:tr>
      <w:tr>
        <w:trPr>
          <w:trHeight w:val="174"/>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other losses</w:t>
            </w:r>
          </w:p>
        </w:tc>
        <w:tc>
          <w:tcPr>
            <w:tcW w:w="2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63"/>
        </w:trPr>
        <w:tc>
          <w:tcPr>
            <w:tcW w:w="5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51,735</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44,637</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204,267</w:t>
            </w:r>
          </w:p>
        </w:tc>
        <w:tc>
          <w:tcPr>
            <w:tcW w:w="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168,332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2"/>
                <w:szCs w:val="12"/>
                <w:color w:val="auto"/>
              </w:rPr>
            </w:pPr>
          </w:p>
        </w:tc>
        <w:tc>
          <w:tcPr>
            <w:tcW w:w="26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00" w:type="dxa"/>
            <w:vAlign w:val="bottom"/>
          </w:tcPr>
          <w:p>
            <w:pPr>
              <w:spacing w:after="0"/>
              <w:rPr>
                <w:sz w:val="12"/>
                <w:szCs w:val="12"/>
                <w:color w:val="auto"/>
              </w:rPr>
            </w:pPr>
          </w:p>
        </w:tc>
        <w:tc>
          <w:tcPr>
            <w:tcW w:w="160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5"/>
        </w:trPr>
        <w:tc>
          <w:tcPr>
            <w:tcW w:w="5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restructuring costs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74"/>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2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1,379</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5,256</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3,510</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9,825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958"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Earnings (Loss) Per Share (Adjusted EPS)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Adjusted EPS is a performance measure. Adjusted EPS is calculated by dividing adjusted net income attributable to common shareholders by weighted average number shares outstanding for the respective periods.</w:t>
      </w:r>
    </w:p>
    <w:p>
      <w:pPr>
        <w:spacing w:after="0" w:line="202"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3"/>
          <w:szCs w:val="13"/>
          <w:color w:val="auto"/>
        </w:rPr>
        <w:t>Adjusted net income attributable to common shareholders begins with Net income attributable to common shareholders adjusted to exclude various items listed below. We believe that adjusted EPS is a measure that is useful to investors and management in understanding our ongoing profitability and in analysis of ongoing profitability trends.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7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Adjusted EPS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5"/>
        </w:trPr>
        <w:tc>
          <w:tcPr>
            <w:tcW w:w="57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Net loss attributable to common shareholders</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(12,598)</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(23,960)</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(49,055)</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Accelerated accretion expense and excise tax attributable to redeemable senior preferred stockholders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Debt modification costs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10,369</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6,768</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Other non-recurring expenses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9,909</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acquisition related intangible assets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42,173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56,214</w:t>
            </w:r>
          </w:p>
        </w:tc>
        <w:tc>
          <w:tcPr>
            <w:tcW w:w="0" w:type="dxa"/>
            <w:vAlign w:val="bottom"/>
          </w:tcPr>
          <w:p>
            <w:pPr>
              <w:spacing w:after="0"/>
              <w:rPr>
                <w:sz w:val="1"/>
                <w:szCs w:val="1"/>
                <w:color w:val="auto"/>
              </w:rPr>
            </w:pPr>
          </w:p>
        </w:tc>
      </w:tr>
      <w:tr>
        <w:trPr>
          <w:trHeight w:val="177"/>
        </w:trPr>
        <w:tc>
          <w:tcPr>
            <w:tcW w:w="570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Tax impact of adjustments</w:t>
            </w:r>
            <w:r>
              <w:rPr>
                <w:rFonts w:ascii="Times New Roman" w:cs="Times New Roman" w:eastAsia="Times New Roman" w:hAnsi="Times New Roman"/>
                <w:sz w:val="17"/>
                <w:szCs w:val="17"/>
                <w:color w:val="auto"/>
                <w:vertAlign w:val="superscript"/>
              </w:rPr>
              <w:t>(1)</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(4,896)</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(16,158)</w:t>
            </w:r>
          </w:p>
        </w:tc>
        <w:tc>
          <w:tcPr>
            <w:tcW w:w="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(19,083)</w:t>
            </w:r>
          </w:p>
        </w:tc>
        <w:tc>
          <w:tcPr>
            <w:tcW w:w="0" w:type="dxa"/>
            <w:vAlign w:val="bottom"/>
          </w:tcPr>
          <w:p>
            <w:pPr>
              <w:spacing w:after="0"/>
              <w:rPr>
                <w:sz w:val="1"/>
                <w:szCs w:val="1"/>
                <w:color w:val="auto"/>
              </w:rPr>
            </w:pPr>
          </w:p>
        </w:tc>
      </w:tr>
      <w:tr>
        <w:trPr>
          <w:trHeight w:val="160"/>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income attributable to common share holders</w:t>
            </w:r>
          </w:p>
        </w:tc>
        <w:tc>
          <w:tcPr>
            <w:tcW w:w="8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14,425</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1,187</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39,755</w:t>
            </w:r>
          </w:p>
        </w:tc>
        <w:tc>
          <w:tcPr>
            <w:tcW w:w="60" w:type="dxa"/>
            <w:vAlign w:val="bottom"/>
          </w:tcPr>
          <w:p>
            <w:pPr>
              <w:spacing w:after="0"/>
              <w:rPr>
                <w:sz w:val="13"/>
                <w:szCs w:val="13"/>
                <w:color w:val="auto"/>
              </w:rPr>
            </w:pP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4,753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7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78,241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78,532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77,993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78,333</w:t>
            </w:r>
          </w:p>
        </w:tc>
        <w:tc>
          <w:tcPr>
            <w:tcW w:w="0" w:type="dxa"/>
            <w:vAlign w:val="bottom"/>
          </w:tcPr>
          <w:p>
            <w:pPr>
              <w:spacing w:after="0"/>
              <w:rPr>
                <w:sz w:val="1"/>
                <w:szCs w:val="1"/>
                <w:color w:val="auto"/>
              </w:rPr>
            </w:pPr>
          </w:p>
        </w:tc>
      </w:tr>
      <w:tr>
        <w:trPr>
          <w:trHeight w:val="169"/>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 of dilutive potential common shares</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Weighted average shares outstanding (diluted)</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79,386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78,640</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78,714</w:t>
            </w:r>
          </w:p>
        </w:tc>
        <w:tc>
          <w:tcPr>
            <w:tcW w:w="0" w:type="dxa"/>
            <w:vAlign w:val="bottom"/>
          </w:tcPr>
          <w:p>
            <w:pPr>
              <w:spacing w:after="0"/>
              <w:rPr>
                <w:sz w:val="1"/>
                <w:szCs w:val="1"/>
                <w:color w:val="auto"/>
              </w:rPr>
            </w:pPr>
          </w:p>
        </w:tc>
      </w:tr>
      <w:tr>
        <w:trPr>
          <w:trHeight w:val="350"/>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Loss per common share</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 and diluted</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0" w:type="dxa"/>
            <w:vAlign w:val="bottom"/>
          </w:tcPr>
          <w:p>
            <w:pPr>
              <w:spacing w:after="0"/>
              <w:rPr>
                <w:sz w:val="1"/>
                <w:szCs w:val="1"/>
                <w:color w:val="auto"/>
              </w:rPr>
            </w:pPr>
          </w:p>
        </w:tc>
      </w:tr>
      <w:tr>
        <w:trPr>
          <w:trHeight w:val="350"/>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earnings per common share</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172"/>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4"/>
                <w:szCs w:val="14"/>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6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The tax impact calculated using the blended statutory income tax rate (i.e. 26.0% for 2024 and 26.2% for 2023)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80"/>
          </w:cols>
          <w:pgMar w:left="300" w:top="787" w:right="319" w:bottom="1440" w:gutter="0" w:footer="0" w:header="0"/>
        </w:sectPr>
      </w:pPr>
    </w:p>
    <w:bookmarkStart w:id="8" w:name="page9"/>
    <w:bookmarkEnd w:id="8"/>
    <w:p>
      <w:pPr>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140"/>
          </w:cols>
          <w:pgMar w:left="300" w:top="818"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a solution provider in Payments and Banking as a Service operating at scale with over 1.2 million customers across its SMB, B2B and Enterprise channels processing over $130.0 billion in annual transaction activity while administrating approximately $1.2 billion in customer account balances. Priority’s purpose-built technology enables clients to collect, store, lend and send money and provides customers the acceptance and AP payment applications and Passport financial tools that best optimize their cash flow and maximize working capital. Additional information can be found at www.prioritycommerce.com.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2025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636"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2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420" w:type="dxa"/>
            <w:vAlign w:val="bottom"/>
            <w:tcBorders>
              <w:bottom w:val="single" w:sz="8" w:color="auto"/>
            </w:tcBorders>
            <w:gridSpan w:val="4"/>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227,067</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199,279</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879,702</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755,612</w:t>
            </w:r>
          </w:p>
        </w:tc>
        <w:tc>
          <w:tcPr>
            <w:tcW w:w="0" w:type="dxa"/>
            <w:vAlign w:val="bottom"/>
          </w:tcPr>
          <w:p>
            <w:pPr>
              <w:spacing w:after="0"/>
              <w:rPr>
                <w:sz w:val="1"/>
                <w:szCs w:val="1"/>
                <w:color w:val="auto"/>
              </w:rPr>
            </w:pPr>
          </w:p>
        </w:tc>
      </w:tr>
      <w:tr>
        <w:trPr>
          <w:trHeight w:val="131"/>
        </w:trPr>
        <w:tc>
          <w:tcPr>
            <w:tcW w:w="52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services (excludes 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143,134</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126,378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551,621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480,307</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23,199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21,688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89,216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79,974</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13,811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15,092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58,041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68,395</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12,784</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14,084</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47,403</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45,412</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192,928</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177,242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746,281</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674,088</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34,139</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22,037</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133,421</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81,524</w:t>
            </w:r>
          </w:p>
        </w:tc>
        <w:tc>
          <w:tcPr>
            <w:tcW w:w="0" w:type="dxa"/>
            <w:vAlign w:val="bottom"/>
          </w:tcPr>
          <w:p>
            <w:pPr>
              <w:spacing w:after="0"/>
              <w:rPr>
                <w:sz w:val="1"/>
                <w:szCs w:val="1"/>
                <w:color w:val="auto"/>
              </w:rPr>
            </w:pPr>
          </w:p>
        </w:tc>
      </w:tr>
      <w:tr>
        <w:trPr>
          <w:trHeight w:val="131"/>
        </w:trPr>
        <w:tc>
          <w:tcPr>
            <w:tcW w:w="52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(23,111)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(20,647)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(88,948)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(76,108)</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(1,703)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(10,369)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1,165</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3,177</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1,736</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(23,649)</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(20,230)</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(96,140)</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(74,372)</w:t>
            </w:r>
          </w:p>
        </w:tc>
        <w:tc>
          <w:tcPr>
            <w:tcW w:w="0" w:type="dxa"/>
            <w:vAlign w:val="bottom"/>
          </w:tcPr>
          <w:p>
            <w:pPr>
              <w:spacing w:after="0"/>
              <w:rPr>
                <w:sz w:val="1"/>
                <w:szCs w:val="1"/>
                <w:color w:val="auto"/>
              </w:rPr>
            </w:pPr>
          </w:p>
        </w:tc>
      </w:tr>
      <w:tr>
        <w:trPr>
          <w:trHeight w:val="140"/>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10,490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1,807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37,281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7,152</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3,270</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1,913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13,266</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8,463</w:t>
            </w:r>
          </w:p>
        </w:tc>
        <w:tc>
          <w:tcPr>
            <w:tcW w:w="0" w:type="dxa"/>
            <w:vAlign w:val="bottom"/>
          </w:tcPr>
          <w:p>
            <w:pPr>
              <w:spacing w:after="0"/>
              <w:rPr>
                <w:sz w:val="1"/>
                <w:szCs w:val="1"/>
                <w:color w:val="auto"/>
              </w:rPr>
            </w:pPr>
          </w:p>
        </w:tc>
      </w:tr>
      <w:tr>
        <w:trPr>
          <w:trHeight w:val="140"/>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7,220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24,015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(1,311)</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accretion, and related excise tax attributable to redeemable senior preferred stockholders</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(10,989)</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(12,492)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(47,336)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(47,744)</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 net of deferred tax benefit</w:t>
            </w:r>
          </w:p>
        </w:tc>
        <w:tc>
          <w:tcPr>
            <w:tcW w:w="9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52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loss attributable to common shareholders</w:t>
            </w:r>
          </w:p>
        </w:tc>
        <w:tc>
          <w:tcPr>
            <w:tcW w:w="9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(3,769)</w:t>
            </w: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(12,598)</w:t>
            </w:r>
          </w:p>
        </w:tc>
        <w:tc>
          <w:tcPr>
            <w:tcW w:w="80" w:type="dxa"/>
            <w:vAlign w:val="bottom"/>
          </w:tcPr>
          <w:p>
            <w:pPr>
              <w:spacing w:after="0"/>
              <w:rPr>
                <w:sz w:val="11"/>
                <w:szCs w:val="11"/>
                <w:color w:val="auto"/>
              </w:rPr>
            </w:pPr>
          </w:p>
        </w:tc>
        <w:tc>
          <w:tcPr>
            <w:tcW w:w="340" w:type="dxa"/>
            <w:vAlign w:val="bottom"/>
            <w:tcBorders>
              <w:top w:val="single" w:sz="8" w:color="auto"/>
            </w:tcBorders>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(23,960)</w:t>
            </w: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ind w:right="32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(49,055)</w:t>
            </w:r>
          </w:p>
        </w:tc>
        <w:tc>
          <w:tcPr>
            <w:tcW w:w="0" w:type="dxa"/>
            <w:vAlign w:val="bottom"/>
          </w:tcPr>
          <w:p>
            <w:pPr>
              <w:spacing w:after="0"/>
              <w:rPr>
                <w:sz w:val="1"/>
                <w:szCs w:val="1"/>
                <w:color w:val="auto"/>
              </w:rPr>
            </w:pPr>
          </w:p>
        </w:tc>
      </w:tr>
      <w:tr>
        <w:trPr>
          <w:trHeight w:val="157"/>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(3,878)</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(12,593)</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(24,107)</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(49,084)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0" w:type="dxa"/>
            <w:vAlign w:val="bottom"/>
          </w:tcPr>
          <w:p>
            <w:pPr>
              <w:spacing w:after="0"/>
              <w:rPr>
                <w:sz w:val="1"/>
                <w:szCs w:val="1"/>
                <w:color w:val="auto"/>
              </w:rPr>
            </w:pPr>
          </w:p>
        </w:tc>
      </w:tr>
      <w:tr>
        <w:trPr>
          <w:trHeight w:val="331"/>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78,241</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78,532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77,993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78,333</w:t>
            </w:r>
          </w:p>
        </w:tc>
        <w:tc>
          <w:tcPr>
            <w:tcW w:w="0" w:type="dxa"/>
            <w:vAlign w:val="bottom"/>
          </w:tcPr>
          <w:p>
            <w:pPr>
              <w:spacing w:after="0"/>
              <w:rPr>
                <w:sz w:val="1"/>
                <w:szCs w:val="1"/>
                <w:color w:val="auto"/>
              </w:rPr>
            </w:pPr>
          </w:p>
        </w:tc>
      </w:tr>
      <w:tr>
        <w:trPr>
          <w:trHeight w:val="882"/>
        </w:trPr>
        <w:tc>
          <w:tcPr>
            <w:tcW w:w="5240" w:type="dxa"/>
            <w:vAlign w:val="bottom"/>
          </w:tcPr>
          <w:p>
            <w:pPr>
              <w:spacing w:after="0"/>
              <w:rPr>
                <w:sz w:val="24"/>
                <w:szCs w:val="24"/>
                <w:color w:val="auto"/>
              </w:rPr>
            </w:pPr>
          </w:p>
        </w:tc>
        <w:tc>
          <w:tcPr>
            <w:tcW w:w="9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8</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85"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1"/>
        </w:trPr>
        <w:tc>
          <w:tcPr>
            <w:tcW w:w="718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500" w:type="dxa"/>
            <w:vAlign w:val="bottom"/>
          </w:tcPr>
          <w:p>
            <w:pPr>
              <w:jc w:val="right"/>
              <w:ind w:right="13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58,551</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13,273</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756,475</w:t>
            </w:r>
          </w:p>
        </w:tc>
        <w:tc>
          <w:tcPr>
            <w:tcW w:w="0" w:type="dxa"/>
            <w:vAlign w:val="bottom"/>
          </w:tcPr>
          <w:p>
            <w:pPr>
              <w:spacing w:after="0"/>
              <w:rPr>
                <w:sz w:val="1"/>
                <w:szCs w:val="1"/>
                <w:color w:val="auto"/>
              </w:rPr>
            </w:pPr>
          </w:p>
        </w:tc>
      </w:tr>
      <w:tr>
        <w:trPr>
          <w:trHeight w:val="140"/>
        </w:trPr>
        <w:tc>
          <w:tcPr>
            <w:tcW w:w="7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1,105,085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881,294</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44,680</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273,350</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22,533</w:t>
            </w:r>
          </w:p>
        </w:tc>
        <w:tc>
          <w:tcPr>
            <w:tcW w:w="0" w:type="dxa"/>
            <w:vAlign w:val="bottom"/>
          </w:tcPr>
          <w:p>
            <w:pPr>
              <w:spacing w:after="0"/>
              <w:rPr>
                <w:sz w:val="1"/>
                <w:szCs w:val="1"/>
                <w:color w:val="auto"/>
              </w:rPr>
            </w:pPr>
          </w:p>
        </w:tc>
      </w:tr>
      <w:tr>
        <w:trPr>
          <w:trHeight w:val="155"/>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13,649</w:t>
            </w:r>
          </w:p>
        </w:tc>
        <w:tc>
          <w:tcPr>
            <w:tcW w:w="0" w:type="dxa"/>
            <w:vAlign w:val="bottom"/>
          </w:tcPr>
          <w:p>
            <w:pPr>
              <w:spacing w:after="0"/>
              <w:rPr>
                <w:sz w:val="1"/>
                <w:szCs w:val="1"/>
                <w:color w:val="auto"/>
              </w:rPr>
            </w:pPr>
          </w:p>
        </w:tc>
      </w:tr>
      <w:tr>
        <w:trPr>
          <w:trHeight w:val="142"/>
        </w:trPr>
        <w:tc>
          <w:tcPr>
            <w:tcW w:w="7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1,826,860</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and Shareholders' Deficit</w:t>
            </w: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1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500" w:type="dxa"/>
            <w:vAlign w:val="bottom"/>
          </w:tcPr>
          <w:p>
            <w:pPr>
              <w:jc w:val="right"/>
              <w:ind w:right="13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52,643</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33,025</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3,934</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755,754</w:t>
            </w:r>
          </w:p>
        </w:tc>
        <w:tc>
          <w:tcPr>
            <w:tcW w:w="0" w:type="dxa"/>
            <w:vAlign w:val="bottom"/>
          </w:tcPr>
          <w:p>
            <w:pPr>
              <w:spacing w:after="0"/>
              <w:rPr>
                <w:sz w:val="1"/>
                <w:szCs w:val="1"/>
                <w:color w:val="auto"/>
              </w:rPr>
            </w:pPr>
          </w:p>
        </w:tc>
      </w:tr>
      <w:tr>
        <w:trPr>
          <w:trHeight w:val="140"/>
        </w:trPr>
        <w:tc>
          <w:tcPr>
            <w:tcW w:w="7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1,051,671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852,068</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631,965</w:t>
            </w:r>
          </w:p>
        </w:tc>
        <w:tc>
          <w:tcPr>
            <w:tcW w:w="0" w:type="dxa"/>
            <w:vAlign w:val="bottom"/>
          </w:tcPr>
          <w:p>
            <w:pPr>
              <w:spacing w:after="0"/>
              <w:rPr>
                <w:sz w:val="1"/>
                <w:szCs w:val="1"/>
                <w:color w:val="auto"/>
              </w:rPr>
            </w:pPr>
          </w:p>
        </w:tc>
      </w:tr>
      <w:tr>
        <w:trPr>
          <w:trHeight w:val="155"/>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18,763</w:t>
            </w:r>
          </w:p>
        </w:tc>
        <w:tc>
          <w:tcPr>
            <w:tcW w:w="0" w:type="dxa"/>
            <w:vAlign w:val="bottom"/>
          </w:tcPr>
          <w:p>
            <w:pPr>
              <w:spacing w:after="0"/>
              <w:rPr>
                <w:sz w:val="1"/>
                <w:szCs w:val="1"/>
                <w:color w:val="auto"/>
              </w:rPr>
            </w:pPr>
          </w:p>
        </w:tc>
      </w:tr>
      <w:tr>
        <w:trPr>
          <w:trHeight w:val="142"/>
        </w:trPr>
        <w:tc>
          <w:tcPr>
            <w:tcW w:w="7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1,991,885</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1,502,796</w:t>
            </w:r>
          </w:p>
        </w:tc>
        <w:tc>
          <w:tcPr>
            <w:tcW w:w="0" w:type="dxa"/>
            <w:vAlign w:val="bottom"/>
          </w:tcPr>
          <w:p>
            <w:pPr>
              <w:spacing w:after="0"/>
              <w:rPr>
                <w:sz w:val="1"/>
                <w:szCs w:val="1"/>
                <w:color w:val="auto"/>
              </w:rPr>
            </w:pPr>
          </w:p>
        </w:tc>
      </w:tr>
      <w:tr>
        <w:trPr>
          <w:trHeight w:val="140"/>
        </w:trPr>
        <w:tc>
          <w:tcPr>
            <w:tcW w:w="71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 net of discounts and issuance costs</w:t>
            </w: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258,605</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15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(12,815)</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5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(134,951)</w:t>
            </w:r>
          </w:p>
        </w:tc>
        <w:tc>
          <w:tcPr>
            <w:tcW w:w="0" w:type="dxa"/>
            <w:vAlign w:val="bottom"/>
          </w:tcPr>
          <w:p>
            <w:pPr>
              <w:spacing w:after="0"/>
              <w:rPr>
                <w:sz w:val="1"/>
                <w:szCs w:val="1"/>
                <w:color w:val="auto"/>
              </w:rPr>
            </w:pPr>
          </w:p>
        </w:tc>
      </w:tr>
      <w:tr>
        <w:trPr>
          <w:trHeight w:val="140"/>
        </w:trPr>
        <w:tc>
          <w:tcPr>
            <w:tcW w:w="718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shareholders of PRTH</w:t>
            </w: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(147,718)</w:t>
            </w:r>
          </w:p>
        </w:tc>
        <w:tc>
          <w:tcPr>
            <w:tcW w:w="0" w:type="dxa"/>
            <w:vAlign w:val="bottom"/>
          </w:tcPr>
          <w:p>
            <w:pPr>
              <w:spacing w:after="0"/>
              <w:rPr>
                <w:sz w:val="1"/>
                <w:szCs w:val="1"/>
                <w:color w:val="auto"/>
              </w:rPr>
            </w:pPr>
          </w:p>
        </w:tc>
      </w:tr>
      <w:tr>
        <w:trPr>
          <w:trHeight w:val="155"/>
        </w:trPr>
        <w:tc>
          <w:tcPr>
            <w:tcW w:w="7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w:t>
            </w: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0" w:type="dxa"/>
            <w:vAlign w:val="bottom"/>
          </w:tcPr>
          <w:p>
            <w:pPr>
              <w:spacing w:after="0"/>
              <w:rPr>
                <w:sz w:val="1"/>
                <w:szCs w:val="1"/>
                <w:color w:val="auto"/>
              </w:rPr>
            </w:pPr>
          </w:p>
        </w:tc>
      </w:tr>
      <w:tr>
        <w:trPr>
          <w:trHeight w:val="142"/>
        </w:trPr>
        <w:tc>
          <w:tcPr>
            <w:tcW w:w="7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(146,064)</w:t>
            </w:r>
          </w:p>
        </w:tc>
        <w:tc>
          <w:tcPr>
            <w:tcW w:w="0" w:type="dxa"/>
            <w:vAlign w:val="bottom"/>
          </w:tcPr>
          <w:p>
            <w:pPr>
              <w:spacing w:after="0"/>
              <w:rPr>
                <w:sz w:val="1"/>
                <w:szCs w:val="1"/>
                <w:color w:val="auto"/>
              </w:rPr>
            </w:pPr>
          </w:p>
        </w:tc>
      </w:tr>
      <w:tr>
        <w:trPr>
          <w:trHeight w:val="142"/>
        </w:trPr>
        <w:tc>
          <w:tcPr>
            <w:tcW w:w="7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and shareholders' deficit</w:t>
            </w: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1,826,860</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80"/>
          </w:cols>
          <w:pgMar w:left="300" w:top="28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2"/>
          <w:szCs w:val="12"/>
          <w:b w:val="1"/>
          <w:bCs w:val="1"/>
          <w:color w:val="auto"/>
        </w:rPr>
        <w:t>Years Ended</w:t>
      </w:r>
    </w:p>
    <w:p>
      <w:pPr>
        <w:ind w:left="942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31"/>
        </w:trPr>
        <w:tc>
          <w:tcPr>
            <w:tcW w:w="82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24,015</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0" w:type="dxa"/>
            <w:vAlign w:val="bottom"/>
          </w:tcPr>
          <w:p>
            <w:pPr>
              <w:spacing w:after="0"/>
              <w:rPr>
                <w:sz w:val="1"/>
                <w:szCs w:val="1"/>
                <w:color w:val="auto"/>
              </w:rPr>
            </w:pPr>
          </w:p>
        </w:tc>
      </w:tr>
      <w:tr>
        <w:trPr>
          <w:trHeight w:val="153"/>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68,395</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ESPP and incentive units compensation</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6,769</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3,849</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(6,086)</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 liability</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w:t>
            </w:r>
          </w:p>
        </w:tc>
        <w:tc>
          <w:tcPr>
            <w:tcW w:w="0" w:type="dxa"/>
            <w:vAlign w:val="bottom"/>
          </w:tcPr>
          <w:p>
            <w:pPr>
              <w:spacing w:after="0"/>
              <w:rPr>
                <w:sz w:val="1"/>
                <w:szCs w:val="1"/>
                <w:color w:val="auto"/>
              </w:rPr>
            </w:pPr>
          </w:p>
        </w:tc>
      </w:tr>
      <w:tr>
        <w:trPr>
          <w:trHeight w:val="153"/>
        </w:trPr>
        <w:tc>
          <w:tcPr>
            <w:tcW w:w="82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(3,924)</w:t>
            </w:r>
          </w:p>
        </w:tc>
        <w:tc>
          <w:tcPr>
            <w:tcW w:w="0" w:type="dxa"/>
            <w:vAlign w:val="bottom"/>
          </w:tcPr>
          <w:p>
            <w:pPr>
              <w:spacing w:after="0"/>
              <w:rPr>
                <w:sz w:val="1"/>
                <w:szCs w:val="1"/>
                <w:color w:val="auto"/>
              </w:rPr>
            </w:pPr>
          </w:p>
        </w:tc>
      </w:tr>
      <w:tr>
        <w:trPr>
          <w:trHeight w:val="153"/>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24,471</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9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(3,218)</w:t>
            </w:r>
          </w:p>
        </w:tc>
        <w:tc>
          <w:tcPr>
            <w:tcW w:w="0" w:type="dxa"/>
            <w:vAlign w:val="bottom"/>
          </w:tcPr>
          <w:p>
            <w:pPr>
              <w:spacing w:after="0"/>
              <w:rPr>
                <w:sz w:val="1"/>
                <w:szCs w:val="1"/>
                <w:color w:val="auto"/>
              </w:rPr>
            </w:pPr>
          </w:p>
        </w:tc>
      </w:tr>
      <w:tr>
        <w:trPr>
          <w:trHeight w:val="153"/>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0" w:type="dxa"/>
            <w:vAlign w:val="bottom"/>
          </w:tcPr>
          <w:p>
            <w:pPr>
              <w:spacing w:after="0"/>
              <w:rPr>
                <w:sz w:val="1"/>
                <w:szCs w:val="1"/>
                <w:color w:val="auto"/>
              </w:rPr>
            </w:pPr>
          </w:p>
        </w:tc>
      </w:tr>
      <w:tr>
        <w:trPr>
          <w:trHeight w:val="155"/>
        </w:trPr>
        <w:tc>
          <w:tcPr>
            <w:tcW w:w="8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85,609</w:t>
            </w:r>
          </w:p>
        </w:tc>
        <w:tc>
          <w:tcPr>
            <w:tcW w:w="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81,256</w:t>
            </w:r>
          </w:p>
        </w:tc>
      </w:tr>
      <w:tr>
        <w:trPr>
          <w:trHeight w:val="131"/>
        </w:trPr>
        <w:tc>
          <w:tcPr>
            <w:tcW w:w="82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53"/>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(28,222)</w:t>
            </w:r>
          </w:p>
        </w:tc>
      </w:tr>
      <w:tr>
        <w:trPr>
          <w:trHeight w:val="153"/>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(21,693)</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(21,256)</w:t>
            </w:r>
          </w:p>
        </w:tc>
      </w:tr>
      <w:tr>
        <w:trPr>
          <w:trHeight w:val="153"/>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(3,361)</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w:t>
            </w:r>
          </w:p>
        </w:tc>
      </w:tr>
      <w:tr>
        <w:trPr>
          <w:trHeight w:val="155"/>
        </w:trPr>
        <w:tc>
          <w:tcPr>
            <w:tcW w:w="8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(10,492)</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(6,646)</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(35,546)</w:t>
            </w:r>
          </w:p>
        </w:tc>
        <w:tc>
          <w:tcPr>
            <w:tcW w:w="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(55,748)</w:t>
            </w:r>
          </w:p>
        </w:tc>
      </w:tr>
      <w:tr>
        <w:trPr>
          <w:trHeight w:val="131"/>
        </w:trPr>
        <w:tc>
          <w:tcPr>
            <w:tcW w:w="826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945,126</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49,750</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(7,680)</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(658,835)</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(6,328)</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44,000</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(56,500)</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Redemption of senior preferred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Redemption of accumulated unpaid dividend on redeemable preferred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(54,557)</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Redemption of redeemable NCI in subsidiary</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Repurchases of Common Stock and shares withheld for taxes</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(1,538)</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(23,646)</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(24,718)</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1,816</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Settlement and customer/subscriber accounts obligations, net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179,614</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211,077</w:t>
            </w:r>
          </w:p>
        </w:tc>
      </w:tr>
      <w:tr>
        <w:trPr>
          <w:trHeight w:val="155"/>
        </w:trPr>
        <w:tc>
          <w:tcPr>
            <w:tcW w:w="8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Payment of contingent consideration related to business combination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(5,592)</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8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147,578</w:t>
            </w: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210,105</w:t>
            </w:r>
          </w:p>
        </w:tc>
        <w:tc>
          <w:tcPr>
            <w:tcW w:w="0" w:type="dxa"/>
            <w:vAlign w:val="bottom"/>
          </w:tcPr>
          <w:p>
            <w:pPr>
              <w:spacing w:after="0"/>
              <w:rPr>
                <w:sz w:val="1"/>
                <w:szCs w:val="1"/>
                <w:color w:val="auto"/>
              </w:rPr>
            </w:pPr>
          </w:p>
        </w:tc>
      </w:tr>
      <w:tr>
        <w:trPr>
          <w:trHeight w:val="157"/>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3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197,641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235,613</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3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560,610</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3100" w:type="dxa"/>
            <w:vAlign w:val="bottom"/>
          </w:tcPr>
          <w:p>
            <w:pPr>
              <w:spacing w:after="0"/>
              <w:rPr>
                <w:sz w:val="12"/>
                <w:szCs w:val="12"/>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993,864</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796,223</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3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640" w:type="dxa"/>
            <w:vAlign w:val="bottom"/>
            <w:gridSpan w:val="2"/>
          </w:tcPr>
          <w:p>
            <w:pPr>
              <w:jc w:val="right"/>
              <w:ind w:right="42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80" w:type="dxa"/>
            <w:vAlign w:val="bottom"/>
          </w:tcPr>
          <w:p>
            <w:pPr>
              <w:spacing w:after="0"/>
              <w:rPr>
                <w:sz w:val="13"/>
                <w:szCs w:val="13"/>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3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customer/subscriber account balances</w:t>
            </w:r>
          </w:p>
        </w:tc>
        <w:tc>
          <w:tcPr>
            <w:tcW w:w="3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924,174</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744,696</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3100" w:type="dxa"/>
            <w:vAlign w:val="bottom"/>
          </w:tcPr>
          <w:p>
            <w:pPr>
              <w:spacing w:after="0"/>
              <w:rPr>
                <w:sz w:val="12"/>
                <w:szCs w:val="12"/>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993,864</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796,223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100" w:type="dxa"/>
            <w:vAlign w:val="bottom"/>
            <w:vMerge w:val="restart"/>
          </w:tcPr>
          <w:p>
            <w:pPr>
              <w:jc w:val="right"/>
              <w:ind w:right="2520"/>
              <w:spacing w:after="0"/>
              <w:rPr>
                <w:sz w:val="20"/>
                <w:szCs w:val="20"/>
                <w:color w:val="auto"/>
              </w:rPr>
            </w:pPr>
            <w:r>
              <w:rPr>
                <w:rFonts w:ascii="Times New Roman" w:cs="Times New Roman" w:eastAsia="Times New Roman" w:hAnsi="Times New Roman"/>
                <w:sz w:val="12"/>
                <w:szCs w:val="12"/>
                <w:color w:val="auto"/>
              </w:rPr>
              <w:t>10</w:t>
            </w: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1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41" w:right="319" w:bottom="1440" w:gutter="0" w:footer="0" w:header="0"/>
        </w:sectPr>
      </w:pPr>
    </w:p>
    <w:bookmarkStart w:id="13" w:name="page14"/>
    <w:bookmarkEnd w:id="13"/>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60" w:type="dxa"/>
            <w:vAlign w:val="bottom"/>
          </w:tcPr>
          <w:p>
            <w:pPr>
              <w:spacing w:after="0"/>
              <w:rPr>
                <w:sz w:val="13"/>
                <w:szCs w:val="13"/>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42"/>
        </w:trPr>
        <w:tc>
          <w:tcPr>
            <w:tcW w:w="496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0"/>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155,672</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140,129</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613,547</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583,251</w:t>
            </w:r>
          </w:p>
        </w:tc>
      </w:tr>
      <w:tr>
        <w:trPr>
          <w:trHeight w:val="155"/>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26,648</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25,036</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108,913</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109,485</w:t>
            </w:r>
          </w:p>
        </w:tc>
      </w:tr>
      <w:tr>
        <w:trPr>
          <w:trHeight w:val="331"/>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15,527,326</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14,570,549</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61,703,021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59,054,039</w:t>
            </w: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189,738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173,732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755,989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696,203</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18,137,274</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16,958,661</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71,566,091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68,489,886</w:t>
            </w:r>
          </w:p>
        </w:tc>
      </w:tr>
      <w:tr>
        <w:trPr>
          <w:trHeight w:val="331"/>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23,735</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21,411</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89,103</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41,156</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7,605</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w:t>
            </w:r>
          </w:p>
        </w:tc>
      </w:tr>
      <w:tr>
        <w:trPr>
          <w:trHeight w:val="295"/>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244,689</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215,587</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977,278</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851,948</w:t>
            </w:r>
          </w:p>
        </w:tc>
      </w:tr>
      <w:tr>
        <w:trPr>
          <w:trHeight w:val="155"/>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1,087</w:t>
            </w:r>
          </w:p>
        </w:tc>
      </w:tr>
      <w:tr>
        <w:trPr>
          <w:trHeight w:val="331"/>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48,690</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38,262</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180,448</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132,186</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42,025</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33,040</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154,936</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110,893</w:t>
            </w:r>
          </w:p>
        </w:tc>
      </w:tr>
      <w:tr>
        <w:trPr>
          <w:trHeight w:val="322"/>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billed clients</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891,157</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650,280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797,567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556,526</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monthly new enrollments</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52,444</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56,072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140"/>
          </w:cols>
          <w:pgMar w:left="300" w:top="296"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12"/>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Three Months Ended December 31, 2024</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20" w:type="dxa"/>
            <w:vAlign w:val="bottom"/>
          </w:tcPr>
          <w:p>
            <w:pPr>
              <w:spacing w:after="0"/>
              <w:rPr>
                <w:sz w:val="12"/>
                <w:szCs w:val="12"/>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26,648</w:t>
            </w:r>
          </w:p>
        </w:tc>
        <w:tc>
          <w:tcPr>
            <w:tcW w:w="80" w:type="dxa"/>
            <w:vAlign w:val="bottom"/>
          </w:tcPr>
          <w:p>
            <w:pPr>
              <w:spacing w:after="0"/>
              <w:rPr>
                <w:sz w:val="13"/>
                <w:szCs w:val="13"/>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(19,333)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51,735</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(22,051)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(23,111)</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(1,248)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(13,811)</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(1,703)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(1,703)</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(1,379)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(1,379)</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(1,283)</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(1,241)</w:t>
            </w:r>
          </w:p>
        </w:tc>
        <w:tc>
          <w:tcPr>
            <w:tcW w:w="0" w:type="dxa"/>
            <w:vAlign w:val="bottom"/>
          </w:tcPr>
          <w:p>
            <w:pPr>
              <w:spacing w:after="0"/>
              <w:rPr>
                <w:sz w:val="1"/>
                <w:szCs w:val="1"/>
                <w:color w:val="auto"/>
              </w:rPr>
            </w:pPr>
          </w:p>
        </w:tc>
      </w:tr>
      <w:tr>
        <w:trPr>
          <w:trHeight w:val="140"/>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19,845</w:t>
            </w:r>
          </w:p>
        </w:tc>
        <w:tc>
          <w:tcPr>
            <w:tcW w:w="80" w:type="dxa"/>
            <w:vAlign w:val="bottom"/>
          </w:tcPr>
          <w:p>
            <w:pPr>
              <w:spacing w:after="0"/>
              <w:rPr>
                <w:sz w:val="12"/>
                <w:szCs w:val="12"/>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37,494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(46,997)</w:t>
            </w:r>
          </w:p>
        </w:tc>
        <w:tc>
          <w:tcPr>
            <w:tcW w:w="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10,490</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(3,270)</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7,220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20" w:type="dxa"/>
            <w:vAlign w:val="bottom"/>
          </w:tcPr>
          <w:p>
            <w:pPr>
              <w:spacing w:after="0"/>
              <w:rPr>
                <w:sz w:val="12"/>
                <w:szCs w:val="12"/>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8"/>
              </w:rPr>
              <w:t>Total 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108,913</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154,936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(67,187)</w:t>
            </w:r>
          </w:p>
        </w:tc>
        <w:tc>
          <w:tcPr>
            <w:tcW w:w="8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204,267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(84,607)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(30,865)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(5,751)</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78,031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137,877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(176,414)</w:t>
            </w:r>
          </w:p>
        </w:tc>
        <w:tc>
          <w:tcPr>
            <w:tcW w:w="80" w:type="dxa"/>
            <w:vAlign w:val="bottom"/>
          </w:tcPr>
          <w:p>
            <w:pPr>
              <w:spacing w:after="0"/>
              <w:rPr>
                <w:sz w:val="12"/>
                <w:szCs w:val="1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37,281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80"/>
          </w:cols>
          <w:pgMar w:left="300" w:top="296"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12"/>
          </w:tcPr>
          <w:p>
            <w:pPr>
              <w:ind w:left="600"/>
              <w:spacing w:after="0"/>
              <w:rPr>
                <w:sz w:val="20"/>
                <w:szCs w:val="20"/>
                <w:color w:val="auto"/>
              </w:rPr>
            </w:pPr>
            <w:r>
              <w:rPr>
                <w:rFonts w:ascii="Times New Roman" w:cs="Times New Roman" w:eastAsia="Times New Roman" w:hAnsi="Times New Roman"/>
                <w:sz w:val="12"/>
                <w:szCs w:val="12"/>
                <w:b w:val="1"/>
                <w:bCs w:val="1"/>
                <w:color w:val="auto"/>
              </w:rPr>
              <w:t>Three Months Ended December 31, 2023</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20" w:type="dxa"/>
            <w:vAlign w:val="bottom"/>
          </w:tcPr>
          <w:p>
            <w:pPr>
              <w:spacing w:after="0"/>
              <w:rPr>
                <w:sz w:val="12"/>
                <w:szCs w:val="12"/>
                <w:color w:val="auto"/>
              </w:rPr>
            </w:pP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6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33,040</w:t>
            </w:r>
          </w:p>
        </w:tc>
        <w:tc>
          <w:tcPr>
            <w:tcW w:w="6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(13,811)</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44,637</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(19,779)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(20,647)</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(15,092)</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(5,256)</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(1,585)</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other loses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0" w:type="dxa"/>
            <w:vAlign w:val="bottom"/>
          </w:tcPr>
          <w:p>
            <w:pPr>
              <w:spacing w:after="0"/>
              <w:rPr>
                <w:sz w:val="1"/>
                <w:szCs w:val="1"/>
                <w:color w:val="auto"/>
              </w:rPr>
            </w:pPr>
          </w:p>
        </w:tc>
      </w:tr>
      <w:tr>
        <w:trPr>
          <w:trHeight w:val="140"/>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15,743</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(1,819)</w:t>
            </w:r>
          </w:p>
        </w:tc>
        <w:tc>
          <w:tcPr>
            <w:tcW w:w="60" w:type="dxa"/>
            <w:vAlign w:val="bottom"/>
          </w:tcPr>
          <w:p>
            <w:pPr>
              <w:spacing w:after="0"/>
              <w:rPr>
                <w:sz w:val="12"/>
                <w:szCs w:val="12"/>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29,054</w:t>
            </w:r>
          </w:p>
        </w:tc>
        <w:tc>
          <w:tcPr>
            <w:tcW w:w="60" w:type="dxa"/>
            <w:vAlign w:val="bottom"/>
          </w:tcPr>
          <w:p>
            <w:pPr>
              <w:spacing w:after="0"/>
              <w:rPr>
                <w:sz w:val="12"/>
                <w:szCs w:val="12"/>
                <w:color w:val="auto"/>
              </w:rPr>
            </w:pPr>
          </w:p>
        </w:tc>
        <w:tc>
          <w:tcPr>
            <w:tcW w:w="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(41,171)</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1,807</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(1,913)</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109,485</w:t>
            </w:r>
          </w:p>
        </w:tc>
        <w:tc>
          <w:tcPr>
            <w:tcW w:w="8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500" w:type="dxa"/>
            <w:vAlign w:val="bottom"/>
            <w:gridSpan w:val="3"/>
          </w:tcPr>
          <w:p>
            <w:pPr>
              <w:jc w:val="right"/>
              <w:ind w:right="283"/>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110,893</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(54,296)</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168,332</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(74,449)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(76,108)</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(36,715)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(22,426)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(68,395)</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(9,825)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(9,825)</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(6,768)</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other losses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0"/>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8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72,231</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(1,432)</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87,849</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(151,496)</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7,152</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(8,463)</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6" w:right="319" w:bottom="1440"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2025-03-06T06:35:07Z</dcterms:created>
  <dcterms:modified xsi:type="dcterms:W3CDTF">2025-03-06T06:35:07Z</dcterms:modified>
</cp:coreProperties>
</file>