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13,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001-37872</w:t>
            </w:r>
          </w:p>
        </w:tc>
        <w:tc>
          <w:tcPr>
            <w:tcW w:w="37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color w:val="auto"/>
                <w:w w:val="93"/>
              </w:rPr>
              <w:t>(Commission File Number)</w:t>
            </w:r>
          </w:p>
        </w:tc>
        <w:tc>
          <w:tcPr>
            <w:tcW w:w="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3"/>
        </w:trPr>
        <w:tc>
          <w:tcPr>
            <w:tcW w:w="20" w:type="dxa"/>
            <w:vAlign w:val="bottom"/>
          </w:tcPr>
          <w:p>
            <w:pPr>
              <w:spacing w:after="0"/>
              <w:rPr>
                <w:sz w:val="24"/>
                <w:szCs w:val="24"/>
                <w:color w:val="auto"/>
              </w:rPr>
            </w:pPr>
          </w:p>
        </w:tc>
        <w:tc>
          <w:tcPr>
            <w:tcW w:w="450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3"/>
              </w:rPr>
              <w:t>c/o Magna Management LLC</w:t>
            </w: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2"/>
              </w:rPr>
              <w:t>40 Wall Street, 58th Floor</w:t>
            </w: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5"/>
              </w:rPr>
              <w:t>New York, NY</w:t>
            </w:r>
          </w:p>
        </w:tc>
        <w:tc>
          <w:tcPr>
            <w:tcW w:w="3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2"/>
          </w:tcPr>
          <w:p>
            <w:pPr>
              <w:jc w:val="right"/>
              <w:ind w:right="251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Pr>
          <w:p>
            <w:pPr>
              <w:jc w:val="center"/>
              <w:ind w:right="1850"/>
              <w:spacing w:after="0"/>
              <w:rPr>
                <w:sz w:val="20"/>
                <w:szCs w:val="20"/>
                <w:color w:val="auto"/>
              </w:rPr>
            </w:pPr>
            <w:r>
              <w:rPr>
                <w:rFonts w:ascii="Arial" w:cs="Arial" w:eastAsia="Arial" w:hAnsi="Arial"/>
                <w:sz w:val="18"/>
                <w:szCs w:val="18"/>
                <w:color w:val="auto"/>
                <w:w w:val="91"/>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In connection with the transaction between Priority and M I,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line="272"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 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March 13, 2018, M I Acquisitions, Inc. (“M I”) issued promissory notes in the aggregate principal amount of </w:t>
      </w:r>
      <w:r>
        <w:rPr>
          <w:rFonts w:ascii="Arial" w:cs="Arial" w:eastAsia="Arial" w:hAnsi="Arial"/>
          <w:sz w:val="18"/>
          <w:szCs w:val="18"/>
          <w:color w:val="auto"/>
          <w:highlight w:val="white"/>
        </w:rPr>
        <w:t>$132,752.73 to its sponsors (M SPAC LLC,</w:t>
      </w:r>
      <w:r>
        <w:rPr>
          <w:rFonts w:ascii="Arial" w:cs="Arial" w:eastAsia="Arial" w:hAnsi="Arial"/>
          <w:sz w:val="18"/>
          <w:szCs w:val="18"/>
          <w:color w:val="auto"/>
        </w:rPr>
        <w:t xml:space="preserve"> </w:t>
      </w:r>
      <w:r>
        <w:rPr>
          <w:rFonts w:ascii="Arial" w:cs="Arial" w:eastAsia="Arial" w:hAnsi="Arial"/>
          <w:sz w:val="18"/>
          <w:szCs w:val="18"/>
          <w:color w:val="auto"/>
          <w:highlight w:val="white"/>
        </w:rPr>
        <w:t>M SPAC Holdings I, LLC and M SPAC Holdings II, LLC)</w:t>
      </w:r>
      <w:r>
        <w:rPr>
          <w:rFonts w:ascii="Arial" w:cs="Arial" w:eastAsia="Arial" w:hAnsi="Arial"/>
          <w:sz w:val="18"/>
          <w:szCs w:val="18"/>
          <w:color w:val="auto"/>
        </w:rPr>
        <w:t>. The $132,752.73 received by M I upon issuance of the notes was deposited into the M I trust</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account for the benefit of its public stockholders in order to extend the </w:t>
      </w:r>
      <w:r>
        <w:rPr>
          <w:rFonts w:ascii="Arial" w:cs="Arial" w:eastAsia="Arial" w:hAnsi="Arial"/>
          <w:sz w:val="18"/>
          <w:szCs w:val="18"/>
          <w:color w:val="auto"/>
          <w:highlight w:val="white"/>
        </w:rPr>
        <w:t>period of time M I has to complete a business combination for an additional one</w:t>
      </w:r>
      <w:r>
        <w:rPr>
          <w:rFonts w:ascii="Arial" w:cs="Arial" w:eastAsia="Arial" w:hAnsi="Arial"/>
          <w:sz w:val="18"/>
          <w:szCs w:val="18"/>
          <w:color w:val="auto"/>
        </w:rPr>
        <w:t xml:space="preserve"> </w:t>
      </w:r>
      <w:r>
        <w:rPr>
          <w:rFonts w:ascii="Arial" w:cs="Arial" w:eastAsia="Arial" w:hAnsi="Arial"/>
          <w:sz w:val="18"/>
          <w:szCs w:val="18"/>
          <w:color w:val="auto"/>
          <w:highlight w:val="white"/>
        </w:rPr>
        <w:t>month, from March 19, 2018 to April 19, 2018. The notes do not bear interest and are payable five business days after the date M I completes a business combination. The following events constitute events of default under the notes:</w:t>
      </w:r>
    </w:p>
    <w:p>
      <w:pPr>
        <w:spacing w:after="0" w:line="18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5540" w:type="dxa"/>
            <w:vAlign w:val="bottom"/>
            <w:gridSpan w:val="10"/>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gridSpan w:val="3"/>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Promissory Note issued to</w:t>
              </w:r>
            </w:hyperlink>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8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40" w:type="dxa"/>
            <w:vAlign w:val="bottom"/>
            <w:tcBorders>
              <w:bottom w:val="single" w:sz="8" w:color="0000EE"/>
            </w:tcBorders>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Borders>
              <w:bottom w:val="single" w:sz="8" w:color="0000EE"/>
            </w:tcBorders>
            <w:gridSpan w:val="2"/>
            <w:vMerge w:val="continue"/>
          </w:tcPr>
          <w:p>
            <w:pPr>
              <w:spacing w:after="0"/>
              <w:rPr>
                <w:sz w:val="17"/>
                <w:szCs w:val="17"/>
                <w:color w:val="auto"/>
              </w:rPr>
            </w:pPr>
          </w:p>
        </w:tc>
        <w:tc>
          <w:tcPr>
            <w:tcW w:w="2680" w:type="dxa"/>
            <w:vAlign w:val="bottom"/>
            <w:tcBorders>
              <w:bottom w:val="single" w:sz="8" w:color="0000EE"/>
            </w:tcBorders>
            <w:gridSpan w:val="4"/>
            <w:shd w:val="clear" w:color="auto" w:fill="FEFEFE"/>
          </w:tcPr>
          <w:p>
            <w:pPr>
              <w:spacing w:after="0" w:line="176" w:lineRule="exact"/>
              <w:rPr>
                <w:rFonts w:ascii="Arial" w:cs="Arial" w:eastAsia="Arial" w:hAnsi="Arial"/>
                <w:sz w:val="18"/>
                <w:szCs w:val="18"/>
                <w:color w:val="0000EE"/>
                <w:highlight w:val="white"/>
                <w:w w:val="91"/>
              </w:rPr>
            </w:pPr>
            <w:hyperlink w:anchor="page6">
              <w:r>
                <w:rPr>
                  <w:rFonts w:ascii="Arial" w:cs="Arial" w:eastAsia="Arial" w:hAnsi="Arial"/>
                  <w:sz w:val="18"/>
                  <w:szCs w:val="18"/>
                  <w:color w:val="0000EE"/>
                  <w:highlight w:val="white"/>
                  <w:w w:val="91"/>
                </w:rPr>
                <w:t>M SPAC LLC dated March 13, 2018.</w:t>
              </w:r>
            </w:hyperlink>
          </w:p>
        </w:tc>
        <w:tc>
          <w:tcPr>
            <w:tcW w:w="20" w:type="dxa"/>
            <w:vAlign w:val="bottom"/>
            <w:tcBorders>
              <w:bottom w:val="single" w:sz="8" w:color="0000EE"/>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gridSpan w:val="3"/>
            <w:vMerge w:val="restart"/>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vMerge w:val="restart"/>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Promissory Note issued to</w:t>
              </w:r>
            </w:hyperlink>
          </w:p>
        </w:tc>
        <w:tc>
          <w:tcPr>
            <w:tcW w:w="220" w:type="dxa"/>
            <w:vAlign w:val="bottom"/>
            <w:tcBorders>
              <w:top w:val="single" w:sz="8" w:color="FEFEFE"/>
            </w:tcBorders>
          </w:tcPr>
          <w:p>
            <w:pPr>
              <w:spacing w:after="0"/>
              <w:rPr>
                <w:sz w:val="18"/>
                <w:szCs w:val="18"/>
                <w:color w:val="auto"/>
              </w:rPr>
            </w:pPr>
          </w:p>
        </w:tc>
        <w:tc>
          <w:tcPr>
            <w:tcW w:w="120" w:type="dxa"/>
            <w:vAlign w:val="bottom"/>
            <w:tcBorders>
              <w:top w:val="single" w:sz="8" w:color="FEFEFE"/>
            </w:tcBorders>
          </w:tcPr>
          <w:p>
            <w:pPr>
              <w:spacing w:after="0"/>
              <w:rPr>
                <w:sz w:val="18"/>
                <w:szCs w:val="18"/>
                <w:color w:val="auto"/>
              </w:rPr>
            </w:pPr>
          </w:p>
        </w:tc>
        <w:tc>
          <w:tcPr>
            <w:tcW w:w="440" w:type="dxa"/>
            <w:vAlign w:val="bottom"/>
            <w:tcBorders>
              <w:top w:val="single" w:sz="8" w:color="FEFEFE"/>
            </w:tcBorders>
          </w:tcPr>
          <w:p>
            <w:pPr>
              <w:spacing w:after="0"/>
              <w:rPr>
                <w:sz w:val="18"/>
                <w:szCs w:val="18"/>
                <w:color w:val="auto"/>
              </w:rPr>
            </w:pPr>
          </w:p>
        </w:tc>
        <w:tc>
          <w:tcPr>
            <w:tcW w:w="1900" w:type="dxa"/>
            <w:vAlign w:val="bottom"/>
            <w:tcBorders>
              <w:top w:val="single" w:sz="8" w:color="FEFEFE"/>
            </w:tcBorders>
          </w:tcPr>
          <w:p>
            <w:pPr>
              <w:spacing w:after="0"/>
              <w:rPr>
                <w:sz w:val="18"/>
                <w:szCs w:val="18"/>
                <w:color w:val="auto"/>
              </w:rPr>
            </w:pPr>
          </w:p>
        </w:tc>
        <w:tc>
          <w:tcPr>
            <w:tcW w:w="8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0" w:type="dxa"/>
            <w:vAlign w:val="bottom"/>
            <w:tcBorders>
              <w:bottom w:val="single" w:sz="8" w:color="0000EE"/>
            </w:tcBorders>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Borders>
              <w:bottom w:val="single" w:sz="8" w:color="0000EE"/>
            </w:tcBorders>
            <w:gridSpan w:val="2"/>
            <w:vMerge w:val="continue"/>
          </w:tcPr>
          <w:p>
            <w:pPr>
              <w:spacing w:after="0"/>
              <w:rPr>
                <w:sz w:val="17"/>
                <w:szCs w:val="17"/>
                <w:color w:val="auto"/>
              </w:rPr>
            </w:pPr>
          </w:p>
        </w:tc>
        <w:tc>
          <w:tcPr>
            <w:tcW w:w="3540" w:type="dxa"/>
            <w:vAlign w:val="bottom"/>
            <w:tcBorders>
              <w:bottom w:val="single" w:sz="8" w:color="0000EE"/>
            </w:tcBorders>
            <w:gridSpan w:val="6"/>
            <w:shd w:val="clear" w:color="auto" w:fill="FEFEFE"/>
          </w:tcPr>
          <w:p>
            <w:pPr>
              <w:spacing w:after="0" w:line="176" w:lineRule="exact"/>
              <w:rPr>
                <w:rFonts w:ascii="Arial" w:cs="Arial" w:eastAsia="Arial" w:hAnsi="Arial"/>
                <w:sz w:val="18"/>
                <w:szCs w:val="18"/>
                <w:color w:val="0000EE"/>
                <w:highlight w:val="white"/>
                <w:w w:val="92"/>
              </w:rPr>
            </w:pPr>
            <w:hyperlink w:anchor="page11">
              <w:r>
                <w:rPr>
                  <w:rFonts w:ascii="Arial" w:cs="Arial" w:eastAsia="Arial" w:hAnsi="Arial"/>
                  <w:sz w:val="18"/>
                  <w:szCs w:val="18"/>
                  <w:color w:val="0000EE"/>
                  <w:highlight w:val="white"/>
                  <w:w w:val="92"/>
                </w:rPr>
                <w:t>M SPAC Holdings I, LLC dated March 13, 2018.</w:t>
              </w:r>
            </w:hyperlink>
          </w:p>
        </w:tc>
        <w:tc>
          <w:tcPr>
            <w:tcW w:w="20" w:type="dxa"/>
            <w:vAlign w:val="bottom"/>
            <w:tcBorders>
              <w:bottom w:val="single" w:sz="8" w:color="0000EE"/>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gridSpan w:val="3"/>
            <w:vMerge w:val="restart"/>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vMerge w:val="restart"/>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Promissory Note issued to</w:t>
              </w:r>
            </w:hyperlink>
          </w:p>
        </w:tc>
        <w:tc>
          <w:tcPr>
            <w:tcW w:w="220" w:type="dxa"/>
            <w:vAlign w:val="bottom"/>
            <w:tcBorders>
              <w:top w:val="single" w:sz="8" w:color="FEFEFE"/>
            </w:tcBorders>
          </w:tcPr>
          <w:p>
            <w:pPr>
              <w:spacing w:after="0"/>
              <w:rPr>
                <w:sz w:val="18"/>
                <w:szCs w:val="18"/>
                <w:color w:val="auto"/>
              </w:rPr>
            </w:pPr>
          </w:p>
        </w:tc>
        <w:tc>
          <w:tcPr>
            <w:tcW w:w="120" w:type="dxa"/>
            <w:vAlign w:val="bottom"/>
            <w:tcBorders>
              <w:top w:val="single" w:sz="8" w:color="FEFEFE"/>
            </w:tcBorders>
          </w:tcPr>
          <w:p>
            <w:pPr>
              <w:spacing w:after="0"/>
              <w:rPr>
                <w:sz w:val="18"/>
                <w:szCs w:val="18"/>
                <w:color w:val="auto"/>
              </w:rPr>
            </w:pPr>
          </w:p>
        </w:tc>
        <w:tc>
          <w:tcPr>
            <w:tcW w:w="440" w:type="dxa"/>
            <w:vAlign w:val="bottom"/>
            <w:tcBorders>
              <w:top w:val="single" w:sz="8" w:color="FEFEFE"/>
            </w:tcBorders>
          </w:tcPr>
          <w:p>
            <w:pPr>
              <w:spacing w:after="0"/>
              <w:rPr>
                <w:sz w:val="18"/>
                <w:szCs w:val="18"/>
                <w:color w:val="auto"/>
              </w:rPr>
            </w:pPr>
          </w:p>
        </w:tc>
        <w:tc>
          <w:tcPr>
            <w:tcW w:w="2760" w:type="dxa"/>
            <w:vAlign w:val="bottom"/>
            <w:tcBorders>
              <w:top w:val="single" w:sz="8" w:color="FEFEFE"/>
            </w:tcBorders>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0000EE"/>
            </w:tcBorders>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Borders>
              <w:bottom w:val="single" w:sz="8" w:color="0000EE"/>
            </w:tcBorders>
            <w:gridSpan w:val="2"/>
            <w:vMerge w:val="continue"/>
          </w:tcPr>
          <w:p>
            <w:pPr>
              <w:spacing w:after="0"/>
              <w:rPr>
                <w:sz w:val="15"/>
                <w:szCs w:val="15"/>
                <w:color w:val="auto"/>
              </w:rPr>
            </w:pPr>
          </w:p>
        </w:tc>
        <w:tc>
          <w:tcPr>
            <w:tcW w:w="3600" w:type="dxa"/>
            <w:vAlign w:val="bottom"/>
            <w:tcBorders>
              <w:bottom w:val="single" w:sz="8" w:color="0000EE"/>
            </w:tcBorders>
            <w:gridSpan w:val="8"/>
            <w:shd w:val="clear" w:color="auto" w:fill="FEFEFE"/>
          </w:tcPr>
          <w:p>
            <w:pPr>
              <w:spacing w:after="0" w:line="176" w:lineRule="exact"/>
              <w:rPr>
                <w:rFonts w:ascii="Arial" w:cs="Arial" w:eastAsia="Arial" w:hAnsi="Arial"/>
                <w:sz w:val="18"/>
                <w:szCs w:val="18"/>
                <w:color w:val="0000EE"/>
                <w:highlight w:val="white"/>
                <w:w w:val="92"/>
              </w:rPr>
            </w:pPr>
            <w:hyperlink w:anchor="page16">
              <w:r>
                <w:rPr>
                  <w:rFonts w:ascii="Arial" w:cs="Arial" w:eastAsia="Arial" w:hAnsi="Arial"/>
                  <w:sz w:val="18"/>
                  <w:szCs w:val="18"/>
                  <w:color w:val="0000EE"/>
                  <w:highlight w:val="white"/>
                  <w:w w:val="92"/>
                </w:rPr>
                <w:t>M SPAC Holdings II, LLC dated March 13, 2018.</w:t>
              </w:r>
            </w:hyperlink>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gridSpan w:val="5"/>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300" w:type="dxa"/>
            <w:vAlign w:val="bottom"/>
            <w:tcBorders>
              <w:bottom w:val="single" w:sz="8" w:color="FEFEFE"/>
            </w:tcBorders>
            <w:vMerge w:val="restart"/>
            <w:shd w:val="clear" w:color="auto" w:fill="FEFEFE"/>
          </w:tcPr>
          <w:p>
            <w:pPr>
              <w:spacing w:after="0" w:line="176" w:lineRule="exact"/>
              <w:rPr>
                <w:rFonts w:ascii="Arial" w:cs="Arial" w:eastAsia="Arial" w:hAnsi="Arial"/>
                <w:sz w:val="18"/>
                <w:szCs w:val="18"/>
                <w:color w:val="0000EE"/>
                <w:highlight w:val="white"/>
                <w:w w:val="79"/>
              </w:rPr>
            </w:pPr>
            <w:hyperlink w:anchor="page21">
              <w:r>
                <w:rPr>
                  <w:rFonts w:ascii="Arial" w:cs="Arial" w:eastAsia="Arial" w:hAnsi="Arial"/>
                  <w:sz w:val="18"/>
                  <w:szCs w:val="18"/>
                  <w:color w:val="0000EE"/>
                  <w:highlight w:val="white"/>
                  <w:w w:val="79"/>
                </w:rPr>
                <w:t>99.</w:t>
              </w:r>
              <w:r>
                <w:rPr>
                  <w:rFonts w:ascii="Arial" w:cs="Arial" w:eastAsia="Arial" w:hAnsi="Arial"/>
                  <w:sz w:val="18"/>
                  <w:szCs w:val="18"/>
                  <w:u w:val="single" w:color="auto"/>
                  <w:color w:val="0000EE"/>
                  <w:highlight w:val="white"/>
                  <w:w w:val="79"/>
                </w:rPr>
                <w:t>1</w:t>
              </w:r>
            </w:hyperlink>
          </w:p>
        </w:tc>
        <w:tc>
          <w:tcPr>
            <w:tcW w:w="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Borders>
              <w:bottom w:val="single" w:sz="8" w:color="FEFEFE"/>
            </w:tcBorders>
            <w:gridSpan w:val="3"/>
            <w:vMerge w:val="restart"/>
            <w:shd w:val="clear" w:color="auto" w:fill="FEFEFE"/>
          </w:tcPr>
          <w:p>
            <w:pPr>
              <w:spacing w:after="0" w:line="176" w:lineRule="exact"/>
              <w:rPr>
                <w:rFonts w:ascii="Arial" w:cs="Arial" w:eastAsia="Arial" w:hAnsi="Arial"/>
                <w:sz w:val="18"/>
                <w:szCs w:val="18"/>
                <w:color w:val="0000EE"/>
                <w:highlight w:val="white"/>
                <w:w w:val="86"/>
              </w:rPr>
            </w:pPr>
            <w:hyperlink w:anchor="page21">
              <w:r>
                <w:rPr>
                  <w:rFonts w:ascii="Arial" w:cs="Arial" w:eastAsia="Arial" w:hAnsi="Arial"/>
                  <w:sz w:val="18"/>
                  <w:szCs w:val="18"/>
                  <w:color w:val="0000EE"/>
                  <w:highlight w:val="white"/>
                  <w:w w:val="86"/>
                </w:rPr>
                <w:t>Press Release dated March 14</w:t>
              </w:r>
            </w:hyperlink>
          </w:p>
        </w:tc>
        <w:tc>
          <w:tcPr>
            <w:tcW w:w="120" w:type="dxa"/>
            <w:vAlign w:val="bottom"/>
            <w:tcBorders>
              <w:bottom w:val="single" w:sz="8" w:color="0000EE"/>
            </w:tcBorders>
            <w:shd w:val="clear" w:color="auto" w:fill="FEFEFE"/>
          </w:tcPr>
          <w:p>
            <w:pPr>
              <w:spacing w:after="0" w:line="88" w:lineRule="exact"/>
              <w:rPr>
                <w:rFonts w:ascii="Arial" w:cs="Arial" w:eastAsia="Arial" w:hAnsi="Arial"/>
                <w:sz w:val="10"/>
                <w:szCs w:val="10"/>
                <w:color w:val="0000EE"/>
                <w:highlight w:val="white"/>
              </w:rPr>
            </w:pPr>
            <w:hyperlink w:anchor="page21">
              <w:r>
                <w:rPr>
                  <w:rFonts w:ascii="Arial" w:cs="Arial" w:eastAsia="Arial" w:hAnsi="Arial"/>
                  <w:sz w:val="10"/>
                  <w:szCs w:val="10"/>
                  <w:color w:val="0000EE"/>
                  <w:highlight w:val="white"/>
                </w:rPr>
                <w:t>th</w:t>
              </w:r>
            </w:hyperlink>
          </w:p>
        </w:tc>
        <w:tc>
          <w:tcPr>
            <w:tcW w:w="440" w:type="dxa"/>
            <w:vAlign w:val="bottom"/>
            <w:tcBorders>
              <w:bottom w:val="single" w:sz="8" w:color="FEFEFE"/>
            </w:tcBorders>
            <w:vMerge w:val="restart"/>
            <w:shd w:val="clear" w:color="auto" w:fill="FEFEFE"/>
          </w:tcPr>
          <w:p>
            <w:pPr>
              <w:jc w:val="right"/>
              <w:spacing w:after="0" w:line="176" w:lineRule="exact"/>
              <w:rPr>
                <w:rFonts w:ascii="Arial" w:cs="Arial" w:eastAsia="Arial" w:hAnsi="Arial"/>
                <w:sz w:val="18"/>
                <w:szCs w:val="18"/>
                <w:color w:val="0000EE"/>
                <w:highlight w:val="white"/>
                <w:w w:val="83"/>
              </w:rPr>
            </w:pPr>
            <w:hyperlink w:anchor="page21">
              <w:r>
                <w:rPr>
                  <w:rFonts w:ascii="Arial" w:cs="Arial" w:eastAsia="Arial" w:hAnsi="Arial"/>
                  <w:sz w:val="18"/>
                  <w:szCs w:val="18"/>
                  <w:color w:val="0000EE"/>
                  <w:highlight w:val="white"/>
                  <w:w w:val="83"/>
                </w:rPr>
                <w:t>, 2018</w:t>
              </w:r>
            </w:hyperlink>
          </w:p>
        </w:tc>
        <w:tc>
          <w:tcPr>
            <w:tcW w:w="2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 w:type="dxa"/>
            <w:vAlign w:val="bottom"/>
            <w:tcBorders>
              <w:bottom w:val="single" w:sz="8" w:color="0000EE"/>
            </w:tcBorders>
            <w:vMerge w:val="continue"/>
            <w:shd w:val="clear" w:color="auto" w:fill="FEFEF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60" w:type="dxa"/>
            <w:vAlign w:val="bottom"/>
            <w:tcBorders>
              <w:bottom w:val="single" w:sz="8" w:color="0000EE"/>
            </w:tcBorders>
            <w:gridSpan w:val="3"/>
            <w:vMerge w:val="continue"/>
            <w:shd w:val="clear" w:color="auto" w:fill="FEFEFE"/>
          </w:tcPr>
          <w:p>
            <w:pPr>
              <w:spacing w:after="0"/>
              <w:rPr>
                <w:sz w:val="4"/>
                <w:szCs w:val="4"/>
                <w:color w:val="auto"/>
              </w:rPr>
            </w:pPr>
          </w:p>
        </w:tc>
        <w:tc>
          <w:tcPr>
            <w:tcW w:w="120" w:type="dxa"/>
            <w:vAlign w:val="bottom"/>
            <w:tcBorders>
              <w:bottom w:val="single" w:sz="8" w:color="FEFEFE"/>
            </w:tcBorders>
            <w:shd w:val="clear" w:color="auto" w:fill="FEFEFE"/>
          </w:tcPr>
          <w:p>
            <w:pPr>
              <w:spacing w:after="0"/>
              <w:rPr>
                <w:sz w:val="4"/>
                <w:szCs w:val="4"/>
                <w:color w:val="auto"/>
              </w:rPr>
            </w:pPr>
          </w:p>
        </w:tc>
        <w:tc>
          <w:tcPr>
            <w:tcW w:w="440" w:type="dxa"/>
            <w:vAlign w:val="bottom"/>
            <w:tcBorders>
              <w:bottom w:val="single" w:sz="8" w:color="0000EE"/>
            </w:tcBorders>
            <w:vMerge w:val="continue"/>
            <w:shd w:val="clear" w:color="auto" w:fill="FEFEFE"/>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96" w:right="25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Principal Amount: $113,680.04</w:t>
      </w:r>
      <w:r>
        <w:rPr>
          <w:sz w:val="20"/>
          <w:szCs w:val="20"/>
          <w:color w:val="auto"/>
        </w:rPr>
        <w:tab/>
      </w:r>
      <w:r>
        <w:rPr>
          <w:rFonts w:ascii="Arial" w:cs="Arial" w:eastAsia="Arial" w:hAnsi="Arial"/>
          <w:sz w:val="24"/>
          <w:szCs w:val="24"/>
          <w:color w:val="auto"/>
          <w:vertAlign w:val="subscript"/>
        </w:rPr>
        <w:t>Dated as of March 13</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5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 SPAC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Thirteen Thousand Six Hundred Eighty Dollars and Four Cents ($113,680.04)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left="1292" w:right="60" w:hanging="644"/>
        <w:spacing w:after="0" w:line="258" w:lineRule="auto"/>
        <w:tabs>
          <w:tab w:leader="none" w:pos="1292"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7"/>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7"/>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7"/>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7" w:name="page8"/>
    <w:bookmarkEnd w:id="7"/>
    <w:p>
      <w:pPr>
        <w:ind w:left="660" w:right="480" w:hanging="652"/>
        <w:spacing w:after="0" w:line="314" w:lineRule="auto"/>
        <w:tabs>
          <w:tab w:leader="none" w:pos="660" w:val="left"/>
        </w:tabs>
        <w:numPr>
          <w:ilvl w:val="0"/>
          <w:numId w:val="8"/>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Magna Management LLC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9"/>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9"/>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9"/>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9"/>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8" w:name="page9"/>
    <w:bookmarkEnd w:id="8"/>
    <w:p>
      <w:pPr>
        <w:ind w:left="660" w:right="20" w:hanging="652"/>
        <w:spacing w:after="0" w:line="282"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0"/>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10300"/>
        <w:spacing w:after="0"/>
        <w:rPr>
          <w:sz w:val="20"/>
          <w:szCs w:val="20"/>
          <w:color w:val="auto"/>
        </w:rPr>
      </w:pPr>
      <w:r>
        <w:rPr>
          <w:rFonts w:ascii="Arial" w:cs="Arial" w:eastAsia="Arial" w:hAnsi="Arial"/>
          <w:sz w:val="19"/>
          <w:szCs w:val="19"/>
          <w:b w:val="1"/>
          <w:bCs w:val="1"/>
          <w:color w:val="auto"/>
        </w:rPr>
        <w:t>Exhibit 10.2</w:t>
      </w:r>
    </w:p>
    <w:p>
      <w:pPr>
        <w:spacing w:after="0" w:line="2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Principal Amount: $18,908.24</w:t>
      </w:r>
      <w:r>
        <w:rPr>
          <w:sz w:val="20"/>
          <w:szCs w:val="20"/>
          <w:color w:val="auto"/>
        </w:rPr>
        <w:tab/>
      </w:r>
      <w:r>
        <w:rPr>
          <w:rFonts w:ascii="Arial" w:cs="Arial" w:eastAsia="Arial" w:hAnsi="Arial"/>
          <w:sz w:val="24"/>
          <w:szCs w:val="24"/>
          <w:color w:val="auto"/>
          <w:vertAlign w:val="subscript"/>
        </w:rPr>
        <w:t>Dated as of March 13</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5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 SPAC Holdings I,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Eighteen Thousand Nine Hundred and Eight Dollars and Twenty Four Cents ($18,908.24)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 w:name="page12"/>
    <w:bookmarkEnd w:id="11"/>
    <w:p>
      <w:pPr>
        <w:ind w:left="1292" w:right="60" w:hanging="644"/>
        <w:spacing w:after="0" w:line="258" w:lineRule="auto"/>
        <w:tabs>
          <w:tab w:leader="none" w:pos="1292" w:val="left"/>
        </w:tabs>
        <w:numPr>
          <w:ilvl w:val="1"/>
          <w:numId w:val="12"/>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13"/>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13"/>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13"/>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13"/>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12" w:name="page13"/>
    <w:bookmarkEnd w:id="12"/>
    <w:p>
      <w:pPr>
        <w:ind w:left="660" w:right="480" w:hanging="652"/>
        <w:spacing w:after="0" w:line="314" w:lineRule="auto"/>
        <w:tabs>
          <w:tab w:leader="none" w:pos="660" w:val="left"/>
        </w:tabs>
        <w:numPr>
          <w:ilvl w:val="0"/>
          <w:numId w:val="14"/>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Magna Management LLC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15"/>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15"/>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15"/>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15"/>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13" w:name="page14"/>
    <w:bookmarkEnd w:id="13"/>
    <w:p>
      <w:pPr>
        <w:ind w:left="660" w:right="20" w:hanging="652"/>
        <w:spacing w:after="0" w:line="282" w:lineRule="auto"/>
        <w:tabs>
          <w:tab w:leader="none" w:pos="660" w:val="left"/>
        </w:tabs>
        <w:numPr>
          <w:ilvl w:val="0"/>
          <w:numId w:val="16"/>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6"/>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6"/>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4" w:name="page15"/>
    <w:bookmarkEnd w:id="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10300"/>
        <w:spacing w:after="0"/>
        <w:rPr>
          <w:sz w:val="20"/>
          <w:szCs w:val="20"/>
          <w:color w:val="auto"/>
        </w:rPr>
      </w:pPr>
      <w:r>
        <w:rPr>
          <w:rFonts w:ascii="Arial" w:cs="Arial" w:eastAsia="Arial" w:hAnsi="Arial"/>
          <w:sz w:val="19"/>
          <w:szCs w:val="19"/>
          <w:b w:val="1"/>
          <w:bCs w:val="1"/>
          <w:color w:val="auto"/>
        </w:rPr>
        <w:t>Exhibit 10.3</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Principal Amount: $164.46</w:t>
      </w:r>
      <w:r>
        <w:rPr>
          <w:sz w:val="20"/>
          <w:szCs w:val="20"/>
          <w:color w:val="auto"/>
        </w:rPr>
        <w:tab/>
      </w:r>
      <w:r>
        <w:rPr>
          <w:rFonts w:ascii="Arial" w:cs="Arial" w:eastAsia="Arial" w:hAnsi="Arial"/>
          <w:sz w:val="24"/>
          <w:szCs w:val="24"/>
          <w:color w:val="auto"/>
          <w:vertAlign w:val="subscript"/>
        </w:rPr>
        <w:t>Dated as of March 13</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5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 SPAC Holdings II,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Sixty Four Dollars and Forty Six Cents ($164.46)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 w:name="page17"/>
    <w:bookmarkEnd w:id="16"/>
    <w:p>
      <w:pPr>
        <w:ind w:left="1292" w:right="60" w:hanging="644"/>
        <w:spacing w:after="0" w:line="258" w:lineRule="auto"/>
        <w:tabs>
          <w:tab w:leader="none" w:pos="1292" w:val="left"/>
        </w:tabs>
        <w:numPr>
          <w:ilvl w:val="1"/>
          <w:numId w:val="18"/>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17" w:name="page18"/>
    <w:bookmarkEnd w:id="17"/>
    <w:p>
      <w:pPr>
        <w:ind w:left="660" w:right="480" w:hanging="652"/>
        <w:spacing w:after="0" w:line="314" w:lineRule="auto"/>
        <w:tabs>
          <w:tab w:leader="none" w:pos="660" w:val="left"/>
        </w:tabs>
        <w:numPr>
          <w:ilvl w:val="0"/>
          <w:numId w:val="20"/>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Magna Management LLC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21"/>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21"/>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21"/>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21"/>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18" w:name="page19"/>
    <w:bookmarkEnd w:id="18"/>
    <w:p>
      <w:pPr>
        <w:ind w:left="660" w:right="20" w:hanging="652"/>
        <w:spacing w:after="0" w:line="282" w:lineRule="auto"/>
        <w:tabs>
          <w:tab w:leader="none" w:pos="660" w:val="left"/>
        </w:tabs>
        <w:numPr>
          <w:ilvl w:val="0"/>
          <w:numId w:val="22"/>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22"/>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22"/>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M I Acquisitions, Inc. Announces Additional Contribution to Trust Account to Extend Period to Consummate Business Combination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highlight w:val="white"/>
        </w:rPr>
        <w:t>New York, NY, March 14</w:t>
      </w:r>
      <w:r>
        <w:rPr>
          <w:rFonts w:ascii="Arial" w:cs="Arial" w:eastAsia="Arial" w:hAnsi="Arial"/>
          <w:sz w:val="30"/>
          <w:szCs w:val="30"/>
          <w:color w:val="auto"/>
          <w:highlight w:val="white"/>
          <w:vertAlign w:val="superscript"/>
        </w:rPr>
        <w:t>th</w:t>
      </w:r>
      <w:r>
        <w:rPr>
          <w:rFonts w:ascii="Arial" w:cs="Arial" w:eastAsia="Arial" w:hAnsi="Arial"/>
          <w:sz w:val="18"/>
          <w:szCs w:val="18"/>
          <w:color w:val="auto"/>
          <w:highlight w:val="white"/>
        </w:rPr>
        <w:t>, 2018 --- M I Acquisitions, Inc. (NASDAQ: MACQU, MACQ, MACQW) (“M I”), a Magna-sponsored special purpose acquisition company, announced today that M I’s sponsors (the “Sponsors”) have deposited into the M I trust account (the “Trust Account”) an aggregate of $132,752.73 (representing approximately $0.025 per share of common stock), in order to extend the period of time M I has to complete a business combination for an additional one (1) month, from March 19, 2018 to April 19, 2018. M I issued promissory notes to the Sponsors with a principal amount equal to the amount deposited. The Sponsors will have the option, but no obligation, to extend such term an additional two times, each by one additional month up to June 19, 2018 by depositing an aggregate of $265,505.45 into the Trust Account. The purpose of the extension is to provide time for M I to complete its previously announced business combination with Priority Holdings, LLC (“Priority”), a leading provider of B2C and B2B payment processing solutions based in Alpharetta, GA.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097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the funding of the Trust Account to extend the period of time for M I to consummate a business combination. Forward-looking statements are subject to numerous conditions, many of which are beyond the control of the M I, including those set forth in the Risk Factors section of M I’s annual report on Form 10-K for the year ended December 31, 2016,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abstractNum>
  <w:abstractNum w:abstractNumId="5">
    <w:nsid w:val="DED7263"/>
    <w:multiLevelType w:val="hybridMultilevel"/>
    <w:lvl w:ilvl="0">
      <w:lvlJc w:val="left"/>
      <w:lvlText w:val="%1"/>
      <w:numFmt w:val="decimal"/>
      <w:start w:val="1"/>
    </w:lvl>
    <w:lvl w:ilvl="1">
      <w:lvlJc w:val="left"/>
      <w:lvlText w:val="(%2)"/>
      <w:numFmt w:val="lowerLetter"/>
      <w:start w:val="3"/>
    </w:lvl>
  </w:abstractNum>
  <w:abstractNum w:abstractNumId="6">
    <w:nsid w:val="7FDCC233"/>
    <w:multiLevelType w:val="hybridMultilevel"/>
    <w:lvl w:ilvl="0">
      <w:lvlJc w:val="left"/>
      <w:lvlText w:val="%1."/>
      <w:numFmt w:val="decimal"/>
      <w:start w:val="5"/>
    </w:lvl>
    <w:lvl w:ilvl="1">
      <w:lvlJc w:val="left"/>
      <w:lvlText w:val="(%2)"/>
      <w:numFmt w:val="lowerLetter"/>
      <w:start w:val="1"/>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3"/>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1"/>
    </w:lvl>
    <w:lvl w:ilvl="1">
      <w:lvlJc w:val="left"/>
      <w:lvlText w:val="(%2)"/>
      <w:numFmt w:val="lowerLetter"/>
      <w:start w:val="3"/>
    </w:lvl>
  </w:abstractNum>
  <w:abstractNum w:abstractNumId="12">
    <w:nsid w:val="519B500D"/>
    <w:multiLevelType w:val="hybridMultilevel"/>
    <w:lvl w:ilvl="0">
      <w:lvlJc w:val="left"/>
      <w:lvlText w:val="%1."/>
      <w:numFmt w:val="decimal"/>
      <w:start w:val="5"/>
    </w:lvl>
    <w:lvl w:ilvl="1">
      <w:lvlJc w:val="left"/>
      <w:lvlText w:val="(%2)"/>
      <w:numFmt w:val="lowerLetter"/>
      <w:start w:val="1"/>
    </w:lvl>
  </w:abstractNum>
  <w:abstractNum w:abstractNumId="13">
    <w:nsid w:val="431BD7B7"/>
    <w:multiLevelType w:val="hybridMultilevel"/>
    <w:lvl w:ilvl="0">
      <w:lvlJc w:val="left"/>
      <w:lvlText w:val="%1."/>
      <w:numFmt w:val="decimal"/>
      <w:start w:val="8"/>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3"/>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3"/>
    </w:lvl>
  </w:abstractNum>
  <w:abstractNum w:abstractNumId="18">
    <w:nsid w:val="436C6125"/>
    <w:multiLevelType w:val="hybridMultilevel"/>
    <w:lvl w:ilvl="0">
      <w:lvlJc w:val="left"/>
      <w:lvlText w:val="%1."/>
      <w:numFmt w:val="decimal"/>
      <w:start w:val="5"/>
    </w:lvl>
    <w:lvl w:ilvl="1">
      <w:lvlJc w:val="left"/>
      <w:lvlText w:val="(%2)"/>
      <w:numFmt w:val="lowerLetter"/>
      <w:start w:val="1"/>
    </w:lvl>
  </w:abstractNum>
  <w:abstractNum w:abstractNumId="19">
    <w:nsid w:val="628C895D"/>
    <w:multiLevelType w:val="hybridMultilevel"/>
    <w:lvl w:ilvl="0">
      <w:lvlJc w:val="left"/>
      <w:lvlText w:val="%1."/>
      <w:numFmt w:val="decimal"/>
      <w:start w:val="8"/>
    </w:lvl>
  </w:abstractNum>
  <w:abstractNum w:abstractNumId="20">
    <w:nsid w:val="333AB105"/>
    <w:multiLevelType w:val="hybridMultilevel"/>
    <w:lvl w:ilvl="0">
      <w:lvlJc w:val="left"/>
      <w:lvlText w:val="%1."/>
      <w:numFmt w:val="decimal"/>
      <w:start w:val="9"/>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2020-01-14T17:34:28Z</dcterms:created>
  <dcterms:modified xsi:type="dcterms:W3CDTF">2020-01-14T17:34:28Z</dcterms:modified>
</cp:coreProperties>
</file>