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8,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160020</wp:posOffset>
            </wp:positionV>
            <wp:extent cx="254571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571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47-4257046</w:t>
            </w:r>
          </w:p>
        </w:tc>
        <w:tc>
          <w:tcPr>
            <w:tcW w:w="20" w:type="dxa"/>
            <w:vAlign w:val="bottom"/>
          </w:tcPr>
          <w:p>
            <w:pPr>
              <w:spacing w:after="0"/>
              <w:rPr>
                <w:sz w:val="20"/>
                <w:szCs w:val="20"/>
                <w:color w:val="auto"/>
              </w:rPr>
            </w:pP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648"/>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40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Alpharetta,</w:t>
            </w:r>
          </w:p>
        </w:tc>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56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30004</w:t>
            </w:r>
          </w:p>
        </w:tc>
        <w:tc>
          <w:tcPr>
            <w:tcW w:w="20" w:type="dxa"/>
            <w:vAlign w:val="bottom"/>
          </w:tcPr>
          <w:p>
            <w:pPr>
              <w:spacing w:after="0"/>
              <w:rPr>
                <w:sz w:val="20"/>
                <w:szCs w:val="20"/>
                <w:color w:val="auto"/>
              </w:rPr>
            </w:pPr>
          </w:p>
        </w:tc>
      </w:tr>
      <w:tr>
        <w:trPr>
          <w:trHeight w:val="228"/>
        </w:trPr>
        <w:tc>
          <w:tcPr>
            <w:tcW w:w="57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Borders>
              <w:top w:val="single" w:sz="8" w:color="auto"/>
            </w:tcBorders>
          </w:tcPr>
          <w:p>
            <w:pPr>
              <w:spacing w:after="0"/>
              <w:rPr>
                <w:sz w:val="19"/>
                <w:szCs w:val="19"/>
                <w:color w:val="auto"/>
              </w:rPr>
            </w:pPr>
          </w:p>
        </w:tc>
      </w:tr>
    </w:tbl>
    <w:p>
      <w:pPr>
        <w:spacing w:after="0" w:line="2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5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560" w:type="dxa"/>
            <w:vAlign w:val="bottom"/>
          </w:tcPr>
          <w:p>
            <w:pPr>
              <w:spacing w:after="0"/>
              <w:rPr>
                <w:sz w:val="19"/>
                <w:szCs w:val="19"/>
                <w:color w:val="auto"/>
              </w:rPr>
            </w:pPr>
          </w:p>
        </w:tc>
      </w:tr>
      <w:tr>
        <w:trPr>
          <w:trHeight w:val="1217"/>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0"/>
          <w:szCs w:val="20"/>
          <w:color w:val="auto"/>
        </w:rPr>
      </w:pPr>
    </w:p>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On July 8, 2025, the Company issued a press release attached hereto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The information set forth therein is incorporated herein by reference and constitutes a part of this report.</w:t>
      </w:r>
    </w:p>
    <w:p>
      <w:pPr>
        <w:spacing w:after="0" w:line="19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 The following exhibit is furnished as part of this Current Report on Form 8-K.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99.1</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Press Release dated July 8, 2025</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8, 2025</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By: /s/ Timothy O'Leary</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Timothy O'Leary</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914" w:right="339" w:bottom="1440" w:gutter="0" w:footer="0" w:header="0"/>
        </w:sectPr>
      </w:pPr>
    </w:p>
    <w:bookmarkStart w:id="3" w:name="page4"/>
    <w:bookmarkEnd w:id="3"/>
    <w:p>
      <w:pPr>
        <w:ind w:left="7140"/>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776605</wp:posOffset>
            </wp:positionV>
            <wp:extent cx="2545715" cy="80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4571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Priority Technology Holdings, Inc. Announces Launch of New Senior Credit Facilities</w:t>
      </w:r>
    </w:p>
    <w:p>
      <w:pPr>
        <w:spacing w:after="0" w:line="24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ALPHARETTA, GA – July 8, 2025 -- Priority Technology Holdings, Inc. (NASDAQ: PRTH) ("Priority" or the "Company"), the payments and banking solution that streamlines collecting, storing, lending and sending money to unlock revenue opportunities, today announced that it has launched an effort to issue new senior credit facilities, including $70 million in a revolving credit facility and $1.0 billion in a term loan. The new senior credit facilities will extend the maturity to a new 5 year term on the revolving credit facility and a new 7 year maturity on the term loan. The proceeds from the new senior credit facilities will be used to refinance existing debt of $935.5 million, partially finance a prospective tuck-in acquisition, in addition to settling certain contingent consideration related to the Company’s prior acquisition of Plastiq and pay transaction fees and expenses. The new senior credit facilities and related transactions are expected to close in the third quarter of 2025 with more details to be provided at that time based on final terms.</w:t>
      </w:r>
    </w:p>
    <w:p>
      <w:pPr>
        <w:spacing w:after="0" w:line="345"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151F37"/>
        </w:rPr>
        <w:t>Tim O’Leary, Chief Financial Officer, commented, “This refinancing initiative aligns with our ongoing strategy to optimize our capital structure and is supported by the current favorable debt market conditions. With Moody's recent upgrade of Priority's debt rating to 'B1' and S&amp;P's positive outlook on Priority’s B rating combined with our strong financial performance, we feel that the timing is appropriate to launch an effort for a new term loan financing.”</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081F2D"/>
        </w:rPr>
        <w:t>About Priority</w:t>
      </w:r>
    </w:p>
    <w:p>
      <w:pPr>
        <w:spacing w:after="0" w:line="262" w:lineRule="exact"/>
        <w:rPr>
          <w:sz w:val="20"/>
          <w:szCs w:val="20"/>
          <w:color w:val="auto"/>
        </w:rPr>
      </w:pPr>
    </w:p>
    <w:p>
      <w:pPr>
        <w:ind w:right="2920"/>
        <w:spacing w:after="0" w:line="259" w:lineRule="auto"/>
        <w:rPr>
          <w:sz w:val="20"/>
          <w:szCs w:val="20"/>
          <w:color w:val="auto"/>
        </w:rPr>
      </w:pPr>
      <w:r>
        <w:rPr>
          <w:rFonts w:ascii="Arial" w:cs="Arial" w:eastAsia="Arial" w:hAnsi="Arial"/>
          <w:sz w:val="21"/>
          <w:szCs w:val="21"/>
          <w:color w:val="081F2D"/>
        </w:rPr>
        <w:t>Priority is the payments and banking solution that enables businesses to collect, store, lend and send funds through a unified commerce engine. Our platform combines payables, merchant services, and banking and treasury solutions so leaders can streamline financial operations efficiently — and our innovative industry experts help businesses navigate and build momentum on the path to growth. With the Priority Commerce Engine, leaders can accelerate cash flow, optimize working capital, reduce unnecessary costs, and unlock new revenue opportunities. To learn more about Priority</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081F2D"/>
        </w:rPr>
        <w:t>and its publicly traded parent, Priority Technology Holdings, Inc. (NASDAQ: PRTH), visit prioritycommerce.com.</w:t>
      </w:r>
    </w:p>
    <w:p>
      <w:pPr>
        <w:sectPr>
          <w:pgSz w:w="11900" w:h="16838" w:orient="portrait"/>
          <w:cols w:equalWidth="0" w:num="1">
            <w:col w:w="11240"/>
          </w:cols>
          <w:pgMar w:left="320" w:top="131" w:right="339" w:bottom="1440" w:gutter="0" w:footer="0" w:header="0"/>
        </w:sectPr>
      </w:pPr>
    </w:p>
    <w:bookmarkStart w:id="4" w:name="page5"/>
    <w:bookmarkEnd w:id="4"/>
    <w:p>
      <w:pPr>
        <w:ind w:left="7140"/>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081F2D"/>
        </w:rPr>
        <w:t>Forward Looking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the Purchase Agreement and our ability to close on the Purchase Agreement.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6, 2025. These filings are available online at www.sec.gov or www.prioritycommerce.com.</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2025-07-08T15:15:29Z</dcterms:created>
  <dcterms:modified xsi:type="dcterms:W3CDTF">2025-07-08T15:15:29Z</dcterms:modified>
</cp:coreProperties>
</file>