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9,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42"/>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9, 2021, Priority Technology Holdings, Inc. (the “Company”) held its 2021 annual meeting of stockholders (the “Annual Meeting”). A total of 63,136,738 shares, or 93.32% of the Company’s outstanding shares of common stock as of the record date for the Annual Meeting, were represented in person through virtual attendance or by proxy at the Annual meeting constituting a quorum.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5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Company’s stockholders elected each of the persons listed below to served as director until the next annual meeting in 2022 or until his earlier resignation, death, or removal. The votes were cast as follows: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of Nominee</w:t>
            </w:r>
          </w:p>
        </w:tc>
        <w:tc>
          <w:tcPr>
            <w:tcW w:w="2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For</w:t>
            </w:r>
          </w:p>
        </w:tc>
        <w:tc>
          <w:tcPr>
            <w:tcW w:w="2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Against</w:t>
            </w:r>
          </w:p>
        </w:tc>
        <w:tc>
          <w:tcPr>
            <w:tcW w:w="22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Abstain</w:t>
            </w:r>
          </w:p>
        </w:tc>
        <w:tc>
          <w:tcPr>
            <w:tcW w:w="22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Thomas Priore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60,496,456</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1,249,091</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1,391,091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Priore</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61,630,337</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115,210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1,391,091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Marietta Davis</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61,720,027</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115,210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7,110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1,391,091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Christina Favilla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60,718,484</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1,020,053</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7,110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1,391,091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Stephen Hipp</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61,720,125</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18,412</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7,110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1,391,091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6"/>
        </w:trPr>
        <w:tc>
          <w:tcPr>
            <w:tcW w:w="2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Passilla</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60,649,705</w:t>
            </w:r>
          </w:p>
        </w:tc>
        <w:tc>
          <w:tcPr>
            <w:tcW w:w="2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1,088,832</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7,110</w:t>
            </w:r>
          </w:p>
        </w:tc>
        <w:tc>
          <w:tcPr>
            <w:tcW w:w="22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1,391,091</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Approval of the Priority Technology Holdings, Inc. 2021 Employee Stock Purchase Plan</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stockholders approved the Priority Technology Holdings, Inc. 2021 Employee Stock Purchase Plan. The votes were cast as follows: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60,590,758</w:t>
            </w:r>
          </w:p>
        </w:tc>
        <w:tc>
          <w:tcPr>
            <w:tcW w:w="2800" w:type="dxa"/>
            <w:vAlign w:val="bottom"/>
            <w:tcBorders>
              <w:right w:val="single" w:sz="8" w:color="auto"/>
            </w:tcBorders>
          </w:tcPr>
          <w:p>
            <w:pPr>
              <w:jc w:val="right"/>
              <w:ind w:right="950"/>
              <w:spacing w:after="0"/>
              <w:rPr>
                <w:sz w:val="20"/>
                <w:szCs w:val="20"/>
                <w:color w:val="auto"/>
              </w:rPr>
            </w:pPr>
            <w:r>
              <w:rPr>
                <w:rFonts w:ascii="Arial" w:cs="Arial" w:eastAsia="Arial" w:hAnsi="Arial"/>
                <w:sz w:val="18"/>
                <w:szCs w:val="18"/>
                <w:color w:val="auto"/>
              </w:rPr>
              <w:t>1,154,864</w:t>
            </w:r>
          </w:p>
        </w:tc>
        <w:tc>
          <w:tcPr>
            <w:tcW w:w="2800" w:type="dxa"/>
            <w:vAlign w:val="bottom"/>
            <w:tcBorders>
              <w:right w:val="single" w:sz="8" w:color="auto"/>
            </w:tcBorders>
          </w:tcPr>
          <w:p>
            <w:pPr>
              <w:jc w:val="right"/>
              <w:ind w:right="1230"/>
              <w:spacing w:after="0"/>
              <w:rPr>
                <w:sz w:val="20"/>
                <w:szCs w:val="20"/>
                <w:color w:val="auto"/>
              </w:rPr>
            </w:pPr>
            <w:r>
              <w:rPr>
                <w:rFonts w:ascii="Arial" w:cs="Arial" w:eastAsia="Arial" w:hAnsi="Arial"/>
                <w:sz w:val="18"/>
                <w:szCs w:val="18"/>
                <w:color w:val="auto"/>
              </w:rPr>
              <w:t>25</w:t>
            </w:r>
          </w:p>
        </w:tc>
        <w:tc>
          <w:tcPr>
            <w:tcW w:w="280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color w:val="auto"/>
              </w:rPr>
              <w:t>1,391,091</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Proposal 3 – Approval of an amendment to our Second Amended and Restated Certificate of Incorporation to eliminate supermajority voting requirements</w:t>
      </w:r>
    </w:p>
    <w:p>
      <w:pPr>
        <w:spacing w:after="0" w:line="193"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The Company’s stockholders approved the amendment to the Second Amended and Restated Certificate of Incorporation to eliminate supermajority voting requirements. The votes were cast as follows: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61,629,596</w:t>
            </w:r>
          </w:p>
        </w:tc>
        <w:tc>
          <w:tcPr>
            <w:tcW w:w="280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100,484</w:t>
            </w:r>
          </w:p>
        </w:tc>
        <w:tc>
          <w:tcPr>
            <w:tcW w:w="2800" w:type="dxa"/>
            <w:vAlign w:val="bottom"/>
            <w:tcBorders>
              <w:right w:val="single" w:sz="8" w:color="auto"/>
            </w:tcBorders>
          </w:tcPr>
          <w:p>
            <w:pPr>
              <w:jc w:val="right"/>
              <w:ind w:right="1070"/>
              <w:spacing w:after="0"/>
              <w:rPr>
                <w:sz w:val="20"/>
                <w:szCs w:val="20"/>
                <w:color w:val="auto"/>
              </w:rPr>
            </w:pPr>
            <w:r>
              <w:rPr>
                <w:rFonts w:ascii="Arial" w:cs="Arial" w:eastAsia="Arial" w:hAnsi="Arial"/>
                <w:sz w:val="18"/>
                <w:szCs w:val="18"/>
                <w:color w:val="auto"/>
              </w:rPr>
              <w:t>15,567</w:t>
            </w:r>
          </w:p>
        </w:tc>
        <w:tc>
          <w:tcPr>
            <w:tcW w:w="280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color w:val="auto"/>
              </w:rPr>
              <w:t>1,391,091</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ectPr>
          <w:pgSz w:w="11900" w:h="16838" w:orient="portrait"/>
          <w:cols w:equalWidth="0" w:num="1">
            <w:col w:w="11240"/>
          </w:cols>
          <w:pgMar w:left="320" w:top="931" w:right="339" w:bottom="1440" w:gutter="0" w:footer="0" w:header="0"/>
        </w:sectPr>
      </w:pPr>
    </w:p>
    <w:p>
      <w:pPr>
        <w:spacing w:after="0" w:line="289" w:lineRule="exact"/>
        <w:rPr>
          <w:sz w:val="20"/>
          <w:szCs w:val="20"/>
          <w:color w:val="auto"/>
        </w:rPr>
      </w:pPr>
    </w:p>
    <w:p>
      <w:pPr>
        <w:ind w:left="20"/>
        <w:spacing w:after="0" w:line="297" w:lineRule="auto"/>
        <w:rPr>
          <w:sz w:val="20"/>
          <w:szCs w:val="20"/>
          <w:color w:val="auto"/>
        </w:rPr>
      </w:pPr>
      <w:r>
        <w:rPr>
          <w:rFonts w:ascii="Arial" w:cs="Arial" w:eastAsia="Arial" w:hAnsi="Arial"/>
          <w:sz w:val="18"/>
          <w:szCs w:val="18"/>
          <w:b w:val="1"/>
          <w:bCs w:val="1"/>
          <w:color w:val="auto"/>
        </w:rPr>
        <w:t xml:space="preserve">Exhibit No. </w:t>
      </w: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cover page from this Current Report on Form 8-K, formatted in Inline XBRL.</w:t>
      </w:r>
    </w:p>
    <w:p>
      <w:pPr>
        <w:spacing w:after="0" w:line="293" w:lineRule="exact"/>
        <w:rPr>
          <w:sz w:val="20"/>
          <w:szCs w:val="20"/>
          <w:color w:val="auto"/>
        </w:rPr>
      </w:pPr>
    </w:p>
    <w:p>
      <w:pPr>
        <w:sectPr>
          <w:pgSz w:w="11900" w:h="16838" w:orient="portrait"/>
          <w:cols w:equalWidth="0" w:num="2">
            <w:col w:w="900" w:space="280"/>
            <w:col w:w="10060"/>
          </w:cols>
          <w:pgMar w:left="320" w:top="931" w:right="339" w:bottom="1440" w:gutter="0" w:footer="0" w:header="0"/>
          <w:type w:val="continuous"/>
        </w:sect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Dated: June 11, 2021</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PRIORITY TECHNOLOGY HOLDINGS, INC.</w:t>
      </w:r>
    </w:p>
    <w:p>
      <w:pPr>
        <w:spacing w:after="0" w:line="264"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By: /s/ Michael Vollkommer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Michael Vollkommer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119"/>
      </w:cols>
      <w:pgMar w:left="340" w:top="10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2021-06-11T15:16:39Z</dcterms:created>
  <dcterms:modified xsi:type="dcterms:W3CDTF">2021-06-11T15:16:39Z</dcterms:modified>
</cp:coreProperties>
</file>