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-595630</wp:posOffset>
            </wp:positionV>
            <wp:extent cx="8255" cy="5962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-603885</wp:posOffset>
            </wp:positionV>
            <wp:extent cx="8255" cy="6045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4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-579755</wp:posOffset>
            </wp:positionV>
            <wp:extent cx="1264920" cy="556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55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26035</wp:posOffset>
            </wp:positionV>
            <wp:extent cx="6970395" cy="17164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Passilla Michael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30004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-2436495</wp:posOffset>
            </wp:positionH>
            <wp:positionV relativeFrom="paragraph">
              <wp:posOffset>252095</wp:posOffset>
            </wp:positionV>
            <wp:extent cx="6970395" cy="10718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071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04/01/2020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13,298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13,298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53,192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53,192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53,192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13,298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39,894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-1971040</wp:posOffset>
            </wp:positionV>
            <wp:extent cx="7034530" cy="19824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82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Subject to the Reporting Person's continued service as a director of the Issuer, the restricted stock units vest 25% on April 1, 2020, 25% on July 1, 2020, 25% on October 1, 2020, and 25% on January 1, 2021.</w:t>
      </w:r>
    </w:p>
    <w:p>
      <w:pPr>
        <w:spacing w:after="0" w:line="63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460"/>
        <w:spacing w:after="0" w:line="242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Michael Passilla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04/03/2020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58940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2020-04-03T12:46:05Z</dcterms:created>
  <dcterms:modified xsi:type="dcterms:W3CDTF">2020-04-03T12:46:05Z</dcterms:modified>
</cp:coreProperties>
</file>