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Priority Technology Holdings, Inc.</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-130810</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 par value $0.001 per share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-130810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74275G 107</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-130810</wp:posOffset>
            </wp:positionV>
            <wp:extent cx="6877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John V. Priore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 Priority Technology Holdings, Inc.</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2001 Westside Parkway, Suite 155</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Alpharetta, GA 30004</w:t>
      </w:r>
    </w:p>
    <w:p>
      <w:pPr>
        <w:spacing w:after="0" w:line="9" w:lineRule="exact"/>
        <w:rPr>
          <w:sz w:val="24"/>
          <w:szCs w:val="24"/>
          <w:color w:val="auto"/>
        </w:rPr>
      </w:pPr>
    </w:p>
    <w:p>
      <w:pPr>
        <w:jc w:val="both"/>
        <w:ind w:left="5160" w:right="5040" w:hanging="8"/>
        <w:spacing w:after="0" w:line="554" w:lineRule="auto"/>
        <w:tabs>
          <w:tab w:leader="none" w:pos="5586" w:val="left"/>
        </w:tabs>
        <w:numPr>
          <w:ilvl w:val="0"/>
          <w:numId w:val="1"/>
        </w:numPr>
        <w:rPr>
          <w:rFonts w:ascii="Arial" w:cs="Arial" w:eastAsia="Arial" w:hAnsi="Arial"/>
          <w:sz w:val="16"/>
          <w:szCs w:val="16"/>
          <w:color w:val="auto"/>
        </w:rPr>
      </w:pPr>
      <w:r>
        <w:rPr>
          <w:rFonts w:ascii="Arial" w:cs="Arial" w:eastAsia="Arial" w:hAnsi="Arial"/>
          <w:sz w:val="16"/>
          <w:szCs w:val="16"/>
          <w:color w:val="auto"/>
        </w:rPr>
        <w:t>935-5961 With a copy to:</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John Mahon, Esq.</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 Xavier Kowalski, Esq.</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Schulte Roth &amp; Zabel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919 Third Avenue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(212) 756-2000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-130810</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July 25, 2018</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-130810</wp:posOffset>
            </wp:positionV>
            <wp:extent cx="6877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4"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8 Pages)</w:t>
      </w:r>
    </w:p>
    <w:p>
      <w:pPr>
        <w:spacing w:after="0" w:line="225" w:lineRule="exact"/>
        <w:rPr>
          <w:sz w:val="24"/>
          <w:szCs w:val="24"/>
          <w:color w:val="auto"/>
        </w:rPr>
      </w:pPr>
    </w:p>
    <w:p>
      <w:pPr>
        <w:ind w:right="10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47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24"/>
        </w:trPr>
        <w:tc>
          <w:tcPr>
            <w:tcW w:w="2300" w:type="dxa"/>
            <w:vAlign w:val="bottom"/>
            <w:tcBorders>
              <w:top w:val="single" w:sz="8" w:color="auto"/>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G3075P101</w:t>
            </w:r>
          </w:p>
        </w:tc>
        <w:tc>
          <w:tcPr>
            <w:tcW w:w="1600" w:type="dxa"/>
            <w:vAlign w:val="bottom"/>
            <w:tcBorders>
              <w:top w:val="single" w:sz="8" w:color="auto"/>
              <w:right w:val="single" w:sz="8" w:color="auto"/>
            </w:tcBorders>
          </w:tcPr>
          <w:p>
            <w:pPr>
              <w:spacing w:after="0"/>
              <w:rPr>
                <w:sz w:val="24"/>
                <w:szCs w:val="24"/>
                <w:color w:val="auto"/>
              </w:rPr>
            </w:pPr>
          </w:p>
        </w:tc>
        <w:tc>
          <w:tcPr>
            <w:tcW w:w="378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236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Page 2 of 9 Pages</w:t>
            </w:r>
          </w:p>
        </w:tc>
        <w:tc>
          <w:tcPr>
            <w:tcW w:w="1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Borders>
              <w:bottom w:val="single" w:sz="8" w:color="auto"/>
            </w:tcBorders>
          </w:tcPr>
          <w:p>
            <w:pPr>
              <w:spacing w:after="0"/>
              <w:rPr>
                <w:sz w:val="18"/>
                <w:szCs w:val="18"/>
                <w:color w:val="auto"/>
              </w:rPr>
            </w:pPr>
          </w:p>
        </w:tc>
        <w:tc>
          <w:tcPr>
            <w:tcW w:w="6240" w:type="dxa"/>
            <w:vAlign w:val="bottom"/>
            <w:tcBorders>
              <w:bottom w:val="single" w:sz="8" w:color="auto"/>
            </w:tcBorders>
            <w:gridSpan w:val="3"/>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NAME OF REPORTING PERSON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6240" w:type="dxa"/>
            <w:vAlign w:val="bottom"/>
            <w:gridSpan w:val="3"/>
          </w:tcPr>
          <w:p>
            <w:pPr>
              <w:ind w:left="360"/>
              <w:spacing w:after="0"/>
              <w:rPr>
                <w:sz w:val="20"/>
                <w:szCs w:val="20"/>
                <w:color w:val="auto"/>
              </w:rPr>
            </w:pPr>
            <w:r>
              <w:rPr>
                <w:rFonts w:ascii="Arial" w:cs="Arial" w:eastAsia="Arial" w:hAnsi="Arial"/>
                <w:sz w:val="18"/>
                <w:szCs w:val="18"/>
                <w:color w:val="auto"/>
              </w:rPr>
              <w:t>John V. Priore</w:t>
            </w: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gridSpan w:val="3"/>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360" w:type="dxa"/>
            <w:vAlign w:val="bottom"/>
          </w:tcPr>
          <w:p>
            <w:pPr>
              <w:spacing w:after="0"/>
              <w:rPr>
                <w:sz w:val="18"/>
                <w:szCs w:val="18"/>
                <w:color w:val="auto"/>
              </w:rPr>
            </w:pPr>
          </w:p>
        </w:tc>
        <w:tc>
          <w:tcPr>
            <w:tcW w:w="1380" w:type="dxa"/>
            <w:vAlign w:val="bottom"/>
            <w:tcBorders>
              <w:right w:val="single" w:sz="8" w:color="auto"/>
            </w:tcBorders>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440" w:type="dxa"/>
            <w:vAlign w:val="bottom"/>
            <w:tcBorders>
              <w:left w:val="single" w:sz="8" w:color="auto"/>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80" w:type="dxa"/>
            <w:vAlign w:val="bottom"/>
            <w:tcBorders>
              <w:right w:val="single" w:sz="8" w:color="auto"/>
            </w:tcBorders>
          </w:tcPr>
          <w:p>
            <w:pPr>
              <w:ind w:left="2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24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236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gridSpan w:val="3"/>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SOURCE OF FUNDS</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6240" w:type="dxa"/>
            <w:vAlign w:val="bottom"/>
            <w:gridSpan w:val="3"/>
          </w:tcPr>
          <w:p>
            <w:pPr>
              <w:ind w:left="360"/>
              <w:spacing w:after="0"/>
              <w:rPr>
                <w:sz w:val="20"/>
                <w:szCs w:val="20"/>
                <w:color w:val="auto"/>
              </w:rPr>
            </w:pPr>
            <w:r>
              <w:rPr>
                <w:rFonts w:ascii="Arial" w:cs="Arial" w:eastAsia="Arial" w:hAnsi="Arial"/>
                <w:sz w:val="18"/>
                <w:szCs w:val="18"/>
                <w:color w:val="auto"/>
              </w:rPr>
              <w:t>OO (See Item 3)</w:t>
            </w: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0" w:type="dxa"/>
            <w:vAlign w:val="bottom"/>
            <w:tcBorders>
              <w:bottom w:val="single" w:sz="8" w:color="auto"/>
            </w:tcBorders>
            <w:gridSpan w:val="4"/>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600" w:type="dxa"/>
            <w:vAlign w:val="bottom"/>
            <w:gridSpan w:val="4"/>
          </w:tcPr>
          <w:p>
            <w:pPr>
              <w:ind w:left="40"/>
              <w:spacing w:after="0"/>
              <w:rPr>
                <w:sz w:val="20"/>
                <w:szCs w:val="20"/>
                <w:color w:val="auto"/>
              </w:rPr>
            </w:pPr>
            <w:r>
              <w:rPr>
                <w:rFonts w:ascii="Arial" w:cs="Arial" w:eastAsia="Arial" w:hAnsi="Arial"/>
                <w:sz w:val="18"/>
                <w:szCs w:val="18"/>
                <w:color w:val="auto"/>
                <w:w w:val="97"/>
              </w:rPr>
              <w:t>CHECK BOX IF DISCLOSURE OF LEGAL PROCEEDING IS REQUIRED PURSUANT TO ITEMS 2(d) or 2(e)</w:t>
            </w:r>
          </w:p>
        </w:tc>
        <w:tc>
          <w:tcPr>
            <w:tcW w:w="138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24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6240" w:type="dxa"/>
            <w:vAlign w:val="bottom"/>
            <w:gridSpan w:val="3"/>
          </w:tcPr>
          <w:p>
            <w:pPr>
              <w:ind w:left="360"/>
              <w:spacing w:after="0"/>
              <w:rPr>
                <w:sz w:val="20"/>
                <w:szCs w:val="20"/>
                <w:color w:val="auto"/>
              </w:rPr>
            </w:pPr>
            <w:r>
              <w:rPr>
                <w:rFonts w:ascii="Arial" w:cs="Arial" w:eastAsia="Arial" w:hAnsi="Arial"/>
                <w:sz w:val="18"/>
                <w:szCs w:val="18"/>
                <w:color w:val="auto"/>
              </w:rPr>
              <w:t>United States</w:t>
            </w: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gridSpan w:val="2"/>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spacing w:after="0"/>
              <w:rPr>
                <w:sz w:val="21"/>
                <w:szCs w:val="21"/>
                <w:color w:val="auto"/>
              </w:rPr>
            </w:pPr>
          </w:p>
        </w:tc>
        <w:tc>
          <w:tcPr>
            <w:tcW w:w="86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7</w:t>
            </w:r>
          </w:p>
        </w:tc>
        <w:tc>
          <w:tcPr>
            <w:tcW w:w="538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60" w:type="dxa"/>
            <w:vAlign w:val="bottom"/>
            <w:tcBorders>
              <w:right w:val="single" w:sz="8" w:color="auto"/>
            </w:tcBorders>
          </w:tcPr>
          <w:p>
            <w:pPr>
              <w:spacing w:after="0"/>
              <w:rPr>
                <w:sz w:val="20"/>
                <w:szCs w:val="20"/>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rPr>
              <w:t>0</w:t>
            </w:r>
          </w:p>
        </w:tc>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right w:val="single" w:sz="8" w:color="auto"/>
            </w:tcBorders>
            <w:vMerge w:val="continue"/>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86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8</w:t>
            </w:r>
          </w:p>
        </w:tc>
        <w:tc>
          <w:tcPr>
            <w:tcW w:w="5380" w:type="dxa"/>
            <w:vAlign w:val="bottom"/>
            <w:gridSpan w:val="2"/>
          </w:tcPr>
          <w:p>
            <w:pPr>
              <w:ind w:left="40"/>
              <w:spacing w:after="0"/>
              <w:rPr>
                <w:sz w:val="20"/>
                <w:szCs w:val="20"/>
                <w:color w:val="auto"/>
              </w:rPr>
            </w:pPr>
            <w:r>
              <w:rPr>
                <w:rFonts w:ascii="Arial" w:cs="Arial" w:eastAsia="Arial" w:hAnsi="Arial"/>
                <w:sz w:val="18"/>
                <w:szCs w:val="18"/>
                <w:color w:val="auto"/>
              </w:rPr>
              <w:t>SHARED VOTING POWER</w:t>
            </w:r>
          </w:p>
        </w:tc>
        <w:tc>
          <w:tcPr>
            <w:tcW w:w="23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860" w:type="dxa"/>
            <w:vAlign w:val="bottom"/>
            <w:tcBorders>
              <w:right w:val="single" w:sz="8" w:color="auto"/>
            </w:tcBorders>
          </w:tcPr>
          <w:p>
            <w:pPr>
              <w:spacing w:after="0"/>
              <w:rPr>
                <w:sz w:val="18"/>
                <w:szCs w:val="18"/>
                <w:color w:val="auto"/>
              </w:rPr>
            </w:pPr>
          </w:p>
        </w:tc>
        <w:tc>
          <w:tcPr>
            <w:tcW w:w="7740" w:type="dxa"/>
            <w:vAlign w:val="bottom"/>
            <w:gridSpan w:val="3"/>
          </w:tcPr>
          <w:p>
            <w:pPr>
              <w:ind w:left="360"/>
              <w:spacing w:after="0"/>
              <w:rPr>
                <w:sz w:val="20"/>
                <w:szCs w:val="20"/>
                <w:color w:val="auto"/>
              </w:rPr>
            </w:pPr>
            <w:r>
              <w:rPr>
                <w:rFonts w:ascii="Arial" w:cs="Arial" w:eastAsia="Arial" w:hAnsi="Arial"/>
                <w:sz w:val="18"/>
                <w:szCs w:val="18"/>
                <w:color w:val="auto"/>
              </w:rPr>
              <w:t>9,347,591 (including 64,322 shares of Common Stock issuable upon exercise of warrants)</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8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440" w:type="dxa"/>
            <w:vAlign w:val="bottom"/>
            <w:tcBorders>
              <w:left w:val="single" w:sz="8" w:color="auto"/>
              <w:right w:val="single" w:sz="8" w:color="auto"/>
            </w:tcBorders>
            <w:vMerge w:val="continue"/>
          </w:tcPr>
          <w:p>
            <w:pPr>
              <w:spacing w:after="0"/>
              <w:rPr>
                <w:sz w:val="6"/>
                <w:szCs w:val="6"/>
                <w:color w:val="auto"/>
              </w:rPr>
            </w:pPr>
          </w:p>
        </w:tc>
        <w:tc>
          <w:tcPr>
            <w:tcW w:w="86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b w:val="1"/>
                <w:bCs w:val="1"/>
                <w:color w:val="auto"/>
              </w:rPr>
              <w:t>9</w:t>
            </w:r>
          </w:p>
        </w:tc>
        <w:tc>
          <w:tcPr>
            <w:tcW w:w="538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360" w:type="dxa"/>
            <w:vAlign w:val="bottom"/>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4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EACH</w:t>
            </w:r>
          </w:p>
        </w:tc>
        <w:tc>
          <w:tcPr>
            <w:tcW w:w="860" w:type="dxa"/>
            <w:vAlign w:val="bottom"/>
            <w:tcBorders>
              <w:right w:val="single" w:sz="8" w:color="auto"/>
            </w:tcBorders>
            <w:vMerge w:val="continue"/>
          </w:tcPr>
          <w:p>
            <w:pPr>
              <w:spacing w:after="0"/>
              <w:rPr>
                <w:sz w:val="15"/>
                <w:szCs w:val="15"/>
                <w:color w:val="auto"/>
              </w:rPr>
            </w:pPr>
          </w:p>
        </w:tc>
        <w:tc>
          <w:tcPr>
            <w:tcW w:w="5380" w:type="dxa"/>
            <w:vAlign w:val="bottom"/>
            <w:gridSpan w:val="2"/>
            <w:vMerge w:val="continue"/>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60" w:type="dxa"/>
            <w:vAlign w:val="bottom"/>
            <w:tcBorders>
              <w:right w:val="single" w:sz="8" w:color="auto"/>
            </w:tcBorders>
          </w:tcPr>
          <w:p>
            <w:pPr>
              <w:spacing w:after="0"/>
              <w:rPr>
                <w:sz w:val="22"/>
                <w:szCs w:val="22"/>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rPr>
              <w:t>0</w:t>
            </w:r>
          </w:p>
        </w:tc>
        <w:tc>
          <w:tcPr>
            <w:tcW w:w="37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8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40" w:type="dxa"/>
            <w:vAlign w:val="bottom"/>
            <w:tcBorders>
              <w:left w:val="single" w:sz="8" w:color="auto"/>
              <w:right w:val="single" w:sz="8" w:color="auto"/>
            </w:tcBorders>
            <w:vMerge w:val="continue"/>
          </w:tcPr>
          <w:p>
            <w:pPr>
              <w:spacing w:after="0"/>
              <w:rPr>
                <w:sz w:val="15"/>
                <w:szCs w:val="15"/>
                <w:color w:val="auto"/>
              </w:rPr>
            </w:pPr>
          </w:p>
        </w:tc>
        <w:tc>
          <w:tcPr>
            <w:tcW w:w="8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b w:val="1"/>
                <w:bCs w:val="1"/>
                <w:color w:val="auto"/>
              </w:rPr>
              <w:t>10</w:t>
            </w:r>
          </w:p>
        </w:tc>
        <w:tc>
          <w:tcPr>
            <w:tcW w:w="538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36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1440" w:type="dxa"/>
            <w:vAlign w:val="bottom"/>
            <w:tcBorders>
              <w:left w:val="single" w:sz="8" w:color="auto"/>
              <w:right w:val="single" w:sz="8" w:color="auto"/>
            </w:tcBorders>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5380" w:type="dxa"/>
            <w:vAlign w:val="bottom"/>
            <w:gridSpan w:val="2"/>
            <w:vMerge w:val="continue"/>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740" w:type="dxa"/>
            <w:vAlign w:val="bottom"/>
            <w:gridSpan w:val="3"/>
          </w:tcPr>
          <w:p>
            <w:pPr>
              <w:ind w:left="360"/>
              <w:spacing w:after="0"/>
              <w:rPr>
                <w:sz w:val="20"/>
                <w:szCs w:val="20"/>
                <w:color w:val="auto"/>
              </w:rPr>
            </w:pPr>
            <w:r>
              <w:rPr>
                <w:rFonts w:ascii="Arial" w:cs="Arial" w:eastAsia="Arial" w:hAnsi="Arial"/>
                <w:sz w:val="18"/>
                <w:szCs w:val="18"/>
                <w:color w:val="auto"/>
              </w:rPr>
              <w:t>9,347,591 (including 64,322 shares of Common Stock issuable upon exercise of warrants)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5380" w:type="dxa"/>
            <w:vAlign w:val="bottom"/>
            <w:tcBorders>
              <w:bottom w:val="single" w:sz="8" w:color="auto"/>
            </w:tcBorders>
            <w:gridSpan w:val="2"/>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PERSON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0" w:type="dxa"/>
            <w:vAlign w:val="bottom"/>
            <w:gridSpan w:val="4"/>
          </w:tcPr>
          <w:p>
            <w:pPr>
              <w:ind w:left="360"/>
              <w:spacing w:after="0"/>
              <w:rPr>
                <w:sz w:val="20"/>
                <w:szCs w:val="20"/>
                <w:color w:val="auto"/>
              </w:rPr>
            </w:pPr>
            <w:r>
              <w:rPr>
                <w:rFonts w:ascii="Arial" w:cs="Arial" w:eastAsia="Arial" w:hAnsi="Arial"/>
                <w:sz w:val="18"/>
                <w:szCs w:val="18"/>
                <w:color w:val="auto"/>
              </w:rPr>
              <w:t>9,347,591 (including 64,322 shares of Common Stock issuable upon exercise of warrants)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gridSpan w:val="3"/>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(11) EXCLUDES CERTAIN SHARES</w:t>
            </w:r>
          </w:p>
        </w:tc>
        <w:tc>
          <w:tcPr>
            <w:tcW w:w="1380" w:type="dxa"/>
            <w:vAlign w:val="bottom"/>
            <w:tcBorders>
              <w:right w:val="single" w:sz="8" w:color="auto"/>
            </w:tcBorders>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gridSpan w:val="2"/>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w w:val="90"/>
              </w:rPr>
              <w:t>14.0%</w:t>
            </w:r>
          </w:p>
        </w:tc>
        <w:tc>
          <w:tcPr>
            <w:tcW w:w="16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gridSpan w:val="2"/>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rPr>
              <w:t>IN</w:t>
            </w:r>
          </w:p>
        </w:tc>
        <w:tc>
          <w:tcPr>
            <w:tcW w:w="16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30"/>
        </w:trPr>
        <w:tc>
          <w:tcPr>
            <w:tcW w:w="1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7"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2300" w:type="dxa"/>
            <w:vAlign w:val="bottom"/>
            <w:tcBorders>
              <w:top w:val="single" w:sz="8" w:color="auto"/>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G3075P101</w:t>
            </w:r>
          </w:p>
        </w:tc>
        <w:tc>
          <w:tcPr>
            <w:tcW w:w="1600" w:type="dxa"/>
            <w:vAlign w:val="bottom"/>
            <w:tcBorders>
              <w:top w:val="single" w:sz="8" w:color="auto"/>
              <w:right w:val="single" w:sz="8" w:color="auto"/>
            </w:tcBorders>
          </w:tcPr>
          <w:p>
            <w:pPr>
              <w:spacing w:after="0"/>
              <w:rPr>
                <w:sz w:val="24"/>
                <w:szCs w:val="24"/>
                <w:color w:val="auto"/>
              </w:rPr>
            </w:pPr>
          </w:p>
        </w:tc>
        <w:tc>
          <w:tcPr>
            <w:tcW w:w="378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236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Page 3 of 8 Pages</w:t>
            </w:r>
          </w:p>
        </w:tc>
        <w:tc>
          <w:tcPr>
            <w:tcW w:w="1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Borders>
              <w:bottom w:val="single" w:sz="8" w:color="auto"/>
            </w:tcBorders>
          </w:tcPr>
          <w:p>
            <w:pPr>
              <w:spacing w:after="0"/>
              <w:rPr>
                <w:sz w:val="18"/>
                <w:szCs w:val="18"/>
                <w:color w:val="auto"/>
              </w:rPr>
            </w:pPr>
          </w:p>
        </w:tc>
        <w:tc>
          <w:tcPr>
            <w:tcW w:w="6240" w:type="dxa"/>
            <w:vAlign w:val="bottom"/>
            <w:tcBorders>
              <w:bottom w:val="single" w:sz="8" w:color="auto"/>
            </w:tcBorders>
            <w:gridSpan w:val="3"/>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NAME OF REPORTING PERSON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6240" w:type="dxa"/>
            <w:vAlign w:val="bottom"/>
            <w:gridSpan w:val="3"/>
          </w:tcPr>
          <w:p>
            <w:pPr>
              <w:ind w:left="360"/>
              <w:spacing w:after="0"/>
              <w:rPr>
                <w:sz w:val="20"/>
                <w:szCs w:val="20"/>
                <w:color w:val="auto"/>
              </w:rPr>
            </w:pPr>
            <w:r>
              <w:rPr>
                <w:rFonts w:ascii="Arial" w:cs="Arial" w:eastAsia="Arial" w:hAnsi="Arial"/>
                <w:sz w:val="18"/>
                <w:szCs w:val="18"/>
                <w:color w:val="auto"/>
              </w:rPr>
              <w:t>AESV CreditCard Consulting LLC</w:t>
            </w: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gridSpan w:val="3"/>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360" w:type="dxa"/>
            <w:vAlign w:val="bottom"/>
          </w:tcPr>
          <w:p>
            <w:pPr>
              <w:spacing w:after="0"/>
              <w:rPr>
                <w:sz w:val="18"/>
                <w:szCs w:val="18"/>
                <w:color w:val="auto"/>
              </w:rPr>
            </w:pPr>
          </w:p>
        </w:tc>
        <w:tc>
          <w:tcPr>
            <w:tcW w:w="1380" w:type="dxa"/>
            <w:vAlign w:val="bottom"/>
            <w:tcBorders>
              <w:right w:val="single" w:sz="8" w:color="auto"/>
            </w:tcBorders>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440" w:type="dxa"/>
            <w:vAlign w:val="bottom"/>
            <w:tcBorders>
              <w:left w:val="single" w:sz="8" w:color="auto"/>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80" w:type="dxa"/>
            <w:vAlign w:val="bottom"/>
            <w:tcBorders>
              <w:right w:val="single" w:sz="8" w:color="auto"/>
            </w:tcBorders>
          </w:tcPr>
          <w:p>
            <w:pPr>
              <w:ind w:left="2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24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236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gridSpan w:val="3"/>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SOURCE OF FUNDS</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6240" w:type="dxa"/>
            <w:vAlign w:val="bottom"/>
            <w:gridSpan w:val="3"/>
          </w:tcPr>
          <w:p>
            <w:pPr>
              <w:ind w:left="360"/>
              <w:spacing w:after="0"/>
              <w:rPr>
                <w:sz w:val="20"/>
                <w:szCs w:val="20"/>
                <w:color w:val="auto"/>
              </w:rPr>
            </w:pPr>
            <w:r>
              <w:rPr>
                <w:rFonts w:ascii="Arial" w:cs="Arial" w:eastAsia="Arial" w:hAnsi="Arial"/>
                <w:sz w:val="18"/>
                <w:szCs w:val="18"/>
                <w:color w:val="auto"/>
              </w:rPr>
              <w:t>OO (See Item 3)</w:t>
            </w: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0" w:type="dxa"/>
            <w:vAlign w:val="bottom"/>
            <w:tcBorders>
              <w:bottom w:val="single" w:sz="8" w:color="auto"/>
            </w:tcBorders>
            <w:gridSpan w:val="4"/>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600" w:type="dxa"/>
            <w:vAlign w:val="bottom"/>
            <w:gridSpan w:val="4"/>
          </w:tcPr>
          <w:p>
            <w:pPr>
              <w:ind w:left="40"/>
              <w:spacing w:after="0"/>
              <w:rPr>
                <w:sz w:val="20"/>
                <w:szCs w:val="20"/>
                <w:color w:val="auto"/>
              </w:rPr>
            </w:pPr>
            <w:r>
              <w:rPr>
                <w:rFonts w:ascii="Arial" w:cs="Arial" w:eastAsia="Arial" w:hAnsi="Arial"/>
                <w:sz w:val="18"/>
                <w:szCs w:val="18"/>
                <w:color w:val="auto"/>
                <w:w w:val="97"/>
              </w:rPr>
              <w:t>CHECK BOX IF DISCLOSURE OF LEGAL PROCEEDING IS REQUIRED PURSUANT TO ITEMS 2(d) or 2(e)</w:t>
            </w:r>
          </w:p>
        </w:tc>
        <w:tc>
          <w:tcPr>
            <w:tcW w:w="138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24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6240" w:type="dxa"/>
            <w:vAlign w:val="bottom"/>
            <w:gridSpan w:val="3"/>
          </w:tcPr>
          <w:p>
            <w:pPr>
              <w:ind w:left="360"/>
              <w:spacing w:after="0"/>
              <w:rPr>
                <w:sz w:val="20"/>
                <w:szCs w:val="20"/>
                <w:color w:val="auto"/>
              </w:rPr>
            </w:pPr>
            <w:r>
              <w:rPr>
                <w:rFonts w:ascii="Arial" w:cs="Arial" w:eastAsia="Arial" w:hAnsi="Arial"/>
                <w:sz w:val="18"/>
                <w:szCs w:val="18"/>
                <w:color w:val="auto"/>
              </w:rPr>
              <w:t>Delaware</w:t>
            </w: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gridSpan w:val="2"/>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spacing w:after="0"/>
              <w:rPr>
                <w:sz w:val="21"/>
                <w:szCs w:val="21"/>
                <w:color w:val="auto"/>
              </w:rPr>
            </w:pPr>
          </w:p>
        </w:tc>
        <w:tc>
          <w:tcPr>
            <w:tcW w:w="86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7</w:t>
            </w:r>
          </w:p>
        </w:tc>
        <w:tc>
          <w:tcPr>
            <w:tcW w:w="538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60" w:type="dxa"/>
            <w:vAlign w:val="bottom"/>
            <w:tcBorders>
              <w:right w:val="single" w:sz="8" w:color="auto"/>
            </w:tcBorders>
          </w:tcPr>
          <w:p>
            <w:pPr>
              <w:spacing w:after="0"/>
              <w:rPr>
                <w:sz w:val="20"/>
                <w:szCs w:val="20"/>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rPr>
              <w:t>0</w:t>
            </w:r>
          </w:p>
        </w:tc>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right w:val="single" w:sz="8" w:color="auto"/>
            </w:tcBorders>
            <w:vMerge w:val="continue"/>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86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8</w:t>
            </w:r>
          </w:p>
        </w:tc>
        <w:tc>
          <w:tcPr>
            <w:tcW w:w="5380" w:type="dxa"/>
            <w:vAlign w:val="bottom"/>
            <w:gridSpan w:val="2"/>
          </w:tcPr>
          <w:p>
            <w:pPr>
              <w:ind w:left="40"/>
              <w:spacing w:after="0"/>
              <w:rPr>
                <w:sz w:val="20"/>
                <w:szCs w:val="20"/>
                <w:color w:val="auto"/>
              </w:rPr>
            </w:pPr>
            <w:r>
              <w:rPr>
                <w:rFonts w:ascii="Arial" w:cs="Arial" w:eastAsia="Arial" w:hAnsi="Arial"/>
                <w:sz w:val="18"/>
                <w:szCs w:val="18"/>
                <w:color w:val="auto"/>
              </w:rPr>
              <w:t>SHARED VOTING POWER</w:t>
            </w:r>
          </w:p>
        </w:tc>
        <w:tc>
          <w:tcPr>
            <w:tcW w:w="23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860" w:type="dxa"/>
            <w:vAlign w:val="bottom"/>
            <w:tcBorders>
              <w:right w:val="single" w:sz="8" w:color="auto"/>
            </w:tcBorders>
          </w:tcPr>
          <w:p>
            <w:pPr>
              <w:spacing w:after="0"/>
              <w:rPr>
                <w:sz w:val="18"/>
                <w:szCs w:val="18"/>
                <w:color w:val="auto"/>
              </w:rPr>
            </w:pPr>
          </w:p>
        </w:tc>
        <w:tc>
          <w:tcPr>
            <w:tcW w:w="7740" w:type="dxa"/>
            <w:vAlign w:val="bottom"/>
            <w:gridSpan w:val="3"/>
          </w:tcPr>
          <w:p>
            <w:pPr>
              <w:ind w:left="360"/>
              <w:spacing w:after="0"/>
              <w:rPr>
                <w:sz w:val="20"/>
                <w:szCs w:val="20"/>
                <w:color w:val="auto"/>
              </w:rPr>
            </w:pPr>
            <w:r>
              <w:rPr>
                <w:rFonts w:ascii="Arial" w:cs="Arial" w:eastAsia="Arial" w:hAnsi="Arial"/>
                <w:sz w:val="18"/>
                <w:szCs w:val="18"/>
                <w:color w:val="auto"/>
              </w:rPr>
              <w:t>9,347,591 (including 64,322 shares of Common Stock issuable upon exercise of warrants)</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8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440" w:type="dxa"/>
            <w:vAlign w:val="bottom"/>
            <w:tcBorders>
              <w:left w:val="single" w:sz="8" w:color="auto"/>
              <w:right w:val="single" w:sz="8" w:color="auto"/>
            </w:tcBorders>
            <w:vMerge w:val="continue"/>
          </w:tcPr>
          <w:p>
            <w:pPr>
              <w:spacing w:after="0"/>
              <w:rPr>
                <w:sz w:val="6"/>
                <w:szCs w:val="6"/>
                <w:color w:val="auto"/>
              </w:rPr>
            </w:pPr>
          </w:p>
        </w:tc>
        <w:tc>
          <w:tcPr>
            <w:tcW w:w="86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b w:val="1"/>
                <w:bCs w:val="1"/>
                <w:color w:val="auto"/>
              </w:rPr>
              <w:t>9</w:t>
            </w:r>
          </w:p>
        </w:tc>
        <w:tc>
          <w:tcPr>
            <w:tcW w:w="538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360" w:type="dxa"/>
            <w:vAlign w:val="bottom"/>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4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EACH</w:t>
            </w:r>
          </w:p>
        </w:tc>
        <w:tc>
          <w:tcPr>
            <w:tcW w:w="860" w:type="dxa"/>
            <w:vAlign w:val="bottom"/>
            <w:tcBorders>
              <w:right w:val="single" w:sz="8" w:color="auto"/>
            </w:tcBorders>
            <w:vMerge w:val="continue"/>
          </w:tcPr>
          <w:p>
            <w:pPr>
              <w:spacing w:after="0"/>
              <w:rPr>
                <w:sz w:val="15"/>
                <w:szCs w:val="15"/>
                <w:color w:val="auto"/>
              </w:rPr>
            </w:pPr>
          </w:p>
        </w:tc>
        <w:tc>
          <w:tcPr>
            <w:tcW w:w="5380" w:type="dxa"/>
            <w:vAlign w:val="bottom"/>
            <w:gridSpan w:val="2"/>
            <w:vMerge w:val="continue"/>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60" w:type="dxa"/>
            <w:vAlign w:val="bottom"/>
            <w:tcBorders>
              <w:right w:val="single" w:sz="8" w:color="auto"/>
            </w:tcBorders>
          </w:tcPr>
          <w:p>
            <w:pPr>
              <w:spacing w:after="0"/>
              <w:rPr>
                <w:sz w:val="22"/>
                <w:szCs w:val="22"/>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rPr>
              <w:t>0</w:t>
            </w:r>
          </w:p>
        </w:tc>
        <w:tc>
          <w:tcPr>
            <w:tcW w:w="37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8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40" w:type="dxa"/>
            <w:vAlign w:val="bottom"/>
            <w:tcBorders>
              <w:left w:val="single" w:sz="8" w:color="auto"/>
              <w:right w:val="single" w:sz="8" w:color="auto"/>
            </w:tcBorders>
            <w:vMerge w:val="continue"/>
          </w:tcPr>
          <w:p>
            <w:pPr>
              <w:spacing w:after="0"/>
              <w:rPr>
                <w:sz w:val="15"/>
                <w:szCs w:val="15"/>
                <w:color w:val="auto"/>
              </w:rPr>
            </w:pPr>
          </w:p>
        </w:tc>
        <w:tc>
          <w:tcPr>
            <w:tcW w:w="8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b w:val="1"/>
                <w:bCs w:val="1"/>
                <w:color w:val="auto"/>
              </w:rPr>
              <w:t>10</w:t>
            </w:r>
          </w:p>
        </w:tc>
        <w:tc>
          <w:tcPr>
            <w:tcW w:w="538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36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1440" w:type="dxa"/>
            <w:vAlign w:val="bottom"/>
            <w:tcBorders>
              <w:left w:val="single" w:sz="8" w:color="auto"/>
              <w:right w:val="single" w:sz="8" w:color="auto"/>
            </w:tcBorders>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5380" w:type="dxa"/>
            <w:vAlign w:val="bottom"/>
            <w:gridSpan w:val="2"/>
            <w:vMerge w:val="continue"/>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740" w:type="dxa"/>
            <w:vAlign w:val="bottom"/>
            <w:gridSpan w:val="3"/>
          </w:tcPr>
          <w:p>
            <w:pPr>
              <w:ind w:left="360"/>
              <w:spacing w:after="0"/>
              <w:rPr>
                <w:sz w:val="20"/>
                <w:szCs w:val="20"/>
                <w:color w:val="auto"/>
              </w:rPr>
            </w:pPr>
            <w:r>
              <w:rPr>
                <w:rFonts w:ascii="Arial" w:cs="Arial" w:eastAsia="Arial" w:hAnsi="Arial"/>
                <w:sz w:val="18"/>
                <w:szCs w:val="18"/>
                <w:color w:val="auto"/>
              </w:rPr>
              <w:t>9,347,591 (including 64,322 shares of Common Stock issuable upon exercise of warrants)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5380" w:type="dxa"/>
            <w:vAlign w:val="bottom"/>
            <w:tcBorders>
              <w:bottom w:val="single" w:sz="8" w:color="auto"/>
            </w:tcBorders>
            <w:gridSpan w:val="2"/>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PERSON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0" w:type="dxa"/>
            <w:vAlign w:val="bottom"/>
            <w:gridSpan w:val="4"/>
          </w:tcPr>
          <w:p>
            <w:pPr>
              <w:ind w:left="360"/>
              <w:spacing w:after="0"/>
              <w:rPr>
                <w:sz w:val="20"/>
                <w:szCs w:val="20"/>
                <w:color w:val="auto"/>
              </w:rPr>
            </w:pPr>
            <w:r>
              <w:rPr>
                <w:rFonts w:ascii="Arial" w:cs="Arial" w:eastAsia="Arial" w:hAnsi="Arial"/>
                <w:sz w:val="18"/>
                <w:szCs w:val="18"/>
                <w:color w:val="auto"/>
              </w:rPr>
              <w:t>9,347,591 (including 64,322 shares of Common Stock issuable upon exercise of warrants)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gridSpan w:val="3"/>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(11) EXCLUDES CERTAIN SHARES</w:t>
            </w:r>
          </w:p>
        </w:tc>
        <w:tc>
          <w:tcPr>
            <w:tcW w:w="1380" w:type="dxa"/>
            <w:vAlign w:val="bottom"/>
            <w:tcBorders>
              <w:right w:val="single" w:sz="8" w:color="auto"/>
            </w:tcBorders>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gridSpan w:val="2"/>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w w:val="90"/>
              </w:rPr>
              <w:t>14.0%</w:t>
            </w:r>
          </w:p>
        </w:tc>
        <w:tc>
          <w:tcPr>
            <w:tcW w:w="16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gridSpan w:val="2"/>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rPr>
              <w:t>OO</w:t>
            </w:r>
          </w:p>
        </w:tc>
        <w:tc>
          <w:tcPr>
            <w:tcW w:w="16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30"/>
        </w:trPr>
        <w:tc>
          <w:tcPr>
            <w:tcW w:w="1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7"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390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74275G 107</w:t>
            </w:r>
          </w:p>
        </w:tc>
        <w:tc>
          <w:tcPr>
            <w:tcW w:w="378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3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Page 4 of 8 Pages</w:t>
            </w:r>
          </w:p>
        </w:tc>
      </w:tr>
      <w:tr>
        <w:trPr>
          <w:trHeight w:val="216"/>
        </w:trPr>
        <w:tc>
          <w:tcPr>
            <w:tcW w:w="900" w:type="dxa"/>
            <w:vAlign w:val="bottom"/>
            <w:tcBorders>
              <w:left w:val="single" w:sz="8" w:color="auto"/>
              <w:bottom w:val="single" w:sz="8" w:color="auto"/>
            </w:tcBorders>
          </w:tcPr>
          <w:p>
            <w:pPr>
              <w:spacing w:after="0"/>
              <w:rPr>
                <w:sz w:val="18"/>
                <w:szCs w:val="18"/>
                <w:color w:val="auto"/>
              </w:rPr>
            </w:pPr>
          </w:p>
        </w:tc>
        <w:tc>
          <w:tcPr>
            <w:tcW w:w="3000" w:type="dxa"/>
            <w:vAlign w:val="bottom"/>
            <w:tcBorders>
              <w:bottom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426"/>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00" w:type="dxa"/>
            <w:vAlign w:val="bottom"/>
          </w:tcPr>
          <w:p>
            <w:pPr>
              <w:ind w:left="360"/>
              <w:spacing w:after="0"/>
              <w:rPr>
                <w:sz w:val="20"/>
                <w:szCs w:val="20"/>
                <w:color w:val="auto"/>
              </w:rPr>
            </w:pPr>
            <w:r>
              <w:rPr>
                <w:rFonts w:ascii="Arial" w:cs="Arial" w:eastAsia="Arial" w:hAnsi="Arial"/>
                <w:sz w:val="18"/>
                <w:szCs w:val="18"/>
                <w:b w:val="1"/>
                <w:bCs w:val="1"/>
                <w:color w:val="auto"/>
              </w:rPr>
              <w:t>Security and Issuer</w:t>
            </w:r>
          </w:p>
        </w:tc>
        <w:tc>
          <w:tcPr>
            <w:tcW w:w="37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02" w:lineRule="exact"/>
        <w:rPr>
          <w:sz w:val="20"/>
          <w:szCs w:val="20"/>
          <w:color w:val="auto"/>
        </w:rPr>
      </w:pPr>
    </w:p>
    <w:p>
      <w:pPr>
        <w:ind w:left="1260" w:right="280"/>
        <w:spacing w:after="0" w:line="342" w:lineRule="auto"/>
        <w:rPr>
          <w:sz w:val="20"/>
          <w:szCs w:val="20"/>
          <w:color w:val="auto"/>
        </w:rPr>
      </w:pPr>
      <w:r>
        <w:rPr>
          <w:rFonts w:ascii="Arial" w:cs="Arial" w:eastAsia="Arial" w:hAnsi="Arial"/>
          <w:sz w:val="16"/>
          <w:szCs w:val="16"/>
          <w:color w:val="auto"/>
        </w:rPr>
        <w:t>This Schedule 13D relates to the Common Stock, $0.001 par value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Priority Technology Holdings, Inc., a Delaware corporation (the “</w:t>
      </w:r>
      <w:r>
        <w:rPr>
          <w:rFonts w:ascii="Arial" w:cs="Arial" w:eastAsia="Arial" w:hAnsi="Arial"/>
          <w:sz w:val="16"/>
          <w:szCs w:val="16"/>
          <w:u w:val="single" w:color="auto"/>
          <w:color w:val="auto"/>
        </w:rPr>
        <w:t>Issuer</w:t>
      </w:r>
      <w:r>
        <w:rPr>
          <w:rFonts w:ascii="Arial" w:cs="Arial" w:eastAsia="Arial" w:hAnsi="Arial"/>
          <w:sz w:val="16"/>
          <w:szCs w:val="16"/>
          <w:color w:val="auto"/>
        </w:rPr>
        <w:t>”), with principal executive offices at 2001 Westside Parkway Suite 155, Alpharetta, GA 30004.</w:t>
      </w:r>
    </w:p>
    <w:p>
      <w:pPr>
        <w:spacing w:after="0" w:line="14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left="1260" w:hanging="1252"/>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25" w:lineRule="exact"/>
        <w:rPr>
          <w:rFonts w:ascii="Arial" w:cs="Arial" w:eastAsia="Arial" w:hAnsi="Arial"/>
          <w:sz w:val="18"/>
          <w:szCs w:val="18"/>
          <w:color w:val="auto"/>
        </w:rPr>
      </w:pPr>
    </w:p>
    <w:p>
      <w:pPr>
        <w:ind w:left="2180" w:right="60" w:hanging="916"/>
        <w:spacing w:after="0" w:line="277" w:lineRule="auto"/>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AESV CreditCard Consulting LLC ("</w:t>
      </w:r>
      <w:r>
        <w:rPr>
          <w:rFonts w:ascii="Arial" w:cs="Arial" w:eastAsia="Arial" w:hAnsi="Arial"/>
          <w:sz w:val="18"/>
          <w:szCs w:val="18"/>
          <w:u w:val="single" w:color="auto"/>
          <w:color w:val="auto"/>
        </w:rPr>
        <w:t>AESV</w:t>
      </w:r>
      <w:r>
        <w:rPr>
          <w:rFonts w:ascii="Arial" w:cs="Arial" w:eastAsia="Arial" w:hAnsi="Arial"/>
          <w:sz w:val="18"/>
          <w:szCs w:val="18"/>
          <w:color w:val="auto"/>
        </w:rPr>
        <w:t>"), with respect to the shares of Common Stock directly held by it and the shares of Common Stock issuable upon exercise of warrants directly held by it; and</w:t>
      </w:r>
    </w:p>
    <w:p>
      <w:pPr>
        <w:spacing w:after="0" w:line="170" w:lineRule="exact"/>
        <w:rPr>
          <w:rFonts w:ascii="Arial" w:cs="Arial" w:eastAsia="Arial" w:hAnsi="Arial"/>
          <w:sz w:val="18"/>
          <w:szCs w:val="18"/>
          <w:color w:val="auto"/>
        </w:rPr>
      </w:pPr>
    </w:p>
    <w:p>
      <w:pPr>
        <w:ind w:left="2180" w:right="140" w:hanging="916"/>
        <w:spacing w:after="0" w:line="342" w:lineRule="auto"/>
        <w:tabs>
          <w:tab w:leader="none" w:pos="2180" w:val="left"/>
        </w:tabs>
        <w:numPr>
          <w:ilvl w:val="1"/>
          <w:numId w:val="3"/>
        </w:numPr>
        <w:rPr>
          <w:rFonts w:ascii="Arial" w:cs="Arial" w:eastAsia="Arial" w:hAnsi="Arial"/>
          <w:sz w:val="16"/>
          <w:szCs w:val="16"/>
          <w:color w:val="auto"/>
        </w:rPr>
      </w:pPr>
      <w:r>
        <w:rPr>
          <w:rFonts w:ascii="Arial" w:cs="Arial" w:eastAsia="Arial" w:hAnsi="Arial"/>
          <w:sz w:val="16"/>
          <w:szCs w:val="16"/>
          <w:color w:val="auto"/>
        </w:rPr>
        <w:t>John V. Priore ("</w:t>
      </w:r>
      <w:r>
        <w:rPr>
          <w:rFonts w:ascii="Arial" w:cs="Arial" w:eastAsia="Arial" w:hAnsi="Arial"/>
          <w:sz w:val="16"/>
          <w:szCs w:val="16"/>
          <w:u w:val="single" w:color="auto"/>
          <w:color w:val="auto"/>
        </w:rPr>
        <w:t>Mr. Priore</w:t>
      </w:r>
      <w:r>
        <w:rPr>
          <w:rFonts w:ascii="Arial" w:cs="Arial" w:eastAsia="Arial" w:hAnsi="Arial"/>
          <w:sz w:val="16"/>
          <w:szCs w:val="16"/>
          <w:color w:val="auto"/>
        </w:rPr>
        <w:t>"), who serves as the manager of, and solely controls, AESV, with respect to the shares of Common Stock directly held by AESV and the shares of Common Stock issuable upon exercise of warrants directly held by AESV.</w:t>
      </w:r>
    </w:p>
    <w:p>
      <w:pPr>
        <w:spacing w:after="0" w:line="124" w:lineRule="exact"/>
        <w:rPr>
          <w:sz w:val="20"/>
          <w:szCs w:val="20"/>
          <w:color w:val="auto"/>
        </w:rPr>
      </w:pPr>
    </w:p>
    <w:p>
      <w:pPr>
        <w:ind w:left="1260" w:right="100"/>
        <w:spacing w:after="0" w:line="308" w:lineRule="auto"/>
        <w:rPr>
          <w:sz w:val="20"/>
          <w:szCs w:val="20"/>
          <w:color w:val="auto"/>
        </w:rPr>
      </w:pPr>
      <w:r>
        <w:rPr>
          <w:rFonts w:ascii="Arial" w:cs="Arial" w:eastAsia="Arial" w:hAnsi="Arial"/>
          <w:sz w:val="17"/>
          <w:szCs w:val="17"/>
          <w:color w:val="auto"/>
        </w:rPr>
        <w:t>The foregoing persons are hereinafter sometimes collectively referred to as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Any disclosures herein with respect to persons other than the Reporting Persons are made on information and belief after making inquiry to the appropriate party.</w:t>
      </w:r>
    </w:p>
    <w:p>
      <w:pPr>
        <w:spacing w:after="0" w:line="147" w:lineRule="exact"/>
        <w:rPr>
          <w:sz w:val="20"/>
          <w:szCs w:val="20"/>
          <w:color w:val="auto"/>
        </w:rPr>
      </w:pPr>
    </w:p>
    <w:p>
      <w:pPr>
        <w:ind w:left="1260" w:right="460" w:hanging="1252"/>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business address of the Reporting Persons is c/o Priority Technology Holdings, Inc., 2001 Westside Parkway, Suite 155, Alpharetta, GA 30004.</w:t>
      </w:r>
    </w:p>
    <w:p>
      <w:pPr>
        <w:spacing w:after="0" w:line="170" w:lineRule="exact"/>
        <w:rPr>
          <w:rFonts w:ascii="Arial" w:cs="Arial" w:eastAsia="Arial" w:hAnsi="Arial"/>
          <w:sz w:val="18"/>
          <w:szCs w:val="18"/>
          <w:color w:val="auto"/>
        </w:rPr>
      </w:pPr>
    </w:p>
    <w:p>
      <w:pPr>
        <w:ind w:left="1260" w:right="500" w:hanging="1252"/>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business of AESV is to hold shares of Common Stock and warrants to purchase shares of Common Stock. The principal business of Mr. Priore is to serve as the manager of, and control, AESV.</w:t>
      </w:r>
    </w:p>
    <w:p>
      <w:pPr>
        <w:spacing w:after="0" w:line="170" w:lineRule="exact"/>
        <w:rPr>
          <w:rFonts w:ascii="Arial" w:cs="Arial" w:eastAsia="Arial" w:hAnsi="Arial"/>
          <w:sz w:val="18"/>
          <w:szCs w:val="18"/>
          <w:color w:val="auto"/>
        </w:rPr>
      </w:pPr>
    </w:p>
    <w:p>
      <w:pPr>
        <w:ind w:left="1260" w:right="20" w:hanging="1252"/>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convicted in a criminal proceeding (excluding traffic violations or similar misdemeanors).</w:t>
      </w:r>
    </w:p>
    <w:p>
      <w:pPr>
        <w:spacing w:after="0" w:line="170" w:lineRule="exact"/>
        <w:rPr>
          <w:rFonts w:ascii="Arial" w:cs="Arial" w:eastAsia="Arial" w:hAnsi="Arial"/>
          <w:sz w:val="18"/>
          <w:szCs w:val="18"/>
          <w:color w:val="auto"/>
        </w:rPr>
      </w:pPr>
    </w:p>
    <w:p>
      <w:pPr>
        <w:ind w:left="1260" w:right="520" w:hanging="1252"/>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a party to a civil proceeding of a judicial or administrative body of competent jurisdiction and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24"/>
        </w:trPr>
        <w:tc>
          <w:tcPr>
            <w:tcW w:w="39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74275G 107</w:t>
            </w:r>
          </w:p>
        </w:tc>
        <w:tc>
          <w:tcPr>
            <w:tcW w:w="378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3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Page 5 of 8 Pages</w:t>
            </w:r>
          </w:p>
        </w:tc>
      </w:tr>
      <w:tr>
        <w:trPr>
          <w:trHeight w:val="216"/>
        </w:trPr>
        <w:tc>
          <w:tcPr>
            <w:tcW w:w="390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ind w:left="1260" w:right="20"/>
        <w:spacing w:after="0" w:line="277" w:lineRule="auto"/>
        <w:rPr>
          <w:sz w:val="20"/>
          <w:szCs w:val="20"/>
          <w:color w:val="auto"/>
        </w:rPr>
      </w:pPr>
      <w:r>
        <w:rPr>
          <w:rFonts w:ascii="Arial" w:cs="Arial" w:eastAsia="Arial" w:hAnsi="Arial"/>
          <w:sz w:val="18"/>
          <w:szCs w:val="18"/>
          <w:color w:val="auto"/>
        </w:rPr>
        <w:t>of such proceeding was or is subject to a judgment, decree or final order enjoining future violations of, or prohibiting or mandating activities subject to, federal or state securities laws or finding any violation with respect to such laws.</w:t>
      </w:r>
    </w:p>
    <w:p>
      <w:pPr>
        <w:spacing w:after="0" w:line="170" w:lineRule="exact"/>
        <w:rPr>
          <w:sz w:val="20"/>
          <w:szCs w:val="20"/>
          <w:color w:val="auto"/>
        </w:rPr>
      </w:pPr>
    </w:p>
    <w:p>
      <w:pPr>
        <w:ind w:left="1260" w:hanging="1252"/>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AESV is a Georgia limited liability company. Mr. Priore is a citizen of the United States.</w:t>
      </w:r>
    </w:p>
    <w:p>
      <w:pPr>
        <w:spacing w:after="0" w:line="24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Amounts of Funds or Other Consideration</w:t>
      </w:r>
    </w:p>
    <w:p>
      <w:pPr>
        <w:spacing w:after="0" w:line="229" w:lineRule="exact"/>
        <w:rPr>
          <w:sz w:val="20"/>
          <w:szCs w:val="20"/>
          <w:color w:val="auto"/>
        </w:rPr>
      </w:pPr>
    </w:p>
    <w:p>
      <w:pPr>
        <w:ind w:left="1260" w:right="40"/>
        <w:spacing w:after="0" w:line="255" w:lineRule="auto"/>
        <w:rPr>
          <w:sz w:val="20"/>
          <w:szCs w:val="20"/>
          <w:color w:val="auto"/>
        </w:rPr>
      </w:pPr>
      <w:r>
        <w:rPr>
          <w:rFonts w:ascii="Arial" w:cs="Arial" w:eastAsia="Arial" w:hAnsi="Arial"/>
          <w:sz w:val="18"/>
          <w:szCs w:val="18"/>
          <w:color w:val="auto"/>
        </w:rPr>
        <w:t>On July 25, 2018, the Issuer consummated a business combination pursuant to a contribution agreement, dated February 26, 2018, as amended and restated on March 26,2018 and April 17, 2018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by and among the Issuer, Priority Investment Holdings, LLC (“</w:t>
      </w:r>
      <w:r>
        <w:rPr>
          <w:rFonts w:ascii="Arial" w:cs="Arial" w:eastAsia="Arial" w:hAnsi="Arial"/>
          <w:sz w:val="18"/>
          <w:szCs w:val="18"/>
          <w:u w:val="single" w:color="auto"/>
          <w:color w:val="auto"/>
        </w:rPr>
        <w:t>PIH</w:t>
      </w:r>
      <w:r>
        <w:rPr>
          <w:rFonts w:ascii="Arial" w:cs="Arial" w:eastAsia="Arial" w:hAnsi="Arial"/>
          <w:sz w:val="18"/>
          <w:szCs w:val="18"/>
          <w:color w:val="auto"/>
        </w:rPr>
        <w:t>”) and PIEH (together with PIH, the “</w:t>
      </w:r>
      <w:r>
        <w:rPr>
          <w:rFonts w:ascii="Arial" w:cs="Arial" w:eastAsia="Arial" w:hAnsi="Arial"/>
          <w:sz w:val="18"/>
          <w:szCs w:val="18"/>
          <w:u w:val="single" w:color="auto"/>
          <w:color w:val="auto"/>
        </w:rPr>
        <w:t>Sellers</w:t>
      </w:r>
      <w:r>
        <w:rPr>
          <w:rFonts w:ascii="Arial" w:cs="Arial" w:eastAsia="Arial" w:hAnsi="Arial"/>
          <w:sz w:val="18"/>
          <w:szCs w:val="18"/>
          <w:color w:val="auto"/>
        </w:rPr>
        <w:t>”), which provided for, among other things, the acquisition of 100% of the issued and outstanding equity securities of Priority Holdings, LLC (“Priority”)by the Issuer from the Sellers, which resulted in Priority becoming a wholly-owned subsidiary of the Issuer (together with the other transactions contemplated by the Purchase Agreement,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w:t>
      </w:r>
    </w:p>
    <w:p>
      <w:pPr>
        <w:spacing w:after="0" w:line="193" w:lineRule="exact"/>
        <w:rPr>
          <w:sz w:val="20"/>
          <w:szCs w:val="20"/>
          <w:color w:val="auto"/>
        </w:rPr>
      </w:pPr>
    </w:p>
    <w:p>
      <w:pPr>
        <w:ind w:left="1260" w:right="180"/>
        <w:spacing w:after="0" w:line="312" w:lineRule="auto"/>
        <w:rPr>
          <w:sz w:val="20"/>
          <w:szCs w:val="20"/>
          <w:color w:val="auto"/>
        </w:rPr>
      </w:pPr>
      <w:r>
        <w:rPr>
          <w:rFonts w:ascii="Arial" w:cs="Arial" w:eastAsia="Arial" w:hAnsi="Arial"/>
          <w:sz w:val="16"/>
          <w:szCs w:val="16"/>
          <w:color w:val="auto"/>
        </w:rPr>
        <w:t>Pursuant to the Purchase Agreement, the Issuer agreed to pay the Sellers consideration consisting of a number of shares of Common Stock equal to Priority’s equity value (which the Purchase Agreement defines as of the signing date as the $947.8 million enterprise value of Priority, less the net debt of Priority, subject to certain adjustments as described in the Purchase Agreement) divided by $10.30.</w:t>
      </w:r>
    </w:p>
    <w:p>
      <w:pPr>
        <w:spacing w:after="0" w:line="147" w:lineRule="exact"/>
        <w:rPr>
          <w:sz w:val="20"/>
          <w:szCs w:val="20"/>
          <w:color w:val="auto"/>
        </w:rPr>
      </w:pPr>
    </w:p>
    <w:p>
      <w:pPr>
        <w:ind w:left="1260"/>
        <w:spacing w:after="0" w:line="293" w:lineRule="auto"/>
        <w:rPr>
          <w:sz w:val="20"/>
          <w:szCs w:val="20"/>
          <w:color w:val="auto"/>
        </w:rPr>
      </w:pPr>
      <w:r>
        <w:rPr>
          <w:rFonts w:ascii="Arial" w:cs="Arial" w:eastAsia="Arial" w:hAnsi="Arial"/>
          <w:sz w:val="16"/>
          <w:szCs w:val="16"/>
          <w:color w:val="auto"/>
        </w:rPr>
        <w:t>Furthermore, concurrently with the Purchase Agreement, the founding stockholders of the Issuer (the “</w:t>
      </w:r>
      <w:r>
        <w:rPr>
          <w:rFonts w:ascii="Arial" w:cs="Arial" w:eastAsia="Arial" w:hAnsi="Arial"/>
          <w:sz w:val="16"/>
          <w:szCs w:val="16"/>
          <w:u w:val="single" w:color="auto"/>
          <w:color w:val="auto"/>
        </w:rPr>
        <w:t>Founders</w:t>
      </w:r>
      <w:r>
        <w:rPr>
          <w:rFonts w:ascii="Arial" w:cs="Arial" w:eastAsia="Arial" w:hAnsi="Arial"/>
          <w:sz w:val="16"/>
          <w:szCs w:val="16"/>
          <w:color w:val="auto"/>
        </w:rPr>
        <w:t>”) and Priority entered into a purchase agreement (the “</w:t>
      </w:r>
      <w:r>
        <w:rPr>
          <w:rFonts w:ascii="Arial" w:cs="Arial" w:eastAsia="Arial" w:hAnsi="Arial"/>
          <w:sz w:val="16"/>
          <w:szCs w:val="16"/>
          <w:u w:val="single" w:color="auto"/>
          <w:color w:val="auto"/>
        </w:rPr>
        <w:t>Founders Share Agreement</w:t>
      </w:r>
      <w:r>
        <w:rPr>
          <w:rFonts w:ascii="Arial" w:cs="Arial" w:eastAsia="Arial" w:hAnsi="Arial"/>
          <w:sz w:val="16"/>
          <w:szCs w:val="16"/>
          <w:color w:val="auto"/>
        </w:rPr>
        <w:t>”), pursuant to which Priority purchased 421,107 of the units (each unit consisting of one share of Common Stock and one warrant to purchase a share of Common Stock) issued to the Founders in a private placement immediately prior to the Issuer’s initial public offering, and 453,210 shares of Common Stock issued to the Founders, for an aggregate purchase price of approximately $2.1 million. In addition, pursuant to the Founders Share Agreement, the Founders forfeited 174,863 founder’s shares at the closing of the Business Combination, which shares may be reissued to the Founders if certain earn outs are achieved.</w:t>
      </w:r>
    </w:p>
    <w:p>
      <w:pPr>
        <w:spacing w:after="0" w:line="165" w:lineRule="exact"/>
        <w:rPr>
          <w:sz w:val="20"/>
          <w:szCs w:val="20"/>
          <w:color w:val="auto"/>
        </w:rPr>
      </w:pPr>
    </w:p>
    <w:p>
      <w:pPr>
        <w:ind w:left="1260" w:right="400"/>
        <w:spacing w:after="0" w:line="277" w:lineRule="auto"/>
        <w:rPr>
          <w:sz w:val="20"/>
          <w:szCs w:val="20"/>
          <w:color w:val="auto"/>
        </w:rPr>
      </w:pPr>
      <w:r>
        <w:rPr>
          <w:rFonts w:ascii="Arial" w:cs="Arial" w:eastAsia="Arial" w:hAnsi="Arial"/>
          <w:sz w:val="18"/>
          <w:szCs w:val="18"/>
          <w:color w:val="auto"/>
        </w:rPr>
        <w:t>AESV acquired the shares and warrants reported herein in its capacity as a member of PIH pursuant to the Purchase Agreement and the Founders Share Agreement.</w:t>
      </w:r>
    </w:p>
    <w:p>
      <w:pPr>
        <w:spacing w:after="0" w:line="170" w:lineRule="exact"/>
        <w:rPr>
          <w:sz w:val="20"/>
          <w:szCs w:val="20"/>
          <w:color w:val="auto"/>
        </w:rPr>
      </w:pPr>
    </w:p>
    <w:p>
      <w:pPr>
        <w:ind w:left="1260" w:right="20"/>
        <w:spacing w:after="0" w:line="257" w:lineRule="auto"/>
        <w:rPr>
          <w:sz w:val="20"/>
          <w:szCs w:val="20"/>
          <w:color w:val="auto"/>
        </w:rPr>
      </w:pPr>
      <w:r>
        <w:rPr>
          <w:rFonts w:ascii="Arial" w:cs="Arial" w:eastAsia="Arial" w:hAnsi="Arial"/>
          <w:sz w:val="18"/>
          <w:szCs w:val="18"/>
          <w:color w:val="auto"/>
        </w:rPr>
        <w:t>The foregoing descriptions are summaries of the Purchase Agreement and the Founders Share Agreement, and do not purport to be complete and are qualified in their entireties by reference to the full texts thereof. The Purchase Agreement and the Founders Share Agreement, which are filed as Exhibit 1 and Exhibit 2 to this Schedule 13D, respectively, and is incorporated by reference to Exhibit 2.1 to the Issuer's Current Report on Form 8-K filed on April 20, 2018 and Exhibit 10.1 to the Issuer's Current Report on Form 8-K filed on March 2,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22"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24"/>
        </w:trPr>
        <w:tc>
          <w:tcPr>
            <w:tcW w:w="39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74275G 107</w:t>
            </w:r>
          </w:p>
        </w:tc>
        <w:tc>
          <w:tcPr>
            <w:tcW w:w="378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3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Page 6 of 8 Pages</w:t>
            </w:r>
          </w:p>
        </w:tc>
      </w:tr>
      <w:tr>
        <w:trPr>
          <w:trHeight w:val="216"/>
        </w:trPr>
        <w:tc>
          <w:tcPr>
            <w:tcW w:w="390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ind w:left="1260" w:right="440"/>
        <w:spacing w:after="0" w:line="277" w:lineRule="auto"/>
        <w:rPr>
          <w:sz w:val="20"/>
          <w:szCs w:val="20"/>
          <w:color w:val="auto"/>
        </w:rPr>
      </w:pPr>
      <w:r>
        <w:rPr>
          <w:rFonts w:ascii="Arial" w:cs="Arial" w:eastAsia="Arial" w:hAnsi="Arial"/>
          <w:sz w:val="18"/>
          <w:szCs w:val="18"/>
          <w:color w:val="auto"/>
        </w:rPr>
        <w:t>The Reporting Persons acquired the shares of Common Stock set forth on the cover pages hereto (the “Subject Shares”) for investment purposes and for the purposes described below.</w:t>
      </w:r>
    </w:p>
    <w:p>
      <w:pPr>
        <w:spacing w:after="0" w:line="170" w:lineRule="exact"/>
        <w:rPr>
          <w:sz w:val="20"/>
          <w:szCs w:val="20"/>
          <w:color w:val="auto"/>
        </w:rPr>
      </w:pPr>
    </w:p>
    <w:p>
      <w:pPr>
        <w:ind w:left="1260" w:right="640"/>
        <w:spacing w:after="0" w:line="308" w:lineRule="auto"/>
        <w:rPr>
          <w:sz w:val="20"/>
          <w:szCs w:val="20"/>
          <w:color w:val="auto"/>
        </w:rPr>
      </w:pPr>
      <w:r>
        <w:rPr>
          <w:rFonts w:ascii="Arial" w:cs="Arial" w:eastAsia="Arial" w:hAnsi="Arial"/>
          <w:sz w:val="17"/>
          <w:szCs w:val="17"/>
          <w:color w:val="auto"/>
        </w:rPr>
        <w:t>The descriptions of the Business Combination, the Purchase Agreement, the Founders Share Agreement and the Registration Rights Agreement (each, as defined below) contained in Items 3 and 6 are hereby incorporated by reference into this Item 4.</w:t>
      </w:r>
    </w:p>
    <w:p>
      <w:pPr>
        <w:spacing w:after="0" w:line="147" w:lineRule="exact"/>
        <w:rPr>
          <w:sz w:val="20"/>
          <w:szCs w:val="20"/>
          <w:color w:val="auto"/>
        </w:rPr>
      </w:pPr>
    </w:p>
    <w:p>
      <w:pPr>
        <w:ind w:left="1260" w:right="40"/>
        <w:spacing w:after="0" w:line="269" w:lineRule="auto"/>
        <w:rPr>
          <w:sz w:val="20"/>
          <w:szCs w:val="20"/>
          <w:color w:val="auto"/>
        </w:rPr>
      </w:pPr>
      <w:r>
        <w:rPr>
          <w:rFonts w:ascii="Arial" w:cs="Arial" w:eastAsia="Arial" w:hAnsi="Arial"/>
          <w:sz w:val="17"/>
          <w:szCs w:val="17"/>
          <w:color w:val="auto"/>
        </w:rPr>
        <w:t>The Reporting Persons will continuously evaluate the Issuer’s businesses and prospects, alternative investment opportunities and all other factors deemed relevant in determining whether additional shares of Common Stock will be acquired by the Reporting Persons or, if applicable, their affiliates or whether the Reporting Persons or, if applicable, any such affiliates will dispose of shares of Common Stock. At any time, additional shares of Common Stock may be acquired or some or all of shares of Common Stock beneficially owned by the Reporting Persons may be sold, in either case in the open market, in privately negotiated transactions or otherwise. Other than as described in this Schedule 13D, none of the Reporting Persons and, to the best of their knowledge, none of the Covered Persons has any current plans or proposals which relate to or would result in any of the matters described in Items 4(a)-(j) of Schedule 13D. However, as part of their ongoing evaluation of their investment in the Subject Shares and investment alternatives, the Reporting Persons may consider such matters in the future and, subject to applicable law, may formulate a plan with respect to such matters, and, from time to time, the Reporting Persons may hold discussions with or make formal proposals to management or the board of directors of the Issuer, other stockholders of the Issuer or other third parties regarding such matters.</w:t>
      </w:r>
    </w:p>
    <w:p>
      <w:pPr>
        <w:spacing w:after="0" w:line="17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ind w:left="1260" w:right="40" w:hanging="1252"/>
        <w:spacing w:after="0" w:line="257" w:lineRule="auto"/>
        <w:tabs>
          <w:tab w:leader="none" w:pos="12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See rows (11) and (13) of the cover pages to this Schedule 13D for the aggregate number of shares of Common Stock and percentages of the Common Stock beneficially owned by the Reporting Persons. The percentages used in this Schedule 13D are calculated based upon 66,856,966 shares of Common Stock reported to be outstanding upon the closing of the business combination on July 25, 2018, as described in the Company's Current Report on Form 8-K filed with the Securities and Exchange Commission on July 31, 2018, and assumes the exercise of the reported warrants.</w:t>
      </w:r>
    </w:p>
    <w:p>
      <w:pPr>
        <w:spacing w:after="0" w:line="188" w:lineRule="exact"/>
        <w:rPr>
          <w:rFonts w:ascii="Arial" w:cs="Arial" w:eastAsia="Arial" w:hAnsi="Arial"/>
          <w:sz w:val="18"/>
          <w:szCs w:val="18"/>
          <w:b w:val="1"/>
          <w:bCs w:val="1"/>
          <w:color w:val="auto"/>
        </w:rPr>
      </w:pPr>
    </w:p>
    <w:p>
      <w:pPr>
        <w:ind w:left="1260" w:right="320" w:hanging="1252"/>
        <w:spacing w:after="0" w:line="342" w:lineRule="auto"/>
        <w:tabs>
          <w:tab w:leader="none" w:pos="12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See rows (7) through (10) of the cover pages to this Schedule 13D for the number of shares of Common Stock as to which the Reporting Persons have the sole or shared power to vote or direct the vote and sole or shared power to dispose or to direct the disposition.</w:t>
      </w:r>
    </w:p>
    <w:p>
      <w:pPr>
        <w:spacing w:after="0" w:line="123" w:lineRule="exact"/>
        <w:rPr>
          <w:rFonts w:ascii="Arial" w:cs="Arial" w:eastAsia="Arial" w:hAnsi="Arial"/>
          <w:sz w:val="16"/>
          <w:szCs w:val="16"/>
          <w:b w:val="1"/>
          <w:bCs w:val="1"/>
          <w:color w:val="auto"/>
        </w:rPr>
      </w:pPr>
    </w:p>
    <w:p>
      <w:pPr>
        <w:ind w:left="1260" w:right="300" w:hanging="1252"/>
        <w:spacing w:after="0" w:line="277" w:lineRule="auto"/>
        <w:tabs>
          <w:tab w:leader="none" w:pos="12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Except as described in Items 3 and 4, the Reporting Persons have not effected any transaction in the Common Stock within the past sixty days.</w:t>
      </w:r>
    </w:p>
    <w:p>
      <w:pPr>
        <w:spacing w:after="0" w:line="170" w:lineRule="exact"/>
        <w:rPr>
          <w:rFonts w:ascii="Arial" w:cs="Arial" w:eastAsia="Arial" w:hAnsi="Arial"/>
          <w:sz w:val="18"/>
          <w:szCs w:val="18"/>
          <w:b w:val="1"/>
          <w:bCs w:val="1"/>
          <w:color w:val="auto"/>
        </w:rPr>
      </w:pPr>
    </w:p>
    <w:p>
      <w:pPr>
        <w:ind w:left="1260" w:hanging="1252"/>
        <w:spacing w:after="0"/>
        <w:tabs>
          <w:tab w:leader="none" w:pos="12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b w:val="1"/>
          <w:bCs w:val="1"/>
          <w:color w:val="auto"/>
        </w:rPr>
      </w:pPr>
    </w:p>
    <w:p>
      <w:pPr>
        <w:ind w:left="1260" w:hanging="1252"/>
        <w:spacing w:after="0"/>
        <w:tabs>
          <w:tab w:leader="none" w:pos="12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24"/>
        </w:trPr>
        <w:tc>
          <w:tcPr>
            <w:tcW w:w="390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74275G 107</w:t>
            </w:r>
          </w:p>
        </w:tc>
        <w:tc>
          <w:tcPr>
            <w:tcW w:w="378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3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Page 7 of 8 Pages</w:t>
            </w:r>
          </w:p>
        </w:tc>
      </w:tr>
      <w:tr>
        <w:trPr>
          <w:trHeight w:val="216"/>
        </w:trPr>
        <w:tc>
          <w:tcPr>
            <w:tcW w:w="900" w:type="dxa"/>
            <w:vAlign w:val="bottom"/>
            <w:tcBorders>
              <w:left w:val="single" w:sz="8" w:color="auto"/>
              <w:bottom w:val="single" w:sz="8" w:color="auto"/>
            </w:tcBorders>
          </w:tcPr>
          <w:p>
            <w:pPr>
              <w:spacing w:after="0"/>
              <w:rPr>
                <w:sz w:val="18"/>
                <w:szCs w:val="18"/>
                <w:color w:val="auto"/>
              </w:rPr>
            </w:pPr>
          </w:p>
        </w:tc>
        <w:tc>
          <w:tcPr>
            <w:tcW w:w="3000" w:type="dxa"/>
            <w:vAlign w:val="bottom"/>
            <w:tcBorders>
              <w:bottom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453"/>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gridSpan w:val="3"/>
          </w:tcPr>
          <w:p>
            <w:pPr>
              <w:ind w:left="360"/>
              <w:spacing w:after="0"/>
              <w:rPr>
                <w:sz w:val="20"/>
                <w:szCs w:val="20"/>
                <w:color w:val="auto"/>
              </w:rPr>
            </w:pPr>
            <w:r>
              <w:rPr>
                <w:rFonts w:ascii="Arial" w:cs="Arial" w:eastAsia="Arial" w:hAnsi="Arial"/>
                <w:sz w:val="18"/>
                <w:szCs w:val="18"/>
                <w:b w:val="1"/>
                <w:bCs w:val="1"/>
                <w:color w:val="auto"/>
              </w:rPr>
              <w:t>Contracts, Arrangements, Understandings or Relationships with Respect to Securities of the Issuer</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Reporting Persons’ response to Item 3 is incorporated by reference into this Item 6.</w:t>
      </w:r>
    </w:p>
    <w:p>
      <w:pPr>
        <w:spacing w:after="0" w:line="225" w:lineRule="exact"/>
        <w:rPr>
          <w:sz w:val="20"/>
          <w:szCs w:val="20"/>
          <w:color w:val="auto"/>
        </w:rPr>
      </w:pPr>
    </w:p>
    <w:p>
      <w:pPr>
        <w:ind w:left="1260" w:right="440"/>
        <w:spacing w:after="0" w:line="257" w:lineRule="auto"/>
        <w:rPr>
          <w:sz w:val="20"/>
          <w:szCs w:val="20"/>
          <w:color w:val="auto"/>
        </w:rPr>
      </w:pPr>
      <w:r>
        <w:rPr>
          <w:rFonts w:ascii="Arial" w:cs="Arial" w:eastAsia="Arial" w:hAnsi="Arial"/>
          <w:sz w:val="18"/>
          <w:szCs w:val="18"/>
          <w:color w:val="auto"/>
        </w:rPr>
        <w:t>In connection with the Business Combination, AESV, certain other holders named therein and their respective transferees were granted certain rights pursuant to the Registration Rights Agreement, dated as of July 25, 2018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The Registration Rights Agreement grants certain holders, not including AESV, customary demand registration rights and grants all of the holders named therein certain “piggyback” registration rights with respect to registration statements filed subsequent to the Business Combination.</w:t>
      </w:r>
    </w:p>
    <w:p>
      <w:pPr>
        <w:spacing w:after="0" w:line="188" w:lineRule="exact"/>
        <w:rPr>
          <w:sz w:val="20"/>
          <w:szCs w:val="20"/>
          <w:color w:val="auto"/>
        </w:rPr>
      </w:pPr>
    </w:p>
    <w:p>
      <w:pPr>
        <w:ind w:left="1260" w:right="280"/>
        <w:spacing w:after="0" w:line="264" w:lineRule="auto"/>
        <w:rPr>
          <w:sz w:val="20"/>
          <w:szCs w:val="20"/>
          <w:color w:val="auto"/>
        </w:rPr>
      </w:pPr>
      <w:r>
        <w:rPr>
          <w:rFonts w:ascii="Arial" w:cs="Arial" w:eastAsia="Arial" w:hAnsi="Arial"/>
          <w:sz w:val="18"/>
          <w:szCs w:val="18"/>
          <w:color w:val="auto"/>
        </w:rPr>
        <w:t>This summary of the Registration Rights Agreement does not purport to be complete and is subject to, and qualified in its entirety by, the full text of the Registration Rights Agreement, which is filed as Exhibit 3 hereto and is incorporated by reference to Exhibit 10.1 of the Issuer's Current Report on Form 8-K filed July 31, 2018.</w:t>
      </w:r>
    </w:p>
    <w:p>
      <w:pPr>
        <w:spacing w:after="0" w:line="181" w:lineRule="exact"/>
        <w:rPr>
          <w:sz w:val="20"/>
          <w:szCs w:val="20"/>
          <w:color w:val="auto"/>
        </w:rPr>
      </w:pPr>
    </w:p>
    <w:p>
      <w:pPr>
        <w:ind w:left="1260" w:right="140"/>
        <w:spacing w:after="0" w:line="277" w:lineRule="auto"/>
        <w:rPr>
          <w:sz w:val="20"/>
          <w:szCs w:val="20"/>
          <w:color w:val="auto"/>
        </w:rPr>
      </w:pPr>
      <w:r>
        <w:rPr>
          <w:rFonts w:ascii="Arial" w:cs="Arial" w:eastAsia="Arial" w:hAnsi="Arial"/>
          <w:sz w:val="18"/>
          <w:szCs w:val="18"/>
          <w:color w:val="auto"/>
        </w:rPr>
        <w:t>The Reporting Persons have executed a Joint Filing Agreement, dated August 3, 2018, with respect to the joint filing of this Schedule 13D, and any amendment or amendments hereto, a copy of which is attached hereto as Exhibit 4.</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are filed herewith as Exhibits to this Schedule 13D: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gridSpan w:val="3"/>
          </w:tcPr>
          <w:p>
            <w:pPr>
              <w:ind w:left="1260"/>
              <w:spacing w:after="0"/>
              <w:rPr>
                <w:rFonts w:ascii="Arial" w:cs="Arial" w:eastAsia="Arial" w:hAnsi="Arial"/>
                <w:sz w:val="18"/>
                <w:szCs w:val="18"/>
                <w:color w:val="0000EE"/>
              </w:rPr>
            </w:pPr>
            <w:hyperlink r:id="rId17">
              <w:r>
                <w:rPr>
                  <w:rFonts w:ascii="Arial" w:cs="Arial" w:eastAsia="Arial" w:hAnsi="Arial"/>
                  <w:sz w:val="18"/>
                  <w:szCs w:val="18"/>
                  <w:color w:val="0000EE"/>
                </w:rPr>
                <w:t>Exhibit 1</w:t>
              </w:r>
            </w:hyperlink>
          </w:p>
        </w:tc>
        <w:tc>
          <w:tcPr>
            <w:tcW w:w="8900" w:type="dxa"/>
            <w:vAlign w:val="bottom"/>
            <w:gridSpan w:val="6"/>
          </w:tcPr>
          <w:p>
            <w:pPr>
              <w:spacing w:after="0"/>
              <w:rPr>
                <w:rFonts w:ascii="Arial" w:cs="Arial" w:eastAsia="Arial" w:hAnsi="Arial"/>
                <w:sz w:val="18"/>
                <w:szCs w:val="18"/>
                <w:color w:val="0000EE"/>
                <w:w w:val="94"/>
              </w:rPr>
            </w:pPr>
            <w:hyperlink r:id="rId17">
              <w:r>
                <w:rPr>
                  <w:rFonts w:ascii="Arial" w:cs="Arial" w:eastAsia="Arial" w:hAnsi="Arial"/>
                  <w:sz w:val="18"/>
                  <w:szCs w:val="18"/>
                  <w:color w:val="0000EE"/>
                  <w:w w:val="94"/>
                </w:rPr>
                <w:t>Second Amended and Restated Contribution Agreement, dated as of April 17, 2018, by and among Priority Investment</w:t>
              </w:r>
            </w:hyperlink>
          </w:p>
        </w:tc>
      </w:tr>
      <w:tr>
        <w:trPr>
          <w:trHeight w:val="196"/>
        </w:trPr>
        <w:tc>
          <w:tcPr>
            <w:tcW w:w="126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r:id="rId17">
              <w:r>
                <w:rPr>
                  <w:rFonts w:ascii="Arial" w:cs="Arial" w:eastAsia="Arial" w:hAnsi="Arial"/>
                  <w:sz w:val="18"/>
                  <w:szCs w:val="18"/>
                  <w:color w:val="0000EE"/>
                  <w:w w:val="94"/>
                </w:rPr>
                <w:t>Holdings, Priority Incentive Equity Holdings, LLC and M I Acquisitions, Inc. (incorporated by reference to Exhibit 2.1 to</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00" w:type="dxa"/>
            <w:vAlign w:val="bottom"/>
            <w:gridSpan w:val="6"/>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the Issuer’s Current Report on Form 8-K filed on April 20, 2018).</w:t>
              </w:r>
            </w:hyperlink>
          </w:p>
        </w:tc>
      </w:tr>
      <w:tr>
        <w:trPr>
          <w:trHeight w:val="20"/>
        </w:trPr>
        <w:tc>
          <w:tcPr>
            <w:tcW w:w="2520" w:type="dxa"/>
            <w:vAlign w:val="bottom"/>
            <w:gridSpan w:val="3"/>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520" w:type="dxa"/>
            <w:vAlign w:val="bottom"/>
            <w:gridSpan w:val="3"/>
          </w:tcPr>
          <w:p>
            <w:pPr>
              <w:ind w:left="1260"/>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Exhibit 2</w:t>
              </w:r>
            </w:hyperlink>
          </w:p>
        </w:tc>
        <w:tc>
          <w:tcPr>
            <w:tcW w:w="8900" w:type="dxa"/>
            <w:vAlign w:val="bottom"/>
            <w:gridSpan w:val="6"/>
          </w:tcPr>
          <w:p>
            <w:pPr>
              <w:spacing w:after="0" w:line="196" w:lineRule="exact"/>
              <w:rPr>
                <w:rFonts w:ascii="Arial" w:cs="Arial" w:eastAsia="Arial" w:hAnsi="Arial"/>
                <w:sz w:val="18"/>
                <w:szCs w:val="18"/>
                <w:color w:val="0000EE"/>
                <w:w w:val="97"/>
              </w:rPr>
            </w:pPr>
            <w:hyperlink r:id="rId18">
              <w:r>
                <w:rPr>
                  <w:rFonts w:ascii="Arial" w:cs="Arial" w:eastAsia="Arial" w:hAnsi="Arial"/>
                  <w:sz w:val="18"/>
                  <w:szCs w:val="18"/>
                  <w:color w:val="0000EE"/>
                  <w:w w:val="97"/>
                </w:rPr>
                <w:t>Purchase Agreement, dated as of February 26, 2018 by and among Priority Holdings, LLC, M SPAC LLC, M SPAC</w:t>
              </w:r>
            </w:hyperlink>
          </w:p>
        </w:tc>
      </w:tr>
      <w:tr>
        <w:trPr>
          <w:trHeight w:val="196"/>
        </w:trPr>
        <w:tc>
          <w:tcPr>
            <w:tcW w:w="126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r:id="rId18">
              <w:r>
                <w:rPr>
                  <w:rFonts w:ascii="Arial" w:cs="Arial" w:eastAsia="Arial" w:hAnsi="Arial"/>
                  <w:sz w:val="18"/>
                  <w:szCs w:val="18"/>
                  <w:color w:val="0000EE"/>
                  <w:w w:val="96"/>
                </w:rPr>
                <w:t>Holdings I LLC, M SPAC Holdings II LLC, and M I Acquisitions, Inc. (incorporated by reference to Exhibit 10.1 to the</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Issuer’s Current Report on Form 8-K filed on March 2, 2018).</w:t>
              </w:r>
            </w:hyperlink>
          </w:p>
        </w:tc>
        <w:tc>
          <w:tcPr>
            <w:tcW w:w="442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60" w:type="dxa"/>
            <w:vAlign w:val="bottom"/>
            <w:gridSpan w:val="2"/>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Exhibit 3</w:t>
              </w:r>
            </w:hyperlink>
          </w:p>
        </w:tc>
        <w:tc>
          <w:tcPr>
            <w:tcW w:w="8900" w:type="dxa"/>
            <w:vAlign w:val="bottom"/>
            <w:gridSpan w:val="6"/>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Registration Rights Agreement dated as of July 25, 2018 by and among M I Acquisitions, Inc. and the other parties thereto</w:t>
              </w:r>
            </w:hyperlink>
          </w:p>
        </w:tc>
      </w:tr>
      <w:tr>
        <w:trPr>
          <w:trHeight w:val="196"/>
        </w:trPr>
        <w:tc>
          <w:tcPr>
            <w:tcW w:w="126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8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(incorporated by reference to Exhibit 10.1 of the Issuer’s Current Report on Form 8-K filed on August 1, 2018).</w:t>
              </w:r>
            </w:hyperlink>
          </w:p>
        </w:tc>
        <w:tc>
          <w:tcPr>
            <w:tcW w:w="8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520" w:type="dxa"/>
            <w:vAlign w:val="bottom"/>
            <w:gridSpan w:val="3"/>
          </w:tcPr>
          <w:p>
            <w:pPr>
              <w:ind w:left="126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Exhibit 4</w:t>
              </w:r>
            </w:hyperlink>
          </w:p>
        </w:tc>
        <w:tc>
          <w:tcPr>
            <w:tcW w:w="8900" w:type="dxa"/>
            <w:vAlign w:val="bottom"/>
            <w:gridSpan w:val="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Joint Filing Agreement Statement as required by Rule 13d-1(k)(1) under the Act.</w:t>
              </w:r>
            </w:hyperlink>
          </w:p>
        </w:tc>
      </w:tr>
      <w:tr>
        <w:trPr>
          <w:trHeight w:val="568"/>
        </w:trPr>
        <w:tc>
          <w:tcPr>
            <w:tcW w:w="1260" w:type="dxa"/>
            <w:vAlign w:val="bottom"/>
            <w:tcBorders>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8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14"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39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74275G 107</w:t>
            </w:r>
          </w:p>
        </w:tc>
        <w:tc>
          <w:tcPr>
            <w:tcW w:w="378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3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Page 8 of 8 Pages</w:t>
            </w:r>
          </w:p>
        </w:tc>
      </w:tr>
      <w:tr>
        <w:trPr>
          <w:trHeight w:val="216"/>
        </w:trPr>
        <w:tc>
          <w:tcPr>
            <w:tcW w:w="390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After reasonable inquiry and to the best of its or his knowledge and belief, each of the undersigned certifies that the information set forth in this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AESV CREDITCARD CONSULTING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V. Priore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V. Priore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EXHIBIT 4</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JOINT FILING AGREEMENT</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PURSUANT TO RULE 13d-1(k)</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AESV CREDITCARD CONSULTING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V. Priore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V. Priore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800"/>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lvl w:ilvl="1">
      <w:lvlJc w:val="left"/>
      <w:lvlText w:val="(%2)"/>
      <w:numFmt w:val="lowerRoman"/>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7" Type="http://schemas.openxmlformats.org/officeDocument/2006/relationships/hyperlink" Target="http://www.sec.gov/Archives/edgar/data/1653558/000161577418001577/s109224_ex2-1.htm" TargetMode="External"/><Relationship Id="rId18" Type="http://schemas.openxmlformats.org/officeDocument/2006/relationships/hyperlink" Target="http://www.sec.gov/Archives/edgar/data/1653558/000161577418001577/s109224_ex10-1.htm" TargetMode="External"/><Relationship Id="rId19" Type="http://schemas.openxmlformats.org/officeDocument/2006/relationships/hyperlink" Target="http://www.sec.gov/Archives/edgar/data/1653558/000161577418007231/s111606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2020-01-13T05:04:36Z</dcterms:created>
  <dcterms:modified xsi:type="dcterms:W3CDTF">2020-01-13T05:04:36Z</dcterms:modified>
</cp:coreProperties>
</file>