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Units, one consisting of one share of common stock and one warrant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55304A203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14,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ectPr>
          <w:pgSz w:w="11900" w:h="16838" w:orient="portrait"/>
          <w:cols w:equalWidth="0" w:num="1">
            <w:col w:w="11420"/>
          </w:cols>
          <w:pgMar w:left="240" w:top="472"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w:t>
      </w:r>
    </w:p>
    <w:p>
      <w:pPr>
        <w:spacing w:after="0" w:line="200" w:lineRule="exact"/>
        <w:rPr>
          <w:sz w:val="24"/>
          <w:szCs w:val="24"/>
          <w:color w:val="auto"/>
        </w:rPr>
      </w:pPr>
    </w:p>
    <w:p>
      <w:pPr>
        <w:sectPr>
          <w:pgSz w:w="11900" w:h="16838" w:orient="portrait"/>
          <w:cols w:equalWidth="0" w:num="2">
            <w:col w:w="1020" w:space="600"/>
            <w:col w:w="9800"/>
          </w:cols>
          <w:pgMar w:left="240" w:top="472" w:right="23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1 of 13 Pages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2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THE K2 PRINCIPAL FUND, L.P.</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8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3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w w:val="98"/>
              </w:rPr>
              <w:t>K2 GENPAR L.P.</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8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4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Arial" w:cs="Arial" w:eastAsia="Arial" w:hAnsi="Arial"/>
                <w:sz w:val="18"/>
                <w:szCs w:val="18"/>
                <w:color w:val="auto"/>
              </w:rPr>
              <w:t>K2 GENPAR 2009 INC.</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100"/>
              <w:spacing w:after="0"/>
              <w:rPr>
                <w:sz w:val="20"/>
                <w:szCs w:val="20"/>
                <w:color w:val="auto"/>
              </w:rPr>
            </w:pPr>
            <w:r>
              <w:rPr>
                <w:rFonts w:ascii="Arial" w:cs="Arial" w:eastAsia="Arial" w:hAnsi="Arial"/>
                <w:sz w:val="18"/>
                <w:szCs w:val="18"/>
                <w:color w:val="auto"/>
              </w:rPr>
              <w:t>[_]</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7100" w:type="dxa"/>
            <w:vAlign w:val="bottom"/>
            <w:tcBorders>
              <w:bottom w:val="single" w:sz="8" w:color="auto"/>
            </w:tcBorders>
            <w:gridSpan w:val="6"/>
          </w:tcPr>
          <w:p>
            <w:pPr>
              <w:spacing w:after="0"/>
              <w:rPr>
                <w:sz w:val="15"/>
                <w:szCs w:val="15"/>
                <w:color w:val="auto"/>
              </w:rPr>
            </w:pPr>
          </w:p>
        </w:tc>
        <w:tc>
          <w:tcPr>
            <w:tcW w:w="2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5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SHAWN KIMEL</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8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6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SHAWN KIMEL INVESTMENTS,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8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7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K2 &amp; ASSOCIATES INVESTMENT MANAGEMENT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95" w:lineRule="exact"/>
              <w:rPr>
                <w:sz w:val="20"/>
                <w:szCs w:val="20"/>
                <w:color w:val="auto"/>
              </w:rPr>
            </w:pPr>
            <w:r>
              <w:rPr>
                <w:rFonts w:ascii="Arial" w:cs="Arial" w:eastAsia="Arial" w:hAnsi="Arial"/>
                <w:sz w:val="18"/>
                <w:szCs w:val="18"/>
                <w:color w:val="auto"/>
              </w:rPr>
              <w:t>(a) [_]</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(b) [_]</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400,000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8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8 of 13 Pages</w:t>
            </w:r>
          </w:p>
        </w:tc>
      </w:tr>
      <w:tr>
        <w:trPr>
          <w:trHeight w:val="42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issuer is M I Acquisitions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principal executive offices are located at 40 Wall Street, 58th floor, New York, NY 10005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persons filing this statement are Shawn Kimel (“Kimel”), Shawn Kimel Investments, Inc., an Ontario corporation (“SKI”), The K2 Principal Fund, L.P., an Ontario limited partnership (the “Fund”), K2 GenPar L.P., an Ontario limited partnership (the “GP”), K2 GenPar 2009 Inc., an Ontario corporation (“GenPar 2009”), and K2 &amp; Associates Investment Management Inc., an Ontario corporation (“K2 &amp; Associates,” and together with Kimel, SKI, the Fund, the GP and GenPar 2009, the “Reporting Persons”).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Mr. Kimel is president of each of SKI, the GP, GenPar 2009 and K2 &amp; Associates. The GP is the general partner of the Fund, and GenPar 2009 is the general partner of the GP. GenPar 2009 is a direct wholly-owned subsidiary of SKI. K2 &amp; Associates is a direct 66.5% owned subsidiary of SKI, and is the investment manager of the Fund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2 Bloor St West, Suite 801, Toronto, Ontario, M4W 3E2</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Kimel is a citizen of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Fund and the GP is an Ontario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SKI and GenPar 2009 and K2 &amp; Associates is an Ontario corporation.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Units, each consisting of one share of Common Stock and one Warrant. Common Stock, par value $0.0001 per share. Warrants, each exercisable for one share of Common Stock at an exercise price of $11.50 per share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55304A203</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[_]  Insurance company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9 of 13 Pages</w:t>
            </w:r>
          </w:p>
        </w:tc>
      </w:tr>
    </w:tbl>
    <w:p>
      <w:pPr>
        <w:spacing w:after="0" w:line="20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 240.13d-1(b)(1)(ii)(G);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A non-U.S. institution in accordance with § 240.13d-1(b)(1)(ii)(J);</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[_]  Group, in accordance with § 240.13d-1(b)(1)(ii)(K).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3240" w:type="dxa"/>
            <w:vAlign w:val="bottom"/>
          </w:tcPr>
          <w:p>
            <w:pPr>
              <w:ind w:left="140"/>
              <w:spacing w:after="0"/>
              <w:rPr>
                <w:sz w:val="20"/>
                <w:szCs w:val="20"/>
                <w:color w:val="auto"/>
              </w:rPr>
            </w:pPr>
            <w:r>
              <w:rPr>
                <w:rFonts w:ascii="Arial" w:cs="Arial" w:eastAsia="Arial" w:hAnsi="Arial"/>
                <w:sz w:val="18"/>
                <w:szCs w:val="18"/>
                <w:color w:val="auto"/>
              </w:rPr>
              <w:t>Amount beneficially owned:</w:t>
            </w:r>
          </w:p>
        </w:tc>
        <w:tc>
          <w:tcPr>
            <w:tcW w:w="1600" w:type="dxa"/>
            <w:vAlign w:val="bottom"/>
          </w:tcPr>
          <w:p>
            <w:pPr>
              <w:ind w:left="1020"/>
              <w:spacing w:after="0"/>
              <w:rPr>
                <w:sz w:val="20"/>
                <w:szCs w:val="20"/>
                <w:color w:val="auto"/>
              </w:rPr>
            </w:pPr>
            <w:r>
              <w:rPr>
                <w:rFonts w:ascii="Arial" w:cs="Arial" w:eastAsia="Arial" w:hAnsi="Arial"/>
                <w:sz w:val="18"/>
                <w:szCs w:val="18"/>
                <w:color w:val="auto"/>
                <w:w w:val="86"/>
              </w:rPr>
              <w:t>400,000</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324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1600" w:type="dxa"/>
            <w:vAlign w:val="bottom"/>
          </w:tcPr>
          <w:p>
            <w:pPr>
              <w:ind w:left="1020"/>
              <w:spacing w:after="0"/>
              <w:rPr>
                <w:sz w:val="20"/>
                <w:szCs w:val="20"/>
                <w:color w:val="auto"/>
              </w:rPr>
            </w:pPr>
            <w:r>
              <w:rPr>
                <w:rFonts w:ascii="Arial" w:cs="Arial" w:eastAsia="Arial" w:hAnsi="Arial"/>
                <w:sz w:val="18"/>
                <w:szCs w:val="18"/>
                <w:color w:val="auto"/>
              </w:rPr>
              <w:t>7.4%</w:t>
            </w:r>
          </w:p>
        </w:tc>
      </w:tr>
    </w:tbl>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GenPar L.P.</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400,000</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7.4%</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400,000</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102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4820" w:type="dxa"/>
            <w:vAlign w:val="bottom"/>
          </w:tcPr>
          <w:p>
            <w:pPr>
              <w:ind w:left="720"/>
              <w:spacing w:after="0"/>
              <w:rPr>
                <w:sz w:val="20"/>
                <w:szCs w:val="20"/>
                <w:color w:val="auto"/>
              </w:rPr>
            </w:pPr>
            <w:r>
              <w:rPr>
                <w:rFonts w:ascii="Arial" w:cs="Arial" w:eastAsia="Arial" w:hAnsi="Arial"/>
                <w:sz w:val="18"/>
                <w:szCs w:val="18"/>
                <w:color w:val="auto"/>
              </w:rPr>
              <w:t>400,000</w:t>
            </w:r>
          </w:p>
        </w:tc>
      </w:tr>
      <w:tr>
        <w:trPr>
          <w:trHeight w:val="432"/>
        </w:trPr>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K2 GenPar 2009 Inc.</w:t>
            </w: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1020" w:type="dxa"/>
            <w:vAlign w:val="bottom"/>
          </w:tcPr>
          <w:p>
            <w:pPr>
              <w:ind w:left="660"/>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jc w:val="right"/>
              <w:ind w:right="650"/>
              <w:spacing w:after="0"/>
              <w:rPr>
                <w:sz w:val="20"/>
                <w:szCs w:val="20"/>
                <w:color w:val="auto"/>
              </w:rPr>
            </w:pPr>
            <w:r>
              <w:rPr>
                <w:rFonts w:ascii="Arial" w:cs="Arial" w:eastAsia="Arial" w:hAnsi="Arial"/>
                <w:sz w:val="18"/>
                <w:szCs w:val="18"/>
                <w:color w:val="auto"/>
                <w:w w:val="89"/>
              </w:rPr>
              <w:t>400,000</w:t>
            </w:r>
          </w:p>
        </w:tc>
        <w:tc>
          <w:tcPr>
            <w:tcW w:w="4820" w:type="dxa"/>
            <w:vAlign w:val="bottom"/>
          </w:tcPr>
          <w:p>
            <w:pPr>
              <w:spacing w:after="0"/>
              <w:rPr>
                <w:sz w:val="24"/>
                <w:szCs w:val="24"/>
                <w:color w:val="auto"/>
              </w:rPr>
            </w:pPr>
          </w:p>
        </w:tc>
      </w:tr>
      <w:tr>
        <w:trPr>
          <w:trHeight w:val="648"/>
        </w:trPr>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6"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10 of 13 Pages</w:t>
            </w:r>
          </w:p>
        </w:tc>
      </w:tr>
      <w:tr>
        <w:trPr>
          <w:trHeight w:val="426"/>
        </w:trPr>
        <w:tc>
          <w:tcPr>
            <w:tcW w:w="3800" w:type="dxa"/>
            <w:vAlign w:val="bottom"/>
          </w:tcPr>
          <w:p>
            <w:pPr>
              <w:ind w:left="660"/>
              <w:spacing w:after="0"/>
              <w:rPr>
                <w:sz w:val="20"/>
                <w:szCs w:val="20"/>
                <w:color w:val="auto"/>
              </w:rPr>
            </w:pPr>
            <w:r>
              <w:rPr>
                <w:rFonts w:ascii="Arial" w:cs="Arial" w:eastAsia="Arial" w:hAnsi="Arial"/>
                <w:sz w:val="18"/>
                <w:szCs w:val="18"/>
                <w:color w:val="auto"/>
              </w:rPr>
              <w:t>(b)    Percent of class:</w:t>
            </w:r>
          </w:p>
        </w:tc>
        <w:tc>
          <w:tcPr>
            <w:tcW w:w="3880" w:type="dxa"/>
            <w:vAlign w:val="bottom"/>
          </w:tcPr>
          <w:p>
            <w:pPr>
              <w:jc w:val="right"/>
              <w:ind w:right="1930"/>
              <w:spacing w:after="0"/>
              <w:rPr>
                <w:sz w:val="20"/>
                <w:szCs w:val="20"/>
                <w:color w:val="auto"/>
              </w:rPr>
            </w:pPr>
            <w:r>
              <w:rPr>
                <w:rFonts w:ascii="Arial" w:cs="Arial" w:eastAsia="Arial" w:hAnsi="Arial"/>
                <w:sz w:val="18"/>
                <w:szCs w:val="18"/>
                <w:color w:val="auto"/>
              </w:rPr>
              <w:t>7.4%</w:t>
            </w:r>
          </w:p>
        </w:tc>
        <w:tc>
          <w:tcPr>
            <w:tcW w:w="3740" w:type="dxa"/>
            <w:vAlign w:val="bottom"/>
          </w:tcPr>
          <w:p>
            <w:pPr>
              <w:spacing w:after="0"/>
              <w:rPr>
                <w:sz w:val="24"/>
                <w:szCs w:val="24"/>
                <w:color w:val="auto"/>
              </w:rPr>
            </w:pPr>
          </w:p>
        </w:tc>
      </w:tr>
    </w:tbl>
    <w:p>
      <w:pPr>
        <w:ind w:left="1160" w:hanging="50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Shawn Kimel</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400,000</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7.4%</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Shawn Kimel Investments,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400,000</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7.4%</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400,000</w:t>
            </w:r>
          </w:p>
        </w:tc>
      </w:tr>
      <w:tr>
        <w:trPr>
          <w:trHeight w:val="648"/>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&amp; Associates Investment Management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400,000</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7.4%</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400,000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400,000</w:t>
            </w:r>
          </w:p>
        </w:tc>
      </w:tr>
    </w:tbl>
    <w:p>
      <w:pPr>
        <w:spacing w:after="0" w:line="20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400,000 shares of the Issuer's units are held of record (and may be deemed to be beneficially owned) by The K2 Principal Fund, L.P. See Item 2(a) above for a description of the corporate structure of the Reporting Persons. Each of the Reporting Persons may be deemed to be beneficial owners of the 400,000 units that are held by The K2 Principal Fund, L.P. Mr. Shawn Kimel is president of each of SKI, the GP, GenPar 2009 and K2 and Associates, and exercises ultimate voting and investment powers over the 400,000 shares of the Issuer's Units that are held of record by The K2 Principal Fund, L.P.</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percentages used in this Schedule 13G are calculated based upon the total of 5,402,500 units outstanding. This total includes the offering of 5,000,000 units that were issued and outstanding as of September 15, 2016, in addition to the 402,500 private units issued to the insiders (and or their designees), as reported in the prospectus of the Issuer, which was filed with the SEC on September 15, 2016.</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[_].</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Page 11 of 13 Pages</w:t>
            </w:r>
          </w:p>
        </w:tc>
      </w:tr>
      <w:tr>
        <w:trPr>
          <w:trHeight w:val="426"/>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Notice of Dissolution of Group.</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12 of 13 Pages</w:t>
            </w:r>
          </w:p>
        </w:tc>
      </w:tr>
      <w:tr>
        <w:trPr>
          <w:trHeight w:val="426"/>
        </w:trPr>
        <w:tc>
          <w:tcPr>
            <w:tcW w:w="3800" w:type="dxa"/>
            <w:vAlign w:val="bottom"/>
          </w:tcPr>
          <w:p>
            <w:pPr>
              <w:spacing w:after="0"/>
              <w:rPr>
                <w:sz w:val="24"/>
                <w:szCs w:val="24"/>
                <w:color w:val="auto"/>
              </w:rPr>
            </w:pPr>
          </w:p>
        </w:tc>
        <w:tc>
          <w:tcPr>
            <w:tcW w:w="3880" w:type="dxa"/>
            <w:vAlign w:val="bottom"/>
          </w:tcPr>
          <w:p>
            <w:pPr>
              <w:jc w:val="right"/>
              <w:ind w:right="1350"/>
              <w:spacing w:after="0"/>
              <w:rPr>
                <w:sz w:val="20"/>
                <w:szCs w:val="20"/>
                <w:color w:val="auto"/>
              </w:rPr>
            </w:pPr>
            <w:r>
              <w:rPr>
                <w:rFonts w:ascii="Arial" w:cs="Arial" w:eastAsia="Arial" w:hAnsi="Arial"/>
                <w:sz w:val="18"/>
                <w:szCs w:val="18"/>
                <w:b w:val="1"/>
                <w:bCs w:val="1"/>
                <w:color w:val="auto"/>
              </w:rPr>
              <w:t>SIGNATURE</w:t>
            </w: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Shawn Kimel</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Shawn Kimel</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55304A203</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13 of 13 Pages</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2016</w:t>
      </w:r>
    </w:p>
    <w:p>
      <w:pPr>
        <w:sectPr>
          <w:pgSz w:w="11900" w:h="16838" w:orient="portrait"/>
          <w:cols w:equalWidth="0" w:num="1">
            <w:col w:w="11420"/>
          </w:cols>
          <w:pgMar w:left="240" w:top="876" w:right="239" w:bottom="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Shawn Kimel</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Shawn Kimel</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Shawn Kimel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Kimel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Shawn Kimel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Shawn Kimel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Shawn Kimel, 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2020-01-21T09:11:42Z</dcterms:created>
  <dcterms:modified xsi:type="dcterms:W3CDTF">2020-01-21T09:11:42Z</dcterms:modified>
</cp:coreProperties>
</file>