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restart"/>
          </w:tcPr>
          <w:p>
            <w:pPr>
              <w:spacing w:after="0"/>
              <w:rPr>
                <w:rFonts w:ascii="Arial" w:cs="Arial" w:eastAsia="Arial" w:hAnsi="Arial"/>
                <w:sz w:val="21"/>
                <w:szCs w:val="21"/>
                <w:u w:val="single" w:color="auto"/>
                <w:color w:val="0000EE"/>
                <w:w w:val="94"/>
              </w:rPr>
            </w:pPr>
            <w:hyperlink r:id="rId13">
              <w:r>
                <w:rPr>
                  <w:rFonts w:ascii="Arial" w:cs="Arial" w:eastAsia="Arial" w:hAnsi="Arial"/>
                  <w:sz w:val="21"/>
                  <w:szCs w:val="21"/>
                  <w:u w:val="single" w:color="auto"/>
                  <w:color w:val="0000EE"/>
                  <w:w w:val="94"/>
                </w:rPr>
                <w:t>Kiewiet Sean</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Priority Technology Holdings,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8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820" w:type="dxa"/>
            <w:vAlign w:val="bottom"/>
            <w:vMerge w:val="restart"/>
          </w:tcPr>
          <w:p>
            <w:pPr>
              <w:ind w:left="4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10/28/2020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ALPHARETTA GA</w:t>
            </w:r>
          </w:p>
        </w:tc>
        <w:tc>
          <w:tcPr>
            <w:tcW w:w="1600" w:type="dxa"/>
            <w:vAlign w:val="bottom"/>
          </w:tcPr>
          <w:p>
            <w:pPr>
              <w:ind w:left="400"/>
              <w:spacing w:after="0"/>
              <w:rPr>
                <w:sz w:val="20"/>
                <w:szCs w:val="20"/>
                <w:color w:val="auto"/>
              </w:rPr>
            </w:pPr>
            <w:r>
              <w:rPr>
                <w:rFonts w:ascii="Arial" w:cs="Arial" w:eastAsia="Arial" w:hAnsi="Arial"/>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10/28/2020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5,185</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2.7181</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2,081,659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10b5-trading plan adopted by the Reporting Person.</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$2.70 to $2.74,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Sean Kiewiet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10/30/2020</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2020-10-30T19:29:19Z</dcterms:created>
  <dcterms:modified xsi:type="dcterms:W3CDTF">2020-10-30T19:29:19Z</dcterms:modified>
</cp:coreProperties>
</file>