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In connection with the transaction between Priority and M I, M I has filed a preliminary proxy statement on Schedule 14A with the Securities and Exchange Commission (the “SEC”),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b w:val="1"/>
          <w:bCs w:val="1"/>
          <w:color w:val="auto"/>
        </w:rPr>
        <w:t>A further list and description of risks and uncertainties can be found in M I’s Annual Report on Form 10-K for the fiscal year ending December 31, 2017 that M I filed with the SEC and in the preliminary proxy statement on Schedule 14A that M I filed with the SEC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As previously reported by M I Acquisitions, Inc. (“M I”), on February 26, 2018, M I, entered into a contribution agreement (the “Purchase Agreement”) with Priority Investment Holdings, LLC and Priority Incentive Equity Holdings, LLC (collectively, the “Interest Holders”) to acquire all of the outstanding equity interests of Priority Holdings, LLC (“Priority” or the “Company”), a leading provider of B2C and B2B payment processing solutions, which was previously amended and restated on March 26, 2018. On April 17, 2018, the parties entered into a Second Amended and Restated Contribution Agreement (the “Second Amendment”). The Second Amendment:</w:t>
      </w:r>
    </w:p>
    <w:p>
      <w:pPr>
        <w:spacing w:after="0" w:line="188" w:lineRule="exact"/>
        <w:rPr>
          <w:sz w:val="20"/>
          <w:szCs w:val="20"/>
          <w:color w:val="auto"/>
        </w:rPr>
      </w:pPr>
    </w:p>
    <w:p>
      <w:pPr>
        <w:ind w:left="980" w:right="220" w:hanging="324"/>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clarified that the calculation of Priority’s enterprise value should also take into account any acquisitions for which Priority has contracted to acquire prior to closing of the business combination so long as the only factor preventing closing of those acquisitions is that the cash and/or other consideration has not yet been paid and those acquisitions are completed within 30 days of the closing of the business combination; and</w:t>
      </w:r>
    </w:p>
    <w:p>
      <w:pPr>
        <w:spacing w:after="0" w:line="146"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clarified the treatment of a certain currently outstanding warrant that entitles the holder to acquire certain Priority equity interests as it relates to the payment of the consideration under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full description of the Purchase Agreement, please see the preliminary proxy statement on Schedule 14A filed by M I on April 19, 2018.</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April 19, 2018, M I issued a promissory note in the aggregate principal amount of $76,771.06 to Priority. The funds received pursuant to the promissory note were used to pay the filing fee for the preliminary proxy statement filed by M I on April 19, 2018. The note does not bear interest and is payable five business days after the date M I completes a business combination. The following events constitute events of default under the notes:</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0"/>
                <w:szCs w:val="20"/>
                <w:color w:val="auto"/>
              </w:rPr>
            </w:pPr>
          </w:p>
        </w:tc>
        <w:tc>
          <w:tcPr>
            <w:tcW w:w="10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Pr>
          <w:p>
            <w:pPr>
              <w:spacing w:after="0"/>
              <w:rPr>
                <w:rFonts w:ascii="Arial" w:cs="Arial" w:eastAsia="Arial" w:hAnsi="Arial"/>
                <w:sz w:val="18"/>
                <w:szCs w:val="18"/>
                <w:color w:val="0000EE"/>
                <w:w w:val="87"/>
              </w:rPr>
            </w:pPr>
            <w:hyperlink r:id="rId1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w w:val="92"/>
              </w:rPr>
            </w:pPr>
            <w:hyperlink r:id="rId12">
              <w:r>
                <w:rPr>
                  <w:rFonts w:ascii="Arial" w:cs="Arial" w:eastAsia="Arial" w:hAnsi="Arial"/>
                  <w:sz w:val="18"/>
                  <w:szCs w:val="18"/>
                  <w:color w:val="0000EE"/>
                  <w:w w:val="92"/>
                </w:rPr>
                <w:t>Second Amended and Restated Contribution Agreement (Incorporated by reference to Annex A to the Preliminary Proxy Statement filed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2">
              <w:r>
                <w:rPr>
                  <w:rFonts w:ascii="Arial" w:cs="Arial" w:eastAsia="Arial" w:hAnsi="Arial"/>
                  <w:sz w:val="18"/>
                  <w:szCs w:val="18"/>
                  <w:color w:val="0000EE"/>
                </w:rPr>
                <w:t>M I on April 19, 2018)</w:t>
              </w:r>
            </w:hyperlink>
          </w:p>
        </w:tc>
        <w:tc>
          <w:tcPr>
            <w:tcW w:w="18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412"/>
        </w:trPr>
        <w:tc>
          <w:tcPr>
            <w:tcW w:w="10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Promissory Note dated April 19, 2018</w:t>
              </w:r>
            </w:hyperlink>
          </w:p>
        </w:tc>
      </w:tr>
      <w:tr>
        <w:trPr>
          <w:trHeight w:val="581"/>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ind w:left="100"/>
        <w:spacing w:after="0"/>
        <w:tabs>
          <w:tab w:leader="none" w:pos="9260" w:val="left"/>
        </w:tabs>
        <w:rPr>
          <w:sz w:val="20"/>
          <w:szCs w:val="20"/>
          <w:color w:val="auto"/>
        </w:rPr>
      </w:pPr>
      <w:r>
        <w:rPr>
          <w:rFonts w:ascii="Arial" w:cs="Arial" w:eastAsia="Arial" w:hAnsi="Arial"/>
          <w:sz w:val="18"/>
          <w:szCs w:val="18"/>
          <w:color w:val="auto"/>
        </w:rPr>
        <w:t>Principal Amount: $76,771.06</w:t>
      </w:r>
      <w:r>
        <w:rPr>
          <w:sz w:val="20"/>
          <w:szCs w:val="20"/>
          <w:color w:val="auto"/>
        </w:rPr>
        <w:tab/>
      </w:r>
      <w:r>
        <w:rPr>
          <w:rFonts w:ascii="Arial" w:cs="Arial" w:eastAsia="Arial" w:hAnsi="Arial"/>
          <w:sz w:val="24"/>
          <w:szCs w:val="24"/>
          <w:color w:val="auto"/>
          <w:vertAlign w:val="subscript"/>
        </w:rPr>
        <w:t>Dated as of April 19</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93"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Priority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Seventy Six Thousand Seven Hundred Seventy One Dollars and Six Cents ($76,771.06)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1292" w:right="60" w:hanging="644"/>
        <w:spacing w:after="0" w:line="258"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8"/>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7" w:name="page8"/>
    <w:bookmarkEnd w:id="7"/>
    <w:p>
      <w:pPr>
        <w:ind w:left="660" w:right="480" w:hanging="652"/>
        <w:spacing w:after="0" w:line="314" w:lineRule="auto"/>
        <w:tabs>
          <w:tab w:leader="none" w:pos="660" w:val="left"/>
        </w:tabs>
        <w:numPr>
          <w:ilvl w:val="0"/>
          <w:numId w:val="9"/>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8" w:name="page9"/>
    <w:bookmarkEnd w:id="8"/>
    <w:p>
      <w:pPr>
        <w:ind w:left="660" w:right="20" w:hanging="652"/>
        <w:spacing w:after="0" w:line="282"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abstractNum>
  <w:abstractNum w:abstractNumId="7">
    <w:nsid w:val="12200854"/>
    <w:multiLevelType w:val="hybridMultilevel"/>
    <w:lvl w:ilvl="0">
      <w:lvlJc w:val="left"/>
      <w:lvlText w:val="%1."/>
      <w:numFmt w:val="decimal"/>
      <w:start w:val="5"/>
    </w:lvl>
    <w:lvl w:ilvl="1">
      <w:lvlJc w:val="left"/>
      <w:lvlText w:val="(%2)"/>
      <w:numFmt w:val="lowerLetter"/>
      <w:start w:val="1"/>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2" Type="http://schemas.openxmlformats.org/officeDocument/2006/relationships/hyperlink" Target="http://www.sec.gov/Archives/edgar/data/1653558/000161577418002735/s109695_prem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2020-01-15T03:01:48Z</dcterms:created>
  <dcterms:modified xsi:type="dcterms:W3CDTF">2020-01-15T03:01:48Z</dcterms:modified>
</cp:coreProperties>
</file>