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52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2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Kumar Rajiv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20,575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01/05/2024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8,334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8,334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16,666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-2184400</wp:posOffset>
            </wp:positionV>
            <wp:extent cx="29210" cy="2189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8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5, 2022, the Reporting Person was granted 75,000 restricted stock units. 75,000 vest subject to the Reporting Person's continued service as an employee of the Issuer as follows: 12,500 on January 5, 2023; 12,500 on January 5, 2024;12,500 on January 5, 2025; and 12,500 on January 5, 2026.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5, 2022, the Reporting Person was granted 25,000 restricted stock units. 25,000 vest subject to the Reporting Person's continued service as an employee of the Issuer as follows: 8,334 on January 5, 2024; 8,333 on January 5, 2025; and 8,333 on January 5, 2026.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Bradley J. Miller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342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-1905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09823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2024-01-09T17:41:21Z</dcterms:created>
  <dcterms:modified xsi:type="dcterms:W3CDTF">2024-01-09T17:41:21Z</dcterms:modified>
</cp:coreProperties>
</file>