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920" w:type="dxa"/>
            <w:vAlign w:val="bottom"/>
            <w:gridSpan w:val="6"/>
          </w:tcPr>
          <w:p>
            <w:pPr>
              <w:jc w:val="center"/>
              <w:ind w:right="1380"/>
              <w:spacing w:after="0"/>
              <w:rPr>
                <w:sz w:val="20"/>
                <w:szCs w:val="20"/>
                <w:color w:val="auto"/>
              </w:rPr>
            </w:pPr>
            <w:r>
              <w:rPr>
                <w:rFonts w:ascii="Arial" w:cs="Arial" w:eastAsia="Arial" w:hAnsi="Arial"/>
                <w:sz w:val="17"/>
                <w:szCs w:val="17"/>
                <w:b w:val="1"/>
                <w:bCs w:val="1"/>
                <w:color w:val="auto"/>
                <w:w w:val="93"/>
              </w:rPr>
              <w:t>Form 8-K</w:t>
            </w:r>
          </w:p>
        </w:tc>
        <w:tc>
          <w:tcPr>
            <w:tcW w:w="3560" w:type="dxa"/>
            <w:vAlign w:val="bottom"/>
          </w:tcPr>
          <w:p>
            <w:pPr>
              <w:spacing w:after="0"/>
              <w:rPr>
                <w:sz w:val="18"/>
                <w:szCs w:val="18"/>
                <w:color w:val="auto"/>
              </w:rPr>
            </w:pPr>
          </w:p>
        </w:tc>
      </w:tr>
      <w:tr>
        <w:trPr>
          <w:trHeight w:val="382"/>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20" w:type="dxa"/>
            <w:vAlign w:val="bottom"/>
            <w:gridSpan w:val="6"/>
          </w:tcPr>
          <w:p>
            <w:pPr>
              <w:jc w:val="center"/>
              <w:ind w:right="1360"/>
              <w:spacing w:after="0"/>
              <w:rPr>
                <w:sz w:val="20"/>
                <w:szCs w:val="20"/>
                <w:color w:val="auto"/>
              </w:rPr>
            </w:pPr>
            <w:r>
              <w:rPr>
                <w:rFonts w:ascii="Arial" w:cs="Arial" w:eastAsia="Arial" w:hAnsi="Arial"/>
                <w:sz w:val="17"/>
                <w:szCs w:val="17"/>
                <w:b w:val="1"/>
                <w:bCs w:val="1"/>
                <w:color w:val="auto"/>
                <w:w w:val="92"/>
              </w:rPr>
              <w:t>Current Report</w:t>
            </w:r>
          </w:p>
        </w:tc>
        <w:tc>
          <w:tcPr>
            <w:tcW w:w="356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gridSpan w:val="7"/>
          </w:tcPr>
          <w:p>
            <w:pPr>
              <w:jc w:val="center"/>
              <w:ind w:right="340"/>
              <w:spacing w:after="0"/>
              <w:rPr>
                <w:sz w:val="20"/>
                <w:szCs w:val="20"/>
                <w:color w:val="auto"/>
              </w:rPr>
            </w:pPr>
            <w:r>
              <w:rPr>
                <w:rFonts w:ascii="Arial" w:cs="Arial" w:eastAsia="Arial" w:hAnsi="Arial"/>
                <w:sz w:val="17"/>
                <w:szCs w:val="17"/>
                <w:b w:val="1"/>
                <w:bCs w:val="1"/>
                <w:color w:val="auto"/>
                <w:w w:val="87"/>
              </w:rPr>
              <w:t>Pursuant to Section 13 or 15(d) of the</w:t>
            </w:r>
          </w:p>
        </w:tc>
        <w:tc>
          <w:tcPr>
            <w:tcW w:w="35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gridSpan w:val="7"/>
          </w:tcPr>
          <w:p>
            <w:pPr>
              <w:jc w:val="center"/>
              <w:ind w:right="340"/>
              <w:spacing w:after="0"/>
              <w:rPr>
                <w:sz w:val="20"/>
                <w:szCs w:val="20"/>
                <w:color w:val="auto"/>
              </w:rPr>
            </w:pPr>
            <w:r>
              <w:rPr>
                <w:rFonts w:ascii="Arial" w:cs="Arial" w:eastAsia="Arial" w:hAnsi="Arial"/>
                <w:sz w:val="17"/>
                <w:szCs w:val="17"/>
                <w:b w:val="1"/>
                <w:bCs w:val="1"/>
                <w:color w:val="auto"/>
                <w:w w:val="86"/>
              </w:rPr>
              <w:t>Securities Exchange Act of 1934</w:t>
            </w:r>
          </w:p>
        </w:tc>
        <w:tc>
          <w:tcPr>
            <w:tcW w:w="3560" w:type="dxa"/>
            <w:vAlign w:val="bottom"/>
          </w:tcPr>
          <w:p>
            <w:pPr>
              <w:spacing w:after="0"/>
              <w:rPr>
                <w:sz w:val="18"/>
                <w:szCs w:val="18"/>
                <w:color w:val="auto"/>
              </w:rPr>
            </w:pPr>
          </w:p>
        </w:tc>
      </w:tr>
      <w:tr>
        <w:trPr>
          <w:trHeight w:val="38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20" w:type="dxa"/>
            <w:vAlign w:val="bottom"/>
            <w:gridSpan w:val="6"/>
          </w:tcPr>
          <w:p>
            <w:pPr>
              <w:jc w:val="center"/>
              <w:ind w:right="1380"/>
              <w:spacing w:after="0"/>
              <w:rPr>
                <w:sz w:val="20"/>
                <w:szCs w:val="20"/>
                <w:color w:val="auto"/>
              </w:rPr>
            </w:pPr>
            <w:r>
              <w:rPr>
                <w:rFonts w:ascii="Arial" w:cs="Arial" w:eastAsia="Arial" w:hAnsi="Arial"/>
                <w:sz w:val="17"/>
                <w:szCs w:val="17"/>
                <w:b w:val="1"/>
                <w:bCs w:val="1"/>
                <w:color w:val="auto"/>
                <w:w w:val="90"/>
              </w:rPr>
              <w:t>February 26, 2018</w:t>
            </w:r>
          </w:p>
        </w:tc>
        <w:tc>
          <w:tcPr>
            <w:tcW w:w="35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gridSpan w:val="7"/>
          </w:tcPr>
          <w:p>
            <w:pPr>
              <w:jc w:val="center"/>
              <w:ind w:right="340"/>
              <w:spacing w:after="0"/>
              <w:rPr>
                <w:sz w:val="20"/>
                <w:szCs w:val="20"/>
                <w:color w:val="auto"/>
              </w:rPr>
            </w:pPr>
            <w:r>
              <w:rPr>
                <w:rFonts w:ascii="Arial" w:cs="Arial" w:eastAsia="Arial" w:hAnsi="Arial"/>
                <w:sz w:val="17"/>
                <w:szCs w:val="17"/>
                <w:color w:val="auto"/>
                <w:w w:val="88"/>
              </w:rPr>
              <w:t>Date of Report (Date of earliest event reported)</w:t>
            </w:r>
          </w:p>
        </w:tc>
        <w:tc>
          <w:tcPr>
            <w:tcW w:w="3560" w:type="dxa"/>
            <w:vAlign w:val="bottom"/>
          </w:tcPr>
          <w:p>
            <w:pPr>
              <w:spacing w:after="0"/>
              <w:rPr>
                <w:sz w:val="18"/>
                <w:szCs w:val="18"/>
                <w:color w:val="auto"/>
              </w:rPr>
            </w:pPr>
          </w:p>
        </w:tc>
      </w:tr>
      <w:tr>
        <w:trPr>
          <w:trHeight w:val="361"/>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20" w:type="dxa"/>
            <w:vAlign w:val="bottom"/>
            <w:gridSpan w:val="6"/>
          </w:tcPr>
          <w:p>
            <w:pPr>
              <w:jc w:val="center"/>
              <w:ind w:right="1380"/>
              <w:spacing w:after="0"/>
              <w:rPr>
                <w:sz w:val="20"/>
                <w:szCs w:val="20"/>
                <w:color w:val="auto"/>
              </w:rPr>
            </w:pPr>
            <w:r>
              <w:rPr>
                <w:rFonts w:ascii="Arial" w:cs="Arial" w:eastAsia="Arial" w:hAnsi="Arial"/>
                <w:sz w:val="17"/>
                <w:szCs w:val="17"/>
                <w:b w:val="1"/>
                <w:bCs w:val="1"/>
                <w:color w:val="auto"/>
                <w:w w:val="91"/>
              </w:rPr>
              <w:t>M I Acquisitions, Inc.</w:t>
            </w:r>
          </w:p>
        </w:tc>
        <w:tc>
          <w:tcPr>
            <w:tcW w:w="35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gridSpan w:val="3"/>
            <w:shd w:val="clear" w:color="auto" w:fill="00000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gridSpan w:val="7"/>
          </w:tcPr>
          <w:p>
            <w:pPr>
              <w:jc w:val="center"/>
              <w:ind w:right="340"/>
              <w:spacing w:after="0"/>
              <w:rPr>
                <w:sz w:val="20"/>
                <w:szCs w:val="20"/>
                <w:color w:val="auto"/>
              </w:rPr>
            </w:pPr>
            <w:r>
              <w:rPr>
                <w:rFonts w:ascii="Arial" w:cs="Arial" w:eastAsia="Arial" w:hAnsi="Arial"/>
                <w:sz w:val="17"/>
                <w:szCs w:val="17"/>
                <w:color w:val="auto"/>
                <w:w w:val="88"/>
              </w:rPr>
              <w:t>(Exact Name of Registrant as Specified in its Charter)</w:t>
            </w:r>
          </w:p>
        </w:tc>
        <w:tc>
          <w:tcPr>
            <w:tcW w:w="3560" w:type="dxa"/>
            <w:vAlign w:val="bottom"/>
          </w:tcPr>
          <w:p>
            <w:pPr>
              <w:spacing w:after="0"/>
              <w:rPr>
                <w:sz w:val="18"/>
                <w:szCs w:val="18"/>
                <w:color w:val="auto"/>
              </w:rPr>
            </w:pPr>
          </w:p>
        </w:tc>
      </w:tr>
      <w:tr>
        <w:trPr>
          <w:trHeight w:val="411"/>
        </w:trPr>
        <w:tc>
          <w:tcPr>
            <w:tcW w:w="20" w:type="dxa"/>
            <w:vAlign w:val="bottom"/>
          </w:tcPr>
          <w:p>
            <w:pPr>
              <w:spacing w:after="0"/>
              <w:rPr>
                <w:sz w:val="24"/>
                <w:szCs w:val="24"/>
                <w:color w:val="auto"/>
              </w:rPr>
            </w:pPr>
          </w:p>
        </w:tc>
        <w:tc>
          <w:tcPr>
            <w:tcW w:w="388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8"/>
              </w:rPr>
              <w:t>Delaware</w:t>
            </w:r>
          </w:p>
        </w:tc>
        <w:tc>
          <w:tcPr>
            <w:tcW w:w="2580" w:type="dxa"/>
            <w:vAlign w:val="bottom"/>
            <w:gridSpan w:val="4"/>
          </w:tcPr>
          <w:p>
            <w:pPr>
              <w:jc w:val="right"/>
              <w:ind w:right="520"/>
              <w:spacing w:after="0"/>
              <w:rPr>
                <w:sz w:val="20"/>
                <w:szCs w:val="20"/>
                <w:color w:val="auto"/>
              </w:rPr>
            </w:pPr>
            <w:r>
              <w:rPr>
                <w:rFonts w:ascii="Arial" w:cs="Arial" w:eastAsia="Arial" w:hAnsi="Arial"/>
                <w:sz w:val="17"/>
                <w:szCs w:val="17"/>
                <w:b w:val="1"/>
                <w:bCs w:val="1"/>
                <w:color w:val="auto"/>
              </w:rPr>
              <w:t>001-37872</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60" w:type="dxa"/>
            <w:vAlign w:val="bottom"/>
          </w:tcPr>
          <w:p>
            <w:pPr>
              <w:jc w:val="right"/>
              <w:ind w:right="1497"/>
              <w:spacing w:after="0"/>
              <w:rPr>
                <w:sz w:val="20"/>
                <w:szCs w:val="20"/>
                <w:color w:val="auto"/>
              </w:rPr>
            </w:pPr>
            <w:r>
              <w:rPr>
                <w:rFonts w:ascii="Arial" w:cs="Arial" w:eastAsia="Arial" w:hAnsi="Arial"/>
                <w:sz w:val="17"/>
                <w:szCs w:val="17"/>
                <w:b w:val="1"/>
                <w:bCs w:val="1"/>
                <w:color w:val="auto"/>
              </w:rPr>
              <w:t>47-4257046</w:t>
            </w:r>
          </w:p>
        </w:tc>
      </w:tr>
      <w:tr>
        <w:trPr>
          <w:trHeight w:val="204"/>
        </w:trPr>
        <w:tc>
          <w:tcPr>
            <w:tcW w:w="20" w:type="dxa"/>
            <w:vAlign w:val="bottom"/>
          </w:tcPr>
          <w:p>
            <w:pPr>
              <w:spacing w:after="0"/>
              <w:rPr>
                <w:sz w:val="17"/>
                <w:szCs w:val="17"/>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(State or other jurisdiction of incorporation)</w:t>
            </w:r>
          </w:p>
        </w:tc>
        <w:tc>
          <w:tcPr>
            <w:tcW w:w="140" w:type="dxa"/>
            <w:vAlign w:val="bottom"/>
          </w:tcPr>
          <w:p>
            <w:pPr>
              <w:spacing w:after="0"/>
              <w:rPr>
                <w:sz w:val="17"/>
                <w:szCs w:val="17"/>
                <w:color w:val="auto"/>
              </w:rPr>
            </w:pPr>
          </w:p>
        </w:tc>
        <w:tc>
          <w:tcPr>
            <w:tcW w:w="3400" w:type="dxa"/>
            <w:vAlign w:val="bottom"/>
            <w:tcBorders>
              <w:top w:val="single" w:sz="8" w:color="auto"/>
            </w:tcBorders>
            <w:gridSpan w:val="5"/>
          </w:tcPr>
          <w:p>
            <w:pPr>
              <w:jc w:val="center"/>
              <w:spacing w:after="0"/>
              <w:rPr>
                <w:sz w:val="20"/>
                <w:szCs w:val="20"/>
                <w:color w:val="auto"/>
              </w:rPr>
            </w:pPr>
            <w:r>
              <w:rPr>
                <w:rFonts w:ascii="Arial" w:cs="Arial" w:eastAsia="Arial" w:hAnsi="Arial"/>
                <w:sz w:val="17"/>
                <w:szCs w:val="17"/>
                <w:color w:val="auto"/>
                <w:w w:val="90"/>
              </w:rPr>
              <w:t>(Commission File Number)</w:t>
            </w:r>
          </w:p>
        </w:tc>
        <w:tc>
          <w:tcPr>
            <w:tcW w:w="1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ind w:left="360"/>
              <w:spacing w:after="0"/>
              <w:rPr>
                <w:sz w:val="20"/>
                <w:szCs w:val="20"/>
                <w:color w:val="auto"/>
              </w:rPr>
            </w:pPr>
            <w:r>
              <w:rPr>
                <w:rFonts w:ascii="Arial" w:cs="Arial" w:eastAsia="Arial" w:hAnsi="Arial"/>
                <w:sz w:val="17"/>
                <w:szCs w:val="17"/>
                <w:color w:val="auto"/>
              </w:rPr>
              <w:t>(I.R.S. Employer Identification No.)</w:t>
            </w:r>
          </w:p>
        </w:tc>
      </w:tr>
      <w:tr>
        <w:trPr>
          <w:trHeight w:val="419"/>
        </w:trPr>
        <w:tc>
          <w:tcPr>
            <w:tcW w:w="20" w:type="dxa"/>
            <w:vAlign w:val="bottom"/>
          </w:tcPr>
          <w:p>
            <w:pPr>
              <w:spacing w:after="0"/>
              <w:rPr>
                <w:sz w:val="24"/>
                <w:szCs w:val="24"/>
                <w:color w:val="auto"/>
              </w:rPr>
            </w:pPr>
          </w:p>
        </w:tc>
        <w:tc>
          <w:tcPr>
            <w:tcW w:w="3880" w:type="dxa"/>
            <w:vAlign w:val="bottom"/>
            <w:gridSpan w:val="2"/>
          </w:tcPr>
          <w:p>
            <w:pPr>
              <w:jc w:val="center"/>
              <w:ind w:left="1597"/>
              <w:spacing w:after="0"/>
              <w:rPr>
                <w:sz w:val="20"/>
                <w:szCs w:val="20"/>
                <w:color w:val="auto"/>
              </w:rPr>
            </w:pPr>
            <w:r>
              <w:rPr>
                <w:rFonts w:ascii="Arial" w:cs="Arial" w:eastAsia="Arial" w:hAnsi="Arial"/>
                <w:sz w:val="17"/>
                <w:szCs w:val="17"/>
                <w:b w:val="1"/>
                <w:bCs w:val="1"/>
                <w:color w:val="auto"/>
                <w:w w:val="90"/>
              </w:rPr>
              <w:t>c/o Magna Management LLC</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3880" w:type="dxa"/>
            <w:vAlign w:val="bottom"/>
            <w:gridSpan w:val="2"/>
          </w:tcPr>
          <w:p>
            <w:pPr>
              <w:jc w:val="center"/>
              <w:ind w:left="1597"/>
              <w:spacing w:after="0"/>
              <w:rPr>
                <w:sz w:val="20"/>
                <w:szCs w:val="20"/>
                <w:color w:val="auto"/>
              </w:rPr>
            </w:pPr>
            <w:r>
              <w:rPr>
                <w:rFonts w:ascii="Arial" w:cs="Arial" w:eastAsia="Arial" w:hAnsi="Arial"/>
                <w:sz w:val="17"/>
                <w:szCs w:val="17"/>
                <w:b w:val="1"/>
                <w:bCs w:val="1"/>
                <w:color w:val="auto"/>
                <w:w w:val="90"/>
              </w:rPr>
              <w:t>40 Wall Street, 58th Floor</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2"/>
          </w:tcPr>
          <w:p>
            <w:pPr>
              <w:jc w:val="center"/>
              <w:ind w:left="1597"/>
              <w:spacing w:after="0"/>
              <w:rPr>
                <w:sz w:val="20"/>
                <w:szCs w:val="20"/>
                <w:color w:val="auto"/>
              </w:rPr>
            </w:pPr>
            <w:r>
              <w:rPr>
                <w:rFonts w:ascii="Arial" w:cs="Arial" w:eastAsia="Arial" w:hAnsi="Arial"/>
                <w:sz w:val="17"/>
                <w:szCs w:val="17"/>
                <w:b w:val="1"/>
                <w:bCs w:val="1"/>
                <w:color w:val="auto"/>
                <w:w w:val="94"/>
              </w:rPr>
              <w:t>New York, NY</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tcPr>
          <w:p>
            <w:pPr>
              <w:jc w:val="right"/>
              <w:ind w:right="2557"/>
              <w:spacing w:after="0"/>
              <w:rPr>
                <w:sz w:val="20"/>
                <w:szCs w:val="20"/>
                <w:color w:val="auto"/>
              </w:rPr>
            </w:pPr>
            <w:r>
              <w:rPr>
                <w:rFonts w:ascii="Arial" w:cs="Arial" w:eastAsia="Arial" w:hAnsi="Arial"/>
                <w:sz w:val="17"/>
                <w:szCs w:val="17"/>
                <w:b w:val="1"/>
                <w:bCs w:val="1"/>
                <w:color w:val="auto"/>
              </w:rPr>
              <w:t>10005</w:t>
            </w:r>
          </w:p>
        </w:tc>
      </w:tr>
      <w:tr>
        <w:trPr>
          <w:trHeight w:val="204"/>
        </w:trPr>
        <w:tc>
          <w:tcPr>
            <w:tcW w:w="20" w:type="dxa"/>
            <w:vAlign w:val="bottom"/>
          </w:tcPr>
          <w:p>
            <w:pPr>
              <w:spacing w:after="0"/>
              <w:rPr>
                <w:sz w:val="17"/>
                <w:szCs w:val="17"/>
                <w:color w:val="auto"/>
              </w:rPr>
            </w:pPr>
          </w:p>
        </w:tc>
        <w:tc>
          <w:tcPr>
            <w:tcW w:w="5580" w:type="dxa"/>
            <w:vAlign w:val="bottom"/>
            <w:gridSpan w:val="4"/>
          </w:tcPr>
          <w:p>
            <w:pPr>
              <w:jc w:val="center"/>
              <w:spacing w:after="0"/>
              <w:rPr>
                <w:sz w:val="20"/>
                <w:szCs w:val="20"/>
                <w:color w:val="auto"/>
              </w:rPr>
            </w:pPr>
            <w:r>
              <w:rPr>
                <w:rFonts w:ascii="Arial" w:cs="Arial" w:eastAsia="Arial" w:hAnsi="Arial"/>
                <w:sz w:val="17"/>
                <w:szCs w:val="17"/>
                <w:color w:val="auto"/>
                <w:w w:val="91"/>
              </w:rPr>
              <w:t>(Address of Principal Executive Offices)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80" w:type="dxa"/>
            <w:vAlign w:val="bottom"/>
            <w:gridSpan w:val="3"/>
          </w:tcPr>
          <w:p>
            <w:pPr>
              <w:spacing w:after="0"/>
              <w:rPr>
                <w:sz w:val="17"/>
                <w:szCs w:val="17"/>
                <w:color w:val="auto"/>
              </w:rPr>
            </w:pPr>
          </w:p>
        </w:tc>
        <w:tc>
          <w:tcPr>
            <w:tcW w:w="3560" w:type="dxa"/>
            <w:vAlign w:val="bottom"/>
          </w:tcPr>
          <w:p>
            <w:pPr>
              <w:ind w:left="340"/>
              <w:spacing w:after="0"/>
              <w:rPr>
                <w:sz w:val="20"/>
                <w:szCs w:val="20"/>
                <w:color w:val="auto"/>
              </w:rPr>
            </w:pPr>
            <w:r>
              <w:rPr>
                <w:rFonts w:ascii="Arial" w:cs="Arial" w:eastAsia="Arial" w:hAnsi="Arial"/>
                <w:sz w:val="17"/>
                <w:szCs w:val="17"/>
                <w:color w:val="auto"/>
              </w:rPr>
              <w:t>(Zip Code)</w:t>
            </w:r>
          </w:p>
        </w:tc>
      </w:tr>
    </w:tbl>
    <w:p>
      <w:pPr>
        <w:spacing w:after="0" w:line="17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(347) 491-4240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10160</wp:posOffset>
            </wp:positionV>
            <wp:extent cx="14547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785" cy="7620"/>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3" w:lineRule="exact"/>
        <w:rPr>
          <w:sz w:val="24"/>
          <w:szCs w:val="24"/>
          <w:color w:val="auto"/>
        </w:rPr>
      </w:pPr>
    </w:p>
    <w:p>
      <w:pPr>
        <w:ind w:left="40"/>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26" w:lineRule="exact"/>
        <w:rPr>
          <w:sz w:val="24"/>
          <w:szCs w:val="24"/>
          <w:color w:val="auto"/>
        </w:rPr>
      </w:pPr>
    </w:p>
    <w:p>
      <w:pPr>
        <w:ind w:left="320" w:hanging="320"/>
        <w:spacing w:after="0"/>
        <w:tabs>
          <w:tab w:leader="none" w:pos="3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w:t>
      </w:r>
    </w:p>
    <w:p>
      <w:pPr>
        <w:spacing w:after="0" w:line="203" w:lineRule="exact"/>
        <w:rPr>
          <w:sz w:val="24"/>
          <w:szCs w:val="24"/>
          <w:color w:val="auto"/>
        </w:rPr>
      </w:pPr>
    </w:p>
    <w:p>
      <w:pPr>
        <w:ind w:left="320" w:hanging="320"/>
        <w:spacing w:after="0"/>
        <w:tabs>
          <w:tab w:leader="none" w:pos="3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w:t>
      </w:r>
    </w:p>
    <w:p>
      <w:pPr>
        <w:spacing w:after="0" w:line="203" w:lineRule="exact"/>
        <w:rPr>
          <w:sz w:val="24"/>
          <w:szCs w:val="24"/>
          <w:color w:val="auto"/>
        </w:rPr>
      </w:pPr>
    </w:p>
    <w:p>
      <w:pPr>
        <w:ind w:left="320" w:hanging="320"/>
        <w:spacing w:after="0"/>
        <w:tabs>
          <w:tab w:leader="none" w:pos="3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w:t>
      </w:r>
    </w:p>
    <w:p>
      <w:pPr>
        <w:spacing w:after="0" w:line="202" w:lineRule="exact"/>
        <w:rPr>
          <w:rFonts w:ascii="MS PGothic" w:cs="MS PGothic" w:eastAsia="MS PGothic" w:hAnsi="MS PGothic"/>
          <w:sz w:val="17"/>
          <w:szCs w:val="17"/>
          <w:color w:val="auto"/>
        </w:rPr>
      </w:pPr>
    </w:p>
    <w:p>
      <w:pPr>
        <w:ind w:left="320" w:hanging="320"/>
        <w:spacing w:after="0"/>
        <w:tabs>
          <w:tab w:leader="none" w:pos="3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w:t>
      </w:r>
    </w:p>
    <w:p>
      <w:pPr>
        <w:spacing w:after="0" w:line="203" w:lineRule="exact"/>
        <w:rPr>
          <w:sz w:val="24"/>
          <w:szCs w:val="24"/>
          <w:color w:val="auto"/>
        </w:rPr>
      </w:pPr>
    </w:p>
    <w:p>
      <w:pPr>
        <w:ind w:right="240"/>
        <w:spacing w:after="0" w:line="264"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(17 CFR §230.405) or Rule 12b-2 of the Securities Exchange Act of 1934 (17 CFR §240.12b-2).</w:t>
      </w:r>
    </w:p>
    <w:p>
      <w:pPr>
        <w:spacing w:after="0" w:line="1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33" w:lineRule="exact"/>
        <w:rPr>
          <w:sz w:val="24"/>
          <w:szCs w:val="24"/>
          <w:color w:val="auto"/>
        </w:rPr>
      </w:pPr>
    </w:p>
    <w:p>
      <w:pPr>
        <w:ind w:right="520"/>
        <w:spacing w:after="0" w:line="21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304800</wp:posOffset>
            </wp:positionV>
            <wp:extent cx="7257415" cy="23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22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IMPORTANT NOTICES</w:t>
      </w:r>
    </w:p>
    <w:p>
      <w:pPr>
        <w:spacing w:after="0" w:line="203" w:lineRule="exact"/>
        <w:rPr>
          <w:sz w:val="20"/>
          <w:szCs w:val="20"/>
          <w:color w:val="auto"/>
        </w:rPr>
      </w:pPr>
    </w:p>
    <w:p>
      <w:pPr>
        <w:spacing w:after="0" w:line="289" w:lineRule="auto"/>
        <w:rPr>
          <w:sz w:val="20"/>
          <w:szCs w:val="20"/>
          <w:color w:val="auto"/>
        </w:rPr>
      </w:pPr>
      <w:r>
        <w:rPr>
          <w:rFonts w:ascii="Arial" w:cs="Arial" w:eastAsia="Arial" w:hAnsi="Arial"/>
          <w:sz w:val="15"/>
          <w:szCs w:val="15"/>
          <w:b w:val="1"/>
          <w:bCs w:val="1"/>
          <w:color w:val="auto"/>
        </w:rPr>
        <w:t>Priority Holdings, LLC (“Priority” or the “Company”), M I Acquisitions, Inc. (“M I”), and their respective directors, executive officers and employees and other persons may be deemed to be participants in the solicitation of proxies from the holders of M I common stock in respect of the proposed transaction described herein. Information about M I’s directors and executive officers and their ownership of M I’s common stock is set forth in M I’s Annual Report on Form 10-K for the year ended December 31, 2016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148"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color w:val="auto"/>
        </w:rPr>
        <w:t>In connection with the transaction described herein, M I will file relevant materials with the Securities and Exchange Commission (the “SEC”), including a proxy statement on Schedule 14A. Promptly after filing its definitive proxy statement with the SEC, M I will mail the definitive proxy statement and a proxy card to each stockholder entitled to vote at the special meeting relating to the transaction. INVESTORS AND SECURITY HOLDERS OF THE COMPANY ARE URGED TO READ THESE MATERIALS (INCLUDING ANY AMENDMENTS OR SUPPLEMENTS THERETO) AND ANY OTHER RELEVANT DOCUMENTS IN CONNECTION WITH THE TRANSACTION THAT M I WILL FILE WITH THE SEC WHEN THEY BECOME AVAILABLE BECAUSE THEY WILL CONTAIN IMPORTANT INFORMATION ABOUT M I, THE COMPANY AND THE TRANSACTION. The definitive proxy statement, the preliminary proxy statement and other relevant materials in connection with the transaction (when they become available),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64" w:lineRule="exact"/>
        <w:rPr>
          <w:sz w:val="20"/>
          <w:szCs w:val="20"/>
          <w:color w:val="auto"/>
        </w:rPr>
      </w:pPr>
    </w:p>
    <w:p>
      <w:pPr>
        <w:spacing w:after="0" w:line="332" w:lineRule="auto"/>
        <w:rPr>
          <w:sz w:val="20"/>
          <w:szCs w:val="20"/>
          <w:color w:val="auto"/>
        </w:rPr>
      </w:pPr>
      <w:r>
        <w:rPr>
          <w:rFonts w:ascii="Arial" w:cs="Arial" w:eastAsia="Arial" w:hAnsi="Arial"/>
          <w:sz w:val="13"/>
          <w:szCs w:val="13"/>
          <w:b w:val="1"/>
          <w:bCs w:val="1"/>
          <w:color w:val="auto"/>
        </w:rPr>
        <w:t>This current report on Form 8-K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M I and the Company and the transactions contemplated thereby, and the parties’ perspectives and expectations, are forward looking statements. Such statements include, but are not limited to, statements regarding the proposed transaction,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contribution agreement between M I and Priority dated February 26, 2018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330" w:lineRule="exact"/>
        <w:rPr>
          <w:sz w:val="20"/>
          <w:szCs w:val="20"/>
          <w:color w:val="auto"/>
        </w:rPr>
      </w:pPr>
    </w:p>
    <w:p>
      <w:pPr>
        <w:spacing w:after="0" w:line="282" w:lineRule="auto"/>
        <w:rPr>
          <w:sz w:val="20"/>
          <w:szCs w:val="20"/>
          <w:color w:val="auto"/>
        </w:rPr>
      </w:pPr>
      <w:r>
        <w:rPr>
          <w:rFonts w:ascii="Arial" w:cs="Arial" w:eastAsia="Arial" w:hAnsi="Arial"/>
          <w:sz w:val="15"/>
          <w:szCs w:val="15"/>
          <w:b w:val="1"/>
          <w:bCs w:val="1"/>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M I was not obtained; (ii) the occurrence of any event, change or other circumstances that could give rise to the termination of the Purchase Agreement; (iii) the risk that there may be a material adverse change with respect to the financial position, performance, operations or prospects of Priority or M I; (iv) risks related to disruption of management time from ongoing business operations due to the proposed transaction; (v) the risk that any announcements relating to the proposed transaction could have adverse effects on the market price of M I’s common stock; (vi) 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 risks related to successfully integrating the businesses of the companies, which may result in the combined company not operating as effectively and efficiently as expected; (viii) the risk that the combined company may be unable to achieve cost-cutting synergies or it may take longer than expected to achieve those synergies; and (ix) risks associated with the financing of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7257415" cy="23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2" w:name="page3"/>
    <w:bookmarkEnd w:id="2"/>
    <w:p>
      <w:pPr>
        <w:spacing w:after="0" w:line="287" w:lineRule="auto"/>
        <w:rPr>
          <w:sz w:val="20"/>
          <w:szCs w:val="20"/>
          <w:color w:val="auto"/>
        </w:rPr>
      </w:pPr>
      <w:r>
        <w:rPr>
          <w:rFonts w:ascii="Arial" w:cs="Arial" w:eastAsia="Arial" w:hAnsi="Arial"/>
          <w:sz w:val="15"/>
          <w:szCs w:val="15"/>
          <w:b w:val="1"/>
          <w:bCs w:val="1"/>
          <w:color w:val="auto"/>
        </w:rPr>
        <w:t>A further list and description of risks and uncertainties can be found in M I’s Annual Report on Form 10-K for the fiscal year ending December 31, 2016 filed with the SEC, in M I’s quarterly reports on Form 10-Q filed with the SEC subsequent thereto and in the proxy statement on Schedule 14A that will be filed with the SEC by M I in connection with the proposed transaction,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 I, Priority, and their subsidiaries undertake no obligation to update forward-looking statements to reflect events or circumstances after the date they were made except as required by law or applicable regulation.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1.01. Entry Into a Material Definitive Agreement</w:t>
      </w:r>
    </w:p>
    <w:p>
      <w:pPr>
        <w:spacing w:after="0" w:line="207"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On February 26, 2018, M I Acquisitions, Inc. (“M I”) entered into a contribution agreement (the “Purchase Agreement”) with Priority Investment Holdings, LLC and Priority Incentive Equity Holdings, LLC (collectively, the “Interest Holders”) to acquire all of the outstanding equity interests of Priority Holdings, LLC (“Priority” or the “Company”), a leading provider of B2C and B2B payment processing solutions.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Priority; Acquisition Consideration</w:t>
      </w:r>
    </w:p>
    <w:p>
      <w:pPr>
        <w:spacing w:after="0" w:line="203"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Upon the closing of the transactions contemplated in the Purchase Agreement, M I will acquire (the “Acquisition”) 100% of the issued and outstanding equity securities of Priority, as well as assume certain of Priority’s debt, in exchange for a number of shares of M I’s common stock equal to Priority’s equity value (which the Purchase Agreement defines as of the signing date as $1,003.0 million enterprise value of Priority less the net debt of Priority at closing, subject to certain adjustments as described below) divided by $10.30. If Priority acquires any businesses prior to the closing of the Acquisition that increase Priority’s Adjusted EBITDA in aggregate by more than $9 million, the cost of such acquisitions to Priority will be added to Priority’s enterprise value, subject to a cap of 12.5x the incremental increase in Adjusted EBITDA of such acquisition. In connection with the Acquisition, M I will change its name to Priority Technology Holdings, Inc.</w:t>
      </w:r>
    </w:p>
    <w:p>
      <w:pPr>
        <w:spacing w:after="0" w:line="152"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An additional 9.8 million shares may be issued as earn out consideration to the Interest Holders and members of management or other service providers of the post-Acquisition company—4.9 million shares for the first earn out and 4.9 million shares for the second earn out. For the first earn out, Adjusted EBITDA must be no less than $82.5 million for the year ending December 31, 2018 and the stock price must have traded in excess of $12.00 for any 20 trading days within any consecutive 30-day trading period at any time on or before December 31, 2019. For the second earn out, Adjusted EBITDA must be no less than $91.5 million for the year ending December 31, 2019 and the stock price must have traded in excess of $14.00 for any 20 trading days within any consecutive 30-day trading period at any time between January 1, 2019 and December 31, 2020. In the event that the first earn out targets are not met, the entire 9.8 million shares may be issued if the second earn out targets are met.</w:t>
      </w:r>
    </w:p>
    <w:p>
      <w:pPr>
        <w:spacing w:after="0" w:line="152" w:lineRule="exact"/>
        <w:rPr>
          <w:sz w:val="20"/>
          <w:szCs w:val="20"/>
          <w:color w:val="auto"/>
        </w:rPr>
      </w:pPr>
    </w:p>
    <w:p>
      <w:pPr>
        <w:ind w:right="380"/>
        <w:spacing w:after="0" w:line="254" w:lineRule="auto"/>
        <w:rPr>
          <w:sz w:val="20"/>
          <w:szCs w:val="20"/>
          <w:color w:val="auto"/>
        </w:rPr>
      </w:pPr>
      <w:r>
        <w:rPr>
          <w:rFonts w:ascii="Arial" w:cs="Arial" w:eastAsia="Arial" w:hAnsi="Arial"/>
          <w:sz w:val="17"/>
          <w:szCs w:val="17"/>
          <w:color w:val="auto"/>
        </w:rPr>
        <w:t>Pursuant to the terms of a voting agreement to be entered into at closing, the parties agreed that immediately following the closing of the Acquisition, M I’s board of directors will consist of seven directors, all of whom will be designated by Priority. Magna Management LLC will have the right to name one observer to the board of directors for a period of up to approximately two years after the closing of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7257415" cy="23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00"/>
          </w:cols>
          <w:pgMar w:left="240" w:top="646" w:right="25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i w:val="1"/>
          <w:iCs w:val="1"/>
          <w:color w:val="auto"/>
        </w:rPr>
        <w:t>Private Units and Founder Shares</w:t>
      </w:r>
    </w:p>
    <w:p>
      <w:pPr>
        <w:spacing w:after="0" w:line="203"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Concurrently with the Purchase Agreement, the founding stockholders of M I (the “Founders”) and Priority entered into a purchase agreement (the “Promote Agreement”) pursuant to which Priority agreed to purchase 421,107 of the units issued to the Founders in a private placement immediately prior to M I’s initial public offering, and 453,210 shares of common stock of M I issued to the Founders for an aggregate purchase price of approximately $2.1 million. In addition, pursuant to the Promote Agreement, the Founders will forfeit 174,863 founder’s shares at the closing of the Acquisition, which shares may be reissued to the Founders if one of the earn outs described above is achieved.</w:t>
      </w:r>
    </w:p>
    <w:p>
      <w:pPr>
        <w:spacing w:after="0" w:line="181"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In addition, the Founders and Thomas C. Priore, the Executive Chairman of Priority (“TCP”), entered into a letter agreement (the “Letter Agreement”) pursuant to which the Founders granted TCP (i) the right to purchase the Founders’ remaining shares of common stock of M I at the prevailing market price subject to certain conditions including a floor of $10.30 per share and (ii) a right of first refusal on the shares.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Approval</w:t>
      </w:r>
    </w:p>
    <w:p>
      <w:pPr>
        <w:spacing w:after="0" w:line="203"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Prior to the consummation of the Acquisition, the holders of a majority of M I’s common stock attending a stockholder’s meeting (at which there is a quorum) must approve the transactions contemplated by the Purchase Agreement (the “Stockholder Approval”). In connection with obtaining the Stockholder Approval, M I must call a special meeting of its common stockholders and must prepare and file with the Securities and Exchange Commission a Proxy Statement on Schedule 14A, which will be mailed to all stockholders entitled to vote at the meeting.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Representations and Warranties</w:t>
      </w:r>
    </w:p>
    <w:p>
      <w:pPr>
        <w:spacing w:after="0" w:line="203"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In the Purchase Agreement, Priority makes certain representations and warranties (with certain exceptions set forth in the disclosure schedule to the Purchase Agreement) relating to, among other things: (a) proper corporate organization of Priority and its subsidiaries and similar corporate matters; (b) authorization, execution, delivery and enforceability of the Purchase Agreement and other transaction documents; (c) absence of conflicts; (d) capital structure; (e) accuracy of charter and governing documents;</w:t>
      </w:r>
    </w:p>
    <w:p>
      <w:pPr>
        <w:jc w:val="both"/>
        <w:ind w:right="380"/>
        <w:spacing w:after="0" w:line="246" w:lineRule="auto"/>
        <w:tabs>
          <w:tab w:leader="none" w:pos="208" w:val="left"/>
        </w:tabs>
        <w:numPr>
          <w:ilvl w:val="0"/>
          <w:numId w:val="4"/>
        </w:numPr>
        <w:rPr>
          <w:rFonts w:ascii="Arial" w:cs="Arial" w:eastAsia="Arial" w:hAnsi="Arial"/>
          <w:sz w:val="17"/>
          <w:szCs w:val="17"/>
          <w:color w:val="auto"/>
        </w:rPr>
      </w:pPr>
      <w:r>
        <w:rPr>
          <w:rFonts w:ascii="Arial" w:cs="Arial" w:eastAsia="Arial" w:hAnsi="Arial"/>
          <w:sz w:val="17"/>
          <w:szCs w:val="17"/>
          <w:color w:val="auto"/>
        </w:rPr>
        <w:t>affiliate transactions; (g) required consents and approvals; (h) financial information; (i) absence of certain changes or events; (j) title to assets and properties; (k) material contracts; (l) insurance; (m) licenses and permits; (n) compliance with laws, including those relating to foreign corrupt practices and money laundering; (o) ownership of intellectual property; (p) employment and labor matters; (q) taxes and audits; (r) environmental matters; (s) brokers and finders; and (t) other customary representations and warranties.</w:t>
      </w:r>
    </w:p>
    <w:p>
      <w:pPr>
        <w:spacing w:after="0" w:line="182"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 the Purchase Agreement, M I makes certain representations and warranties relating to, among other things: (a) proper corporate organization and similar corporate matters; (b) authorization, execution, delivery and enforceability of the Purchase Agreement and other transaction documents; (c) brokers and finders; (d) capital structure; (e) validity of share issuance; (f) minimum trust fund amount; (g) Nasdaq listing; and (h) SEC filing requirements.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Conduct Prior to Closing; Covenants</w:t>
      </w:r>
    </w:p>
    <w:p>
      <w:pPr>
        <w:spacing w:after="0" w:line="203"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Priority has agreed to operate its business in the ordinary course prior to the closing of the Acquisition (with certain exceptions) and not to take certain specified actions without the prior written consent of M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7257415" cy="23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360"/>
          </w:cols>
          <w:pgMar w:left="240" w:top="650" w:right="299" w:bottom="1440" w:gutter="0" w:footer="0" w:header="0"/>
        </w:sectPr>
      </w:pPr>
    </w:p>
    <w:bookmarkStart w:id="4" w:name="page5"/>
    <w:bookmarkEnd w:id="4"/>
    <w:p>
      <w:pPr>
        <w:ind w:right="480"/>
        <w:spacing w:after="0" w:line="264" w:lineRule="auto"/>
        <w:rPr>
          <w:sz w:val="20"/>
          <w:szCs w:val="20"/>
          <w:color w:val="auto"/>
        </w:rPr>
      </w:pPr>
      <w:r>
        <w:rPr>
          <w:rFonts w:ascii="Arial" w:cs="Arial" w:eastAsia="Arial" w:hAnsi="Arial"/>
          <w:sz w:val="17"/>
          <w:szCs w:val="17"/>
          <w:color w:val="auto"/>
        </w:rPr>
        <w:t>M I has agreed to operate its business in the ordinary course prior to the closing of the Acquisition (with certain exceptions) and not to take certain specified actions without the prior written consent of Priority.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Agreement also contains certain customary covenants, including covenants relating to:</w:t>
      </w:r>
    </w:p>
    <w:p>
      <w:pPr>
        <w:spacing w:after="0" w:line="203" w:lineRule="exact"/>
        <w:rPr>
          <w:sz w:val="20"/>
          <w:szCs w:val="20"/>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party providing access to their books and records;</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Exclusivity;</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M I maintaining the listing of its common stock on Nasdaq; and</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Priority being required to deliver the financial statements required by M I to make applicable filings with the SEC.</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Conditions to Closing</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Conditions</w:t>
      </w:r>
    </w:p>
    <w:p>
      <w:pPr>
        <w:spacing w:after="0" w:line="20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Consummation of the Acquisition is conditioned on, among other things, (a) the absence of any order, stay, judgment or decree by any government agency or any litigation seeking to enjoin, modify, amend or prohibit the Acquisition; (b) M I having obtained the Stockholder Approval; (c) there being no less than $20 million remaining in the trust account immediately after the closing of the Acquisition (the “Cash Minimum”), after taking into account all redemptions; and (d) all redemptions from the trust account being consummated in accordance with the Purchase Agreement and M I’s organizational documents.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Priority’s Conditions to Closing</w:t>
      </w:r>
    </w:p>
    <w:p>
      <w:pPr>
        <w:spacing w:after="0" w:line="203"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The obligations of Priority to consummate the transactions contemplated by the Purchase Agreement, in addition to the conditions described above, are conditioned upon, among other things, each of the following:</w:t>
      </w:r>
    </w:p>
    <w:p>
      <w:pPr>
        <w:spacing w:after="0" w:line="168" w:lineRule="exact"/>
        <w:rPr>
          <w:sz w:val="20"/>
          <w:szCs w:val="20"/>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 I complying with all of its obligations required to be performed pursuant to the covenants in the Purchase Agreement;</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representations and warranties of M I being true on and as of the closing date of the Acquisition; and</w:t>
      </w:r>
    </w:p>
    <w:p>
      <w:pPr>
        <w:spacing w:after="0" w:line="2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 I’s common stock remaining listed for trading on Nasdaq.</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 I’s Conditions to Closing</w:t>
      </w:r>
    </w:p>
    <w:p>
      <w:pPr>
        <w:spacing w:after="0" w:line="203"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The obligations of M I to consummate the transactions contemplated by the Agreement, in addition to the conditions described above in the first paragraph of this section, are conditioned upon, among other things, each of the following:</w:t>
      </w:r>
    </w:p>
    <w:p>
      <w:pPr>
        <w:spacing w:after="0" w:line="168" w:lineRule="exact"/>
        <w:rPr>
          <w:sz w:val="20"/>
          <w:szCs w:val="20"/>
          <w:color w:val="auto"/>
        </w:rPr>
      </w:pPr>
    </w:p>
    <w:p>
      <w:pPr>
        <w:ind w:left="1200" w:hanging="304"/>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Priority complying with all of its obligations required to be performed pursuant to the covenants in the Purchase Agreement; and</w:t>
      </w:r>
    </w:p>
    <w:p>
      <w:pPr>
        <w:spacing w:after="0" w:line="202" w:lineRule="exact"/>
        <w:rPr>
          <w:rFonts w:ascii="Arial" w:cs="Arial" w:eastAsia="Arial" w:hAnsi="Arial"/>
          <w:sz w:val="17"/>
          <w:szCs w:val="17"/>
          <w:color w:val="auto"/>
        </w:rPr>
      </w:pPr>
    </w:p>
    <w:p>
      <w:pPr>
        <w:ind w:left="1200" w:hanging="304"/>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representations and warranties of Priority being true on and as of the closing date of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326390</wp:posOffset>
            </wp:positionV>
            <wp:extent cx="7257415" cy="23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360"/>
          </w:cols>
          <w:pgMar w:left="240" w:top="650" w:right="29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i w:val="1"/>
          <w:iCs w:val="1"/>
          <w:color w:val="auto"/>
        </w:rPr>
        <w:t>Termination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Purchase Agreement may be terminated and/or abandoned at any time prior to the closing by:</w:t>
      </w:r>
    </w:p>
    <w:p>
      <w:pPr>
        <w:spacing w:after="0" w:line="203" w:lineRule="exact"/>
        <w:rPr>
          <w:sz w:val="20"/>
          <w:szCs w:val="20"/>
          <w:color w:val="auto"/>
        </w:rPr>
      </w:pPr>
    </w:p>
    <w:p>
      <w:pPr>
        <w:ind w:left="620" w:hanging="29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mutual written agreement of the Interest Holders and M I;</w:t>
      </w:r>
    </w:p>
    <w:p>
      <w:pPr>
        <w:spacing w:after="0" w:line="202" w:lineRule="exact"/>
        <w:rPr>
          <w:rFonts w:ascii="Arial" w:cs="Arial" w:eastAsia="Arial" w:hAnsi="Arial"/>
          <w:sz w:val="17"/>
          <w:szCs w:val="17"/>
          <w:color w:val="auto"/>
        </w:rPr>
      </w:pPr>
    </w:p>
    <w:p>
      <w:pPr>
        <w:ind w:left="620" w:right="420" w:hanging="297"/>
        <w:spacing w:after="0" w:line="264"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M I, if the closing has not occurred on or prior to June 19, 2018 (or an applicable later date if an extension is obtained pursuant to the terms of the Purchase Agreement), provided that M I is not in material breach of any of its obligations under the Purchase Agreement;</w:t>
      </w:r>
    </w:p>
    <w:p>
      <w:pPr>
        <w:spacing w:after="0" w:line="167" w:lineRule="exact"/>
        <w:rPr>
          <w:rFonts w:ascii="Arial" w:cs="Arial" w:eastAsia="Arial" w:hAnsi="Arial"/>
          <w:sz w:val="17"/>
          <w:szCs w:val="17"/>
          <w:color w:val="auto"/>
        </w:rPr>
      </w:pPr>
    </w:p>
    <w:p>
      <w:pPr>
        <w:ind w:left="620" w:hanging="297"/>
        <w:spacing w:after="0" w:line="331" w:lineRule="auto"/>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Interest Holders, if the closing has not occurred on or prior to June 19, 2018 (or an applicable later date if an extension is obtained pursuant to the terms of the Purchase Agreement), provided that the Interest Holders are not in material breach of any of their obligations under the Purchase Agreement;</w:t>
      </w:r>
    </w:p>
    <w:p>
      <w:pPr>
        <w:spacing w:after="0" w:line="121" w:lineRule="exact"/>
        <w:rPr>
          <w:rFonts w:ascii="Arial" w:cs="Arial" w:eastAsia="Arial" w:hAnsi="Arial"/>
          <w:sz w:val="15"/>
          <w:szCs w:val="15"/>
          <w:color w:val="auto"/>
        </w:rPr>
      </w:pPr>
    </w:p>
    <w:p>
      <w:pPr>
        <w:jc w:val="both"/>
        <w:ind w:left="620" w:right="40" w:hanging="297"/>
        <w:spacing w:after="0" w:line="278"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 I, if any Interest Holder has breached any representation, warranty, covenant or agreement contained in the Purchase Agreement and the effect of such breach would be to cause the conditions to M I’s obligation to consummate the closing not to be capable of being satisfied, provided that such breach has not been cured within thirty days following receipt by any such Interest Holder of written notice of such breach or alleged breach from M I;</w:t>
      </w:r>
    </w:p>
    <w:p>
      <w:pPr>
        <w:spacing w:after="0" w:line="157" w:lineRule="exact"/>
        <w:rPr>
          <w:rFonts w:ascii="Arial" w:cs="Arial" w:eastAsia="Arial" w:hAnsi="Arial"/>
          <w:sz w:val="16"/>
          <w:szCs w:val="16"/>
          <w:color w:val="auto"/>
        </w:rPr>
      </w:pPr>
    </w:p>
    <w:p>
      <w:pPr>
        <w:jc w:val="both"/>
        <w:ind w:left="620" w:right="60" w:hanging="297"/>
        <w:spacing w:after="0" w:line="304" w:lineRule="auto"/>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Interest Holders, if M I has breached any representation, warranty, covenant or agreement contained in the Purchase Agreement and the effect of such breach would be to cause the conditions to the Interest Holders’ obligation to consummate the closing not to be capable of being satisfied, provided that such breach has not been cured within thirty days following receipt by M I of written notice of such breach or alleged breach from the Interest Holders;</w:t>
      </w:r>
    </w:p>
    <w:p>
      <w:pPr>
        <w:spacing w:after="0" w:line="141" w:lineRule="exact"/>
        <w:rPr>
          <w:rFonts w:ascii="Arial" w:cs="Arial" w:eastAsia="Arial" w:hAnsi="Arial"/>
          <w:sz w:val="15"/>
          <w:szCs w:val="15"/>
          <w:color w:val="auto"/>
        </w:rPr>
      </w:pPr>
    </w:p>
    <w:p>
      <w:pPr>
        <w:ind w:left="620" w:hanging="297"/>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either party if any governmental authority restrains, enjoins, or otherwise prohibits the transactions contemplated by the Purchase Agreement; or</w:t>
      </w:r>
    </w:p>
    <w:p>
      <w:pPr>
        <w:spacing w:after="0" w:line="214" w:lineRule="exact"/>
        <w:rPr>
          <w:rFonts w:ascii="Arial" w:cs="Arial" w:eastAsia="Arial" w:hAnsi="Arial"/>
          <w:sz w:val="16"/>
          <w:szCs w:val="16"/>
          <w:color w:val="auto"/>
        </w:rPr>
      </w:pPr>
    </w:p>
    <w:p>
      <w:pPr>
        <w:ind w:left="620" w:hanging="29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Interest Holders, if (i) the Stockholder Approval is not obtained or (ii) the redemptions from the trust account result in the Cash Minimum not being met.</w:t>
      </w:r>
    </w:p>
    <w:p>
      <w:pPr>
        <w:spacing w:after="0" w:line="226" w:lineRule="exact"/>
        <w:rPr>
          <w:sz w:val="20"/>
          <w:szCs w:val="20"/>
          <w:color w:val="auto"/>
        </w:rPr>
      </w:pPr>
    </w:p>
    <w:p>
      <w:pPr>
        <w:ind w:right="240"/>
        <w:spacing w:after="0" w:line="304" w:lineRule="auto"/>
        <w:rPr>
          <w:sz w:val="20"/>
          <w:szCs w:val="20"/>
          <w:color w:val="auto"/>
        </w:rPr>
      </w:pPr>
      <w:r>
        <w:rPr>
          <w:rFonts w:ascii="Arial" w:cs="Arial" w:eastAsia="Arial" w:hAnsi="Arial"/>
          <w:sz w:val="15"/>
          <w:szCs w:val="15"/>
          <w:color w:val="auto"/>
        </w:rPr>
        <w:t>The foregoing summary of the Purchase Agreement does not purport to be complete and is qualified in its entirety by reference to the actual Purchase Agreement, the Promote Agreement and the Letter Agreement, which are filed as Exhibits 2.1, 10.1 and 10.2 hereto, and which are incorporated by reference in this report. Terms used herein as defined terms and not otherwise defined herein shall have the meanings ascribed to them in the Purchase Agreement.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auto"/>
              </w:rPr>
              <w:t>(c)  Exhibits:</w:t>
            </w:r>
          </w:p>
        </w:tc>
        <w:tc>
          <w:tcPr>
            <w:tcW w:w="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61"/>
        </w:trPr>
        <w:tc>
          <w:tcPr>
            <w:tcW w:w="780" w:type="dxa"/>
            <w:vAlign w:val="bottom"/>
            <w:gridSpan w:val="2"/>
          </w:tcPr>
          <w:p>
            <w:pPr>
              <w:spacing w:after="0"/>
              <w:rPr>
                <w:sz w:val="20"/>
                <w:szCs w:val="20"/>
                <w:color w:val="auto"/>
              </w:rPr>
            </w:pPr>
            <w:r>
              <w:rPr>
                <w:rFonts w:ascii="Arial" w:cs="Arial" w:eastAsia="Arial" w:hAnsi="Arial"/>
                <w:sz w:val="17"/>
                <w:szCs w:val="17"/>
                <w:color w:val="auto"/>
                <w:w w:val="92"/>
              </w:rPr>
              <w:t>Exhibit No.</w:t>
            </w:r>
          </w:p>
        </w:tc>
        <w:tc>
          <w:tcPr>
            <w:tcW w:w="720" w:type="dxa"/>
            <w:vAlign w:val="bottom"/>
          </w:tcPr>
          <w:p>
            <w:pPr>
              <w:spacing w:after="0"/>
              <w:rPr>
                <w:sz w:val="24"/>
                <w:szCs w:val="24"/>
                <w:color w:val="auto"/>
              </w:rPr>
            </w:pPr>
          </w:p>
        </w:tc>
        <w:tc>
          <w:tcPr>
            <w:tcW w:w="3640" w:type="dxa"/>
            <w:vAlign w:val="bottom"/>
            <w:gridSpan w:val="4"/>
          </w:tcPr>
          <w:p>
            <w:pPr>
              <w:spacing w:after="0"/>
              <w:rPr>
                <w:sz w:val="20"/>
                <w:szCs w:val="20"/>
                <w:color w:val="auto"/>
              </w:rPr>
            </w:pPr>
            <w:r>
              <w:rPr>
                <w:rFonts w:ascii="Arial" w:cs="Arial" w:eastAsia="Arial" w:hAnsi="Arial"/>
                <w:sz w:val="17"/>
                <w:szCs w:val="17"/>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78"/>
        </w:trPr>
        <w:tc>
          <w:tcPr>
            <w:tcW w:w="300" w:type="dxa"/>
            <w:vAlign w:val="bottom"/>
            <w:tcBorders>
              <w:bottom w:val="single" w:sz="8" w:color="0000EE"/>
            </w:tcBorders>
          </w:tcPr>
          <w:p>
            <w:pPr>
              <w:spacing w:after="0"/>
              <w:rPr>
                <w:rFonts w:ascii="Arial" w:cs="Arial" w:eastAsia="Arial" w:hAnsi="Arial"/>
                <w:sz w:val="17"/>
                <w:szCs w:val="17"/>
                <w:color w:val="0000EE"/>
                <w:w w:val="92"/>
              </w:rPr>
            </w:pPr>
            <w:hyperlink w:anchor="page8">
              <w:r>
                <w:rPr>
                  <w:rFonts w:ascii="Arial" w:cs="Arial" w:eastAsia="Arial" w:hAnsi="Arial"/>
                  <w:sz w:val="17"/>
                  <w:szCs w:val="17"/>
                  <w:color w:val="0000EE"/>
                  <w:w w:val="92"/>
                </w:rPr>
                <w:t>2.</w:t>
              </w:r>
              <w:r>
                <w:rPr>
                  <w:rFonts w:ascii="Arial" w:cs="Arial" w:eastAsia="Arial" w:hAnsi="Arial"/>
                  <w:sz w:val="17"/>
                  <w:szCs w:val="17"/>
                  <w:u w:val="single" w:color="auto"/>
                  <w:color w:val="0000EE"/>
                  <w:w w:val="92"/>
                </w:rPr>
                <w:t>1*</w:t>
              </w:r>
            </w:hyperlink>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40" w:type="dxa"/>
            <w:vAlign w:val="bottom"/>
            <w:tcBorders>
              <w:bottom w:val="single" w:sz="8" w:color="0000EE"/>
            </w:tcBorders>
            <w:gridSpan w:val="4"/>
          </w:tcPr>
          <w:p>
            <w:pPr>
              <w:spacing w:after="0"/>
              <w:rPr>
                <w:rFonts w:ascii="Arial" w:cs="Arial" w:eastAsia="Arial" w:hAnsi="Arial"/>
                <w:sz w:val="17"/>
                <w:szCs w:val="17"/>
                <w:color w:val="0000EE"/>
                <w:w w:val="87"/>
              </w:rPr>
            </w:pPr>
            <w:hyperlink w:anchor="page8">
              <w:r>
                <w:rPr>
                  <w:rFonts w:ascii="Arial" w:cs="Arial" w:eastAsia="Arial" w:hAnsi="Arial"/>
                  <w:sz w:val="17"/>
                  <w:szCs w:val="17"/>
                  <w:color w:val="0000EE"/>
                  <w:w w:val="87"/>
                </w:rPr>
                <w:t>Contribution Agreement dated as of February 26, 2018</w:t>
              </w:r>
            </w:hyperlink>
          </w:p>
        </w:tc>
      </w:tr>
      <w:tr>
        <w:trPr>
          <w:trHeight w:val="378"/>
        </w:trPr>
        <w:tc>
          <w:tcPr>
            <w:tcW w:w="300" w:type="dxa"/>
            <w:vAlign w:val="bottom"/>
            <w:tcBorders>
              <w:bottom w:val="single" w:sz="8" w:color="0000EE"/>
            </w:tcBorders>
          </w:tcPr>
          <w:p>
            <w:pPr>
              <w:spacing w:after="0"/>
              <w:rPr>
                <w:rFonts w:ascii="Arial" w:cs="Arial" w:eastAsia="Arial" w:hAnsi="Arial"/>
                <w:sz w:val="17"/>
                <w:szCs w:val="17"/>
                <w:color w:val="0000EE"/>
                <w:w w:val="84"/>
              </w:rPr>
            </w:pPr>
            <w:hyperlink w:anchor="page78">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1</w:t>
              </w:r>
            </w:hyperlink>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60" w:type="dxa"/>
            <w:vAlign w:val="bottom"/>
            <w:tcBorders>
              <w:bottom w:val="single" w:sz="8" w:color="0000EE"/>
            </w:tcBorders>
            <w:gridSpan w:val="3"/>
          </w:tcPr>
          <w:p>
            <w:pPr>
              <w:spacing w:after="0"/>
              <w:rPr>
                <w:rFonts w:ascii="Arial" w:cs="Arial" w:eastAsia="Arial" w:hAnsi="Arial"/>
                <w:sz w:val="17"/>
                <w:szCs w:val="17"/>
                <w:color w:val="0000EE"/>
                <w:w w:val="86"/>
              </w:rPr>
            </w:pPr>
            <w:hyperlink w:anchor="page78">
              <w:r>
                <w:rPr>
                  <w:rFonts w:ascii="Arial" w:cs="Arial" w:eastAsia="Arial" w:hAnsi="Arial"/>
                  <w:sz w:val="17"/>
                  <w:szCs w:val="17"/>
                  <w:color w:val="0000EE"/>
                  <w:w w:val="86"/>
                </w:rPr>
                <w:t>Promote Agreement dated as of February 26, 2018</w:t>
              </w:r>
            </w:hyperlink>
          </w:p>
        </w:tc>
        <w:tc>
          <w:tcPr>
            <w:tcW w:w="280" w:type="dxa"/>
            <w:vAlign w:val="bottom"/>
          </w:tcPr>
          <w:p>
            <w:pPr>
              <w:spacing w:after="0"/>
              <w:rPr>
                <w:sz w:val="24"/>
                <w:szCs w:val="24"/>
                <w:color w:val="auto"/>
              </w:rPr>
            </w:pPr>
          </w:p>
        </w:tc>
      </w:tr>
      <w:tr>
        <w:trPr>
          <w:trHeight w:val="378"/>
        </w:trPr>
        <w:tc>
          <w:tcPr>
            <w:tcW w:w="300" w:type="dxa"/>
            <w:vAlign w:val="bottom"/>
            <w:tcBorders>
              <w:bottom w:val="single" w:sz="8" w:color="0000EE"/>
            </w:tcBorders>
          </w:tcPr>
          <w:p>
            <w:pPr>
              <w:spacing w:after="0"/>
              <w:rPr>
                <w:rFonts w:ascii="Arial" w:cs="Arial" w:eastAsia="Arial" w:hAnsi="Arial"/>
                <w:sz w:val="17"/>
                <w:szCs w:val="17"/>
                <w:color w:val="0000EE"/>
                <w:w w:val="84"/>
              </w:rPr>
            </w:pPr>
            <w:hyperlink w:anchor="page102">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2</w:t>
              </w:r>
            </w:hyperlink>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40" w:type="dxa"/>
            <w:vAlign w:val="bottom"/>
            <w:tcBorders>
              <w:bottom w:val="single" w:sz="8" w:color="0000EE"/>
            </w:tcBorders>
            <w:gridSpan w:val="2"/>
          </w:tcPr>
          <w:p>
            <w:pPr>
              <w:spacing w:after="0"/>
              <w:rPr>
                <w:rFonts w:ascii="Arial" w:cs="Arial" w:eastAsia="Arial" w:hAnsi="Arial"/>
                <w:sz w:val="17"/>
                <w:szCs w:val="17"/>
                <w:color w:val="0000EE"/>
                <w:w w:val="87"/>
              </w:rPr>
            </w:pPr>
            <w:hyperlink w:anchor="page102">
              <w:r>
                <w:rPr>
                  <w:rFonts w:ascii="Arial" w:cs="Arial" w:eastAsia="Arial" w:hAnsi="Arial"/>
                  <w:sz w:val="17"/>
                  <w:szCs w:val="17"/>
                  <w:color w:val="0000EE"/>
                  <w:w w:val="87"/>
                </w:rPr>
                <w:t>Letter Agreement, dated as of February 26, 2018</w:t>
              </w:r>
            </w:hyperlink>
          </w:p>
        </w:tc>
        <w:tc>
          <w:tcPr>
            <w:tcW w:w="40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11" w:lineRule="exact"/>
        <w:rPr>
          <w:sz w:val="20"/>
          <w:szCs w:val="20"/>
          <w:color w:val="auto"/>
        </w:rPr>
      </w:pPr>
    </w:p>
    <w:p>
      <w:pPr>
        <w:ind w:right="600"/>
        <w:spacing w:after="0" w:line="264" w:lineRule="auto"/>
        <w:rPr>
          <w:sz w:val="20"/>
          <w:szCs w:val="20"/>
          <w:color w:val="auto"/>
        </w:rPr>
      </w:pPr>
      <w:r>
        <w:rPr>
          <w:rFonts w:ascii="Arial" w:cs="Arial" w:eastAsia="Arial" w:hAnsi="Arial"/>
          <w:sz w:val="17"/>
          <w:szCs w:val="17"/>
          <w:color w:val="auto"/>
        </w:rPr>
        <w:t>*Schedules and exhibits have been omitted pursuant to Item 601(b)(2) of Regulation S-K. The registrant hereby undertakes to furnish copies of any of the omitted schedules and exhibits upon request by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257415"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360"/>
          </w:cols>
          <w:pgMar w:left="240" w:top="650" w:right="299" w:bottom="1440" w:gutter="0" w:footer="0" w:header="0"/>
        </w:sectPr>
      </w:pPr>
    </w:p>
    <w:bookmarkStart w:id="6" w:name="page7"/>
    <w:bookmarkEnd w:id="6"/>
    <w:p>
      <w:pPr>
        <w:jc w:val="center"/>
        <w:ind w:left="300"/>
        <w:spacing w:after="0"/>
        <w:rPr>
          <w:sz w:val="20"/>
          <w:szCs w:val="20"/>
          <w:color w:val="auto"/>
        </w:rPr>
      </w:pPr>
      <w:r>
        <w:rPr>
          <w:rFonts w:ascii="Arial" w:cs="Arial" w:eastAsia="Arial" w:hAnsi="Arial"/>
          <w:sz w:val="17"/>
          <w:szCs w:val="17"/>
          <w:b w:val="1"/>
          <w:bCs w:val="1"/>
          <w:color w:val="auto"/>
        </w:rPr>
        <w:t>SIGNATURES</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Dated March 2, 2018</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M I ACQUISITIONS, INC.</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By: /s/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10160</wp:posOffset>
            </wp:positionV>
            <wp:extent cx="25215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158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Marc Manuel</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7257415" cy="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7"/>
          <w:szCs w:val="17"/>
          <w:b w:val="1"/>
          <w:bCs w:val="1"/>
          <w:color w:val="auto"/>
        </w:rPr>
        <w:t>Exhibit 2.1</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170815</wp:posOffset>
            </wp:positionV>
            <wp:extent cx="72574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194945</wp:posOffset>
            </wp:positionV>
            <wp:extent cx="725741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CONTRIBUTION AGREEMENT</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dated as of</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February 26, 2018</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by and between</w:t>
      </w:r>
    </w:p>
    <w:p>
      <w:pPr>
        <w:spacing w:after="0" w:line="199"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PRIORITY INVESTMENT HOLDINGS, LLC,</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PRIORITY INCENTIVE EQUITY HOLDINGS, LLC</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199"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M I ACQUISITIONS,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170815</wp:posOffset>
            </wp:positionV>
            <wp:extent cx="725741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186690</wp:posOffset>
            </wp:positionV>
            <wp:extent cx="725741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415925</wp:posOffset>
            </wp:positionV>
            <wp:extent cx="7257415"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322"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120"/>
              <w:spacing w:after="0"/>
              <w:rPr>
                <w:sz w:val="20"/>
                <w:szCs w:val="20"/>
                <w:color w:val="auto"/>
              </w:rPr>
            </w:pPr>
            <w:r>
              <w:rPr>
                <w:rFonts w:ascii="Arial" w:cs="Arial" w:eastAsia="Arial" w:hAnsi="Arial"/>
                <w:sz w:val="17"/>
                <w:szCs w:val="17"/>
                <w:b w:val="1"/>
                <w:bCs w:val="1"/>
                <w:color w:val="auto"/>
              </w:rPr>
              <w:t>TABLE OF CONTENTS</w:t>
            </w:r>
          </w:p>
        </w:tc>
        <w:tc>
          <w:tcPr>
            <w:tcW w:w="2580" w:type="dxa"/>
            <w:vAlign w:val="bottom"/>
          </w:tcPr>
          <w:p>
            <w:pPr>
              <w:spacing w:after="0"/>
              <w:rPr>
                <w:sz w:val="18"/>
                <w:szCs w:val="18"/>
                <w:color w:val="auto"/>
              </w:rPr>
            </w:pPr>
          </w:p>
        </w:tc>
      </w:tr>
      <w:tr>
        <w:trPr>
          <w:trHeight w:val="398"/>
        </w:trPr>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7"/>
                <w:szCs w:val="17"/>
                <w:b w:val="1"/>
                <w:bCs w:val="1"/>
                <w:color w:val="auto"/>
              </w:rPr>
              <w:t>Page</w:t>
            </w:r>
          </w:p>
        </w:tc>
      </w:tr>
      <w:tr>
        <w:trPr>
          <w:trHeight w:val="398"/>
        </w:trPr>
        <w:tc>
          <w:tcPr>
            <w:tcW w:w="8840" w:type="dxa"/>
            <w:vAlign w:val="bottom"/>
            <w:gridSpan w:val="30"/>
          </w:tcPr>
          <w:p>
            <w:pPr>
              <w:spacing w:after="0"/>
              <w:rPr>
                <w:sz w:val="20"/>
                <w:szCs w:val="20"/>
                <w:color w:val="auto"/>
              </w:rPr>
            </w:pPr>
            <w:r>
              <w:rPr>
                <w:rFonts w:ascii="Arial" w:cs="Arial" w:eastAsia="Arial" w:hAnsi="Arial"/>
                <w:sz w:val="17"/>
                <w:szCs w:val="17"/>
                <w:color w:val="auto"/>
              </w:rPr>
              <w:t>ARTICLE I DEFINITIONS</w:t>
            </w:r>
          </w:p>
        </w:tc>
        <w:tc>
          <w:tcPr>
            <w:tcW w:w="25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98"/>
        </w:trPr>
        <w:tc>
          <w:tcPr>
            <w:tcW w:w="8840" w:type="dxa"/>
            <w:vAlign w:val="bottom"/>
            <w:gridSpan w:val="30"/>
          </w:tcPr>
          <w:p>
            <w:pPr>
              <w:spacing w:after="0"/>
              <w:rPr>
                <w:sz w:val="20"/>
                <w:szCs w:val="20"/>
                <w:color w:val="auto"/>
              </w:rPr>
            </w:pPr>
            <w:r>
              <w:rPr>
                <w:rFonts w:ascii="Arial" w:cs="Arial" w:eastAsia="Arial" w:hAnsi="Arial"/>
                <w:sz w:val="17"/>
                <w:szCs w:val="17"/>
                <w:color w:val="auto"/>
              </w:rPr>
              <w:t>ARTICLE II PURCHASE AND SALE</w:t>
            </w:r>
          </w:p>
        </w:tc>
        <w:tc>
          <w:tcPr>
            <w:tcW w:w="25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61"/>
        </w:trPr>
        <w:tc>
          <w:tcPr>
            <w:tcW w:w="1720" w:type="dxa"/>
            <w:vAlign w:val="bottom"/>
          </w:tcPr>
          <w:p>
            <w:pPr>
              <w:ind w:left="580"/>
              <w:spacing w:after="0"/>
              <w:rPr>
                <w:sz w:val="20"/>
                <w:szCs w:val="20"/>
                <w:color w:val="auto"/>
              </w:rPr>
            </w:pPr>
            <w:r>
              <w:rPr>
                <w:rFonts w:ascii="Arial" w:cs="Arial" w:eastAsia="Arial" w:hAnsi="Arial"/>
                <w:sz w:val="17"/>
                <w:szCs w:val="17"/>
                <w:color w:val="auto"/>
              </w:rPr>
              <w:t>Section 2.01</w:t>
            </w:r>
          </w:p>
        </w:tc>
        <w:tc>
          <w:tcPr>
            <w:tcW w:w="7120" w:type="dxa"/>
            <w:vAlign w:val="bottom"/>
            <w:gridSpan w:val="29"/>
          </w:tcPr>
          <w:p>
            <w:pPr>
              <w:spacing w:after="0"/>
              <w:rPr>
                <w:sz w:val="20"/>
                <w:szCs w:val="20"/>
                <w:color w:val="auto"/>
              </w:rPr>
            </w:pPr>
            <w:r>
              <w:rPr>
                <w:rFonts w:ascii="Arial" w:cs="Arial" w:eastAsia="Arial" w:hAnsi="Arial"/>
                <w:sz w:val="17"/>
                <w:szCs w:val="17"/>
                <w:color w:val="auto"/>
              </w:rPr>
              <w:t>Purchase and Sale</w:t>
            </w:r>
          </w:p>
        </w:tc>
        <w:tc>
          <w:tcPr>
            <w:tcW w:w="25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2.02</w:t>
            </w:r>
          </w:p>
        </w:tc>
        <w:tc>
          <w:tcPr>
            <w:tcW w:w="940" w:type="dxa"/>
            <w:vAlign w:val="bottom"/>
            <w:tcBorders>
              <w:top w:val="single" w:sz="8" w:color="auto"/>
              <w:bottom w:val="single" w:sz="8" w:color="auto"/>
            </w:tcBorders>
            <w:gridSpan w:val="6"/>
          </w:tcPr>
          <w:p>
            <w:pPr>
              <w:spacing w:after="0" w:line="180" w:lineRule="exact"/>
              <w:rPr>
                <w:sz w:val="20"/>
                <w:szCs w:val="20"/>
                <w:color w:val="auto"/>
              </w:rPr>
            </w:pPr>
            <w:r>
              <w:rPr>
                <w:rFonts w:ascii="Arial" w:cs="Arial" w:eastAsia="Arial" w:hAnsi="Arial"/>
                <w:sz w:val="17"/>
                <w:szCs w:val="17"/>
                <w:color w:val="auto"/>
                <w:w w:val="87"/>
              </w:rPr>
              <w:t>Consideration</w:t>
            </w:r>
          </w:p>
        </w:tc>
        <w:tc>
          <w:tcPr>
            <w:tcW w:w="260" w:type="dxa"/>
            <w:vAlign w:val="bottom"/>
            <w:tcBorders>
              <w:top w:val="single" w:sz="8" w:color="auto"/>
            </w:tcBorders>
            <w:gridSpan w:val="2"/>
          </w:tcPr>
          <w:p>
            <w:pPr>
              <w:spacing w:after="0"/>
              <w:rPr>
                <w:sz w:val="15"/>
                <w:szCs w:val="15"/>
                <w:color w:val="auto"/>
              </w:rPr>
            </w:pPr>
          </w:p>
        </w:tc>
        <w:tc>
          <w:tcPr>
            <w:tcW w:w="5920" w:type="dxa"/>
            <w:vAlign w:val="bottom"/>
            <w:gridSpan w:val="21"/>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13</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2.03</w:t>
            </w:r>
          </w:p>
        </w:tc>
        <w:tc>
          <w:tcPr>
            <w:tcW w:w="520" w:type="dxa"/>
            <w:vAlign w:val="bottom"/>
            <w:tcBorders>
              <w:bottom w:val="single" w:sz="8" w:color="auto"/>
            </w:tcBorders>
            <w:gridSpan w:val="3"/>
          </w:tcPr>
          <w:p>
            <w:pPr>
              <w:spacing w:after="0" w:line="180" w:lineRule="exact"/>
              <w:rPr>
                <w:sz w:val="20"/>
                <w:szCs w:val="20"/>
                <w:color w:val="auto"/>
              </w:rPr>
            </w:pPr>
            <w:r>
              <w:rPr>
                <w:rFonts w:ascii="Arial" w:cs="Arial" w:eastAsia="Arial" w:hAnsi="Arial"/>
                <w:sz w:val="17"/>
                <w:szCs w:val="17"/>
                <w:color w:val="auto"/>
                <w:w w:val="88"/>
              </w:rPr>
              <w:t>Closing</w:t>
            </w:r>
          </w:p>
        </w:tc>
        <w:tc>
          <w:tcPr>
            <w:tcW w:w="6600" w:type="dxa"/>
            <w:vAlign w:val="bottom"/>
            <w:gridSpan w:val="26"/>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13</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2.04</w:t>
            </w:r>
          </w:p>
        </w:tc>
        <w:tc>
          <w:tcPr>
            <w:tcW w:w="1520" w:type="dxa"/>
            <w:vAlign w:val="bottom"/>
            <w:tcBorders>
              <w:bottom w:val="single" w:sz="8" w:color="auto"/>
            </w:tcBorders>
            <w:gridSpan w:val="13"/>
          </w:tcPr>
          <w:p>
            <w:pPr>
              <w:spacing w:after="0" w:line="180" w:lineRule="exact"/>
              <w:rPr>
                <w:sz w:val="20"/>
                <w:szCs w:val="20"/>
                <w:color w:val="auto"/>
              </w:rPr>
            </w:pPr>
            <w:r>
              <w:rPr>
                <w:rFonts w:ascii="Arial" w:cs="Arial" w:eastAsia="Arial" w:hAnsi="Arial"/>
                <w:sz w:val="17"/>
                <w:szCs w:val="17"/>
                <w:color w:val="auto"/>
                <w:w w:val="89"/>
              </w:rPr>
              <w:t>Pre-Closing Deliveries</w:t>
            </w:r>
          </w:p>
        </w:tc>
        <w:tc>
          <w:tcPr>
            <w:tcW w:w="5600" w:type="dxa"/>
            <w:vAlign w:val="bottom"/>
            <w:gridSpan w:val="16"/>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14</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2.05</w:t>
            </w:r>
          </w:p>
        </w:tc>
        <w:tc>
          <w:tcPr>
            <w:tcW w:w="2860" w:type="dxa"/>
            <w:vAlign w:val="bottom"/>
            <w:tcBorders>
              <w:bottom w:val="single" w:sz="8" w:color="auto"/>
            </w:tcBorders>
            <w:gridSpan w:val="27"/>
          </w:tcPr>
          <w:p>
            <w:pPr>
              <w:spacing w:after="0" w:line="180" w:lineRule="exact"/>
              <w:rPr>
                <w:sz w:val="20"/>
                <w:szCs w:val="20"/>
                <w:color w:val="auto"/>
              </w:rPr>
            </w:pPr>
            <w:r>
              <w:rPr>
                <w:rFonts w:ascii="Arial" w:cs="Arial" w:eastAsia="Arial" w:hAnsi="Arial"/>
                <w:sz w:val="17"/>
                <w:szCs w:val="17"/>
                <w:color w:val="auto"/>
                <w:w w:val="88"/>
              </w:rPr>
              <w:t>Closing Deliveries and Payments by Buyer</w:t>
            </w:r>
          </w:p>
        </w:tc>
        <w:tc>
          <w:tcPr>
            <w:tcW w:w="4260" w:type="dxa"/>
            <w:vAlign w:val="bottom"/>
            <w:gridSpan w:val="2"/>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14</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2.06</w:t>
            </w:r>
          </w:p>
        </w:tc>
        <w:tc>
          <w:tcPr>
            <w:tcW w:w="1940" w:type="dxa"/>
            <w:vAlign w:val="bottom"/>
            <w:tcBorders>
              <w:bottom w:val="single" w:sz="8" w:color="auto"/>
            </w:tcBorders>
            <w:gridSpan w:val="21"/>
          </w:tcPr>
          <w:p>
            <w:pPr>
              <w:spacing w:after="0" w:line="180" w:lineRule="exact"/>
              <w:rPr>
                <w:sz w:val="20"/>
                <w:szCs w:val="20"/>
                <w:color w:val="auto"/>
              </w:rPr>
            </w:pPr>
            <w:r>
              <w:rPr>
                <w:rFonts w:ascii="Arial" w:cs="Arial" w:eastAsia="Arial" w:hAnsi="Arial"/>
                <w:sz w:val="17"/>
                <w:szCs w:val="17"/>
                <w:color w:val="auto"/>
                <w:w w:val="89"/>
              </w:rPr>
              <w:t>Closing Deliveries by Sellers</w:t>
            </w:r>
          </w:p>
        </w:tc>
        <w:tc>
          <w:tcPr>
            <w:tcW w:w="5180" w:type="dxa"/>
            <w:vAlign w:val="bottom"/>
            <w:gridSpan w:val="8"/>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15</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2.07</w:t>
            </w:r>
          </w:p>
        </w:tc>
        <w:tc>
          <w:tcPr>
            <w:tcW w:w="7120" w:type="dxa"/>
            <w:vAlign w:val="bottom"/>
            <w:gridSpan w:val="29"/>
          </w:tcPr>
          <w:p>
            <w:pPr>
              <w:spacing w:after="0" w:line="180" w:lineRule="exact"/>
              <w:rPr>
                <w:sz w:val="20"/>
                <w:szCs w:val="20"/>
                <w:color w:val="auto"/>
              </w:rPr>
            </w:pPr>
            <w:r>
              <w:rPr>
                <w:rFonts w:ascii="Arial" w:cs="Arial" w:eastAsia="Arial" w:hAnsi="Arial"/>
                <w:sz w:val="17"/>
                <w:szCs w:val="17"/>
                <w:color w:val="auto"/>
              </w:rPr>
              <w:t>Board of Directors</w:t>
            </w: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15</w:t>
            </w:r>
          </w:p>
        </w:tc>
      </w:tr>
      <w:tr>
        <w:trPr>
          <w:trHeight w:val="20"/>
        </w:trPr>
        <w:tc>
          <w:tcPr>
            <w:tcW w:w="1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16"/>
        </w:trPr>
        <w:tc>
          <w:tcPr>
            <w:tcW w:w="8840" w:type="dxa"/>
            <w:vAlign w:val="bottom"/>
            <w:gridSpan w:val="30"/>
          </w:tcPr>
          <w:p>
            <w:pPr>
              <w:spacing w:after="0"/>
              <w:rPr>
                <w:sz w:val="20"/>
                <w:szCs w:val="20"/>
                <w:color w:val="auto"/>
              </w:rPr>
            </w:pPr>
            <w:r>
              <w:rPr>
                <w:rFonts w:ascii="Arial" w:cs="Arial" w:eastAsia="Arial" w:hAnsi="Arial"/>
                <w:sz w:val="17"/>
                <w:szCs w:val="17"/>
                <w:color w:val="auto"/>
              </w:rPr>
              <w:t>ARTICLE III REPRESENTATIONS AND WARRANTIES OF SELLERS</w:t>
            </w:r>
          </w:p>
        </w:tc>
        <w:tc>
          <w:tcPr>
            <w:tcW w:w="25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61"/>
        </w:trPr>
        <w:tc>
          <w:tcPr>
            <w:tcW w:w="1720" w:type="dxa"/>
            <w:vAlign w:val="bottom"/>
          </w:tcPr>
          <w:p>
            <w:pPr>
              <w:ind w:left="580"/>
              <w:spacing w:after="0"/>
              <w:rPr>
                <w:sz w:val="20"/>
                <w:szCs w:val="20"/>
                <w:color w:val="auto"/>
              </w:rPr>
            </w:pPr>
            <w:r>
              <w:rPr>
                <w:rFonts w:ascii="Arial" w:cs="Arial" w:eastAsia="Arial" w:hAnsi="Arial"/>
                <w:sz w:val="17"/>
                <w:szCs w:val="17"/>
                <w:color w:val="auto"/>
              </w:rPr>
              <w:t>Section 3.01</w:t>
            </w:r>
          </w:p>
        </w:tc>
        <w:tc>
          <w:tcPr>
            <w:tcW w:w="7120" w:type="dxa"/>
            <w:vAlign w:val="bottom"/>
            <w:gridSpan w:val="29"/>
          </w:tcPr>
          <w:p>
            <w:pPr>
              <w:spacing w:after="0"/>
              <w:rPr>
                <w:sz w:val="20"/>
                <w:szCs w:val="20"/>
                <w:color w:val="auto"/>
              </w:rPr>
            </w:pPr>
            <w:r>
              <w:rPr>
                <w:rFonts w:ascii="Arial" w:cs="Arial" w:eastAsia="Arial" w:hAnsi="Arial"/>
                <w:sz w:val="17"/>
                <w:szCs w:val="17"/>
                <w:color w:val="auto"/>
              </w:rPr>
              <w:t>Organization and Good Standing</w:t>
            </w:r>
          </w:p>
        </w:tc>
        <w:tc>
          <w:tcPr>
            <w:tcW w:w="25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
        </w:trPr>
        <w:tc>
          <w:tcPr>
            <w:tcW w:w="1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3.02</w:t>
            </w:r>
          </w:p>
        </w:tc>
        <w:tc>
          <w:tcPr>
            <w:tcW w:w="2560" w:type="dxa"/>
            <w:vAlign w:val="bottom"/>
            <w:tcBorders>
              <w:bottom w:val="single" w:sz="8" w:color="auto"/>
            </w:tcBorders>
            <w:gridSpan w:val="25"/>
          </w:tcPr>
          <w:p>
            <w:pPr>
              <w:spacing w:after="0" w:line="180" w:lineRule="exact"/>
              <w:rPr>
                <w:sz w:val="20"/>
                <w:szCs w:val="20"/>
                <w:color w:val="auto"/>
              </w:rPr>
            </w:pPr>
            <w:r>
              <w:rPr>
                <w:rFonts w:ascii="Arial" w:cs="Arial" w:eastAsia="Arial" w:hAnsi="Arial"/>
                <w:sz w:val="17"/>
                <w:szCs w:val="17"/>
                <w:color w:val="auto"/>
                <w:w w:val="91"/>
              </w:rPr>
              <w:t>Authorization; Validity of Agreements</w:t>
            </w:r>
          </w:p>
        </w:tc>
        <w:tc>
          <w:tcPr>
            <w:tcW w:w="4560" w:type="dxa"/>
            <w:vAlign w:val="bottom"/>
            <w:gridSpan w:val="4"/>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16</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3.03</w:t>
            </w:r>
          </w:p>
        </w:tc>
        <w:tc>
          <w:tcPr>
            <w:tcW w:w="2640" w:type="dxa"/>
            <w:vAlign w:val="bottom"/>
            <w:tcBorders>
              <w:bottom w:val="single" w:sz="8" w:color="auto"/>
            </w:tcBorders>
            <w:gridSpan w:val="26"/>
          </w:tcPr>
          <w:p>
            <w:pPr>
              <w:spacing w:after="0" w:line="180" w:lineRule="exact"/>
              <w:rPr>
                <w:sz w:val="20"/>
                <w:szCs w:val="20"/>
                <w:color w:val="auto"/>
              </w:rPr>
            </w:pPr>
            <w:r>
              <w:rPr>
                <w:rFonts w:ascii="Arial" w:cs="Arial" w:eastAsia="Arial" w:hAnsi="Arial"/>
                <w:sz w:val="17"/>
                <w:szCs w:val="17"/>
                <w:color w:val="auto"/>
                <w:w w:val="88"/>
              </w:rPr>
              <w:t>Consents and Approvals; No Violations</w:t>
            </w:r>
          </w:p>
        </w:tc>
        <w:tc>
          <w:tcPr>
            <w:tcW w:w="4480" w:type="dxa"/>
            <w:vAlign w:val="bottom"/>
            <w:gridSpan w:val="3"/>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16</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3.04</w:t>
            </w:r>
          </w:p>
        </w:tc>
        <w:tc>
          <w:tcPr>
            <w:tcW w:w="1980" w:type="dxa"/>
            <w:vAlign w:val="bottom"/>
            <w:tcBorders>
              <w:bottom w:val="single" w:sz="8" w:color="auto"/>
            </w:tcBorders>
            <w:gridSpan w:val="22"/>
          </w:tcPr>
          <w:p>
            <w:pPr>
              <w:spacing w:after="0" w:line="180" w:lineRule="exact"/>
              <w:rPr>
                <w:sz w:val="20"/>
                <w:szCs w:val="20"/>
                <w:color w:val="auto"/>
              </w:rPr>
            </w:pPr>
            <w:r>
              <w:rPr>
                <w:rFonts w:ascii="Arial" w:cs="Arial" w:eastAsia="Arial" w:hAnsi="Arial"/>
                <w:sz w:val="17"/>
                <w:szCs w:val="17"/>
                <w:color w:val="auto"/>
                <w:w w:val="88"/>
              </w:rPr>
              <w:t>Capitalization and Ownership</w:t>
            </w:r>
          </w:p>
        </w:tc>
        <w:tc>
          <w:tcPr>
            <w:tcW w:w="5140" w:type="dxa"/>
            <w:vAlign w:val="bottom"/>
            <w:gridSpan w:val="7"/>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17</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3.05</w:t>
            </w:r>
          </w:p>
        </w:tc>
        <w:tc>
          <w:tcPr>
            <w:tcW w:w="7120" w:type="dxa"/>
            <w:vAlign w:val="bottom"/>
            <w:gridSpan w:val="29"/>
          </w:tcPr>
          <w:p>
            <w:pPr>
              <w:spacing w:after="0" w:line="180" w:lineRule="exact"/>
              <w:rPr>
                <w:sz w:val="20"/>
                <w:szCs w:val="20"/>
                <w:color w:val="auto"/>
              </w:rPr>
            </w:pPr>
            <w:r>
              <w:rPr>
                <w:rFonts w:ascii="Arial" w:cs="Arial" w:eastAsia="Arial" w:hAnsi="Arial"/>
                <w:sz w:val="17"/>
                <w:szCs w:val="17"/>
                <w:color w:val="auto"/>
              </w:rPr>
              <w:t>Financial Statements</w:t>
            </w: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17</w:t>
            </w:r>
          </w:p>
        </w:tc>
      </w:tr>
      <w:tr>
        <w:trPr>
          <w:trHeight w:val="20"/>
        </w:trPr>
        <w:tc>
          <w:tcPr>
            <w:tcW w:w="1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3.06</w:t>
            </w:r>
          </w:p>
        </w:tc>
        <w:tc>
          <w:tcPr>
            <w:tcW w:w="1780" w:type="dxa"/>
            <w:vAlign w:val="bottom"/>
            <w:tcBorders>
              <w:bottom w:val="single" w:sz="8" w:color="auto"/>
            </w:tcBorders>
            <w:gridSpan w:val="19"/>
          </w:tcPr>
          <w:p>
            <w:pPr>
              <w:spacing w:after="0" w:line="180" w:lineRule="exact"/>
              <w:rPr>
                <w:sz w:val="20"/>
                <w:szCs w:val="20"/>
                <w:color w:val="auto"/>
              </w:rPr>
            </w:pPr>
            <w:r>
              <w:rPr>
                <w:rFonts w:ascii="Arial" w:cs="Arial" w:eastAsia="Arial" w:hAnsi="Arial"/>
                <w:sz w:val="17"/>
                <w:szCs w:val="17"/>
                <w:color w:val="auto"/>
                <w:w w:val="90"/>
              </w:rPr>
              <w:t>No Undisclosed Liabilities</w:t>
            </w:r>
          </w:p>
        </w:tc>
        <w:tc>
          <w:tcPr>
            <w:tcW w:w="5340" w:type="dxa"/>
            <w:vAlign w:val="bottom"/>
            <w:gridSpan w:val="10"/>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18</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3.07</w:t>
            </w:r>
          </w:p>
        </w:tc>
        <w:tc>
          <w:tcPr>
            <w:tcW w:w="1900" w:type="dxa"/>
            <w:vAlign w:val="bottom"/>
            <w:tcBorders>
              <w:bottom w:val="single" w:sz="8" w:color="auto"/>
            </w:tcBorders>
            <w:gridSpan w:val="20"/>
          </w:tcPr>
          <w:p>
            <w:pPr>
              <w:spacing w:after="0" w:line="180" w:lineRule="exact"/>
              <w:rPr>
                <w:sz w:val="20"/>
                <w:szCs w:val="20"/>
                <w:color w:val="auto"/>
              </w:rPr>
            </w:pPr>
            <w:r>
              <w:rPr>
                <w:rFonts w:ascii="Arial" w:cs="Arial" w:eastAsia="Arial" w:hAnsi="Arial"/>
                <w:sz w:val="17"/>
                <w:szCs w:val="17"/>
                <w:color w:val="auto"/>
                <w:w w:val="86"/>
              </w:rPr>
              <w:t>Absence of Certain Changes</w:t>
            </w:r>
          </w:p>
        </w:tc>
        <w:tc>
          <w:tcPr>
            <w:tcW w:w="5220" w:type="dxa"/>
            <w:vAlign w:val="bottom"/>
            <w:gridSpan w:val="9"/>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18</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3.08</w:t>
            </w:r>
          </w:p>
        </w:tc>
        <w:tc>
          <w:tcPr>
            <w:tcW w:w="920" w:type="dxa"/>
            <w:vAlign w:val="bottom"/>
            <w:tcBorders>
              <w:bottom w:val="single" w:sz="8" w:color="auto"/>
            </w:tcBorders>
            <w:gridSpan w:val="5"/>
          </w:tcPr>
          <w:p>
            <w:pPr>
              <w:spacing w:after="0" w:line="180" w:lineRule="exact"/>
              <w:rPr>
                <w:sz w:val="20"/>
                <w:szCs w:val="20"/>
                <w:color w:val="auto"/>
              </w:rPr>
            </w:pPr>
            <w:r>
              <w:rPr>
                <w:rFonts w:ascii="Arial" w:cs="Arial" w:eastAsia="Arial" w:hAnsi="Arial"/>
                <w:sz w:val="17"/>
                <w:szCs w:val="17"/>
                <w:color w:val="auto"/>
                <w:w w:val="86"/>
              </w:rPr>
              <w:t>Real Property</w:t>
            </w:r>
          </w:p>
        </w:tc>
        <w:tc>
          <w:tcPr>
            <w:tcW w:w="6200" w:type="dxa"/>
            <w:vAlign w:val="bottom"/>
            <w:gridSpan w:val="24"/>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18</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3.09</w:t>
            </w:r>
          </w:p>
        </w:tc>
        <w:tc>
          <w:tcPr>
            <w:tcW w:w="7120" w:type="dxa"/>
            <w:vAlign w:val="bottom"/>
            <w:gridSpan w:val="29"/>
          </w:tcPr>
          <w:p>
            <w:pPr>
              <w:spacing w:after="0" w:line="180" w:lineRule="exact"/>
              <w:rPr>
                <w:sz w:val="20"/>
                <w:szCs w:val="20"/>
                <w:color w:val="auto"/>
              </w:rPr>
            </w:pPr>
            <w:r>
              <w:rPr>
                <w:rFonts w:ascii="Arial" w:cs="Arial" w:eastAsia="Arial" w:hAnsi="Arial"/>
                <w:sz w:val="17"/>
                <w:szCs w:val="17"/>
                <w:color w:val="auto"/>
              </w:rPr>
              <w:t>Proceedings; Orders</w:t>
            </w: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19</w:t>
            </w:r>
          </w:p>
        </w:tc>
      </w:tr>
      <w:tr>
        <w:trPr>
          <w:trHeight w:val="20"/>
        </w:trPr>
        <w:tc>
          <w:tcPr>
            <w:tcW w:w="1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3.10</w:t>
            </w:r>
          </w:p>
        </w:tc>
        <w:tc>
          <w:tcPr>
            <w:tcW w:w="2180" w:type="dxa"/>
            <w:vAlign w:val="bottom"/>
            <w:tcBorders>
              <w:bottom w:val="single" w:sz="8" w:color="auto"/>
            </w:tcBorders>
            <w:gridSpan w:val="24"/>
          </w:tcPr>
          <w:p>
            <w:pPr>
              <w:spacing w:after="0" w:line="180" w:lineRule="exact"/>
              <w:rPr>
                <w:sz w:val="20"/>
                <w:szCs w:val="20"/>
                <w:color w:val="auto"/>
              </w:rPr>
            </w:pPr>
            <w:r>
              <w:rPr>
                <w:rFonts w:ascii="Arial" w:cs="Arial" w:eastAsia="Arial" w:hAnsi="Arial"/>
                <w:sz w:val="17"/>
                <w:szCs w:val="17"/>
                <w:color w:val="auto"/>
                <w:w w:val="90"/>
              </w:rPr>
              <w:t>Compliance with Laws; Permits</w:t>
            </w:r>
          </w:p>
        </w:tc>
        <w:tc>
          <w:tcPr>
            <w:tcW w:w="4940" w:type="dxa"/>
            <w:vAlign w:val="bottom"/>
            <w:gridSpan w:val="5"/>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19</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3.11</w:t>
            </w:r>
          </w:p>
        </w:tc>
        <w:tc>
          <w:tcPr>
            <w:tcW w:w="1380" w:type="dxa"/>
            <w:vAlign w:val="bottom"/>
            <w:tcBorders>
              <w:bottom w:val="single" w:sz="8" w:color="auto"/>
            </w:tcBorders>
            <w:gridSpan w:val="11"/>
          </w:tcPr>
          <w:p>
            <w:pPr>
              <w:spacing w:after="0" w:line="180" w:lineRule="exact"/>
              <w:rPr>
                <w:sz w:val="20"/>
                <w:szCs w:val="20"/>
                <w:color w:val="auto"/>
              </w:rPr>
            </w:pPr>
            <w:r>
              <w:rPr>
                <w:rFonts w:ascii="Arial" w:cs="Arial" w:eastAsia="Arial" w:hAnsi="Arial"/>
                <w:sz w:val="17"/>
                <w:szCs w:val="17"/>
                <w:color w:val="auto"/>
                <w:w w:val="89"/>
              </w:rPr>
              <w:t>Intellectual Property</w:t>
            </w:r>
          </w:p>
        </w:tc>
        <w:tc>
          <w:tcPr>
            <w:tcW w:w="5740" w:type="dxa"/>
            <w:vAlign w:val="bottom"/>
            <w:gridSpan w:val="18"/>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19</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3.12</w:t>
            </w:r>
          </w:p>
        </w:tc>
        <w:tc>
          <w:tcPr>
            <w:tcW w:w="960" w:type="dxa"/>
            <w:vAlign w:val="bottom"/>
            <w:tcBorders>
              <w:bottom w:val="single" w:sz="8" w:color="auto"/>
            </w:tcBorders>
            <w:gridSpan w:val="7"/>
          </w:tcPr>
          <w:p>
            <w:pPr>
              <w:spacing w:after="0" w:line="180" w:lineRule="exact"/>
              <w:rPr>
                <w:sz w:val="20"/>
                <w:szCs w:val="20"/>
                <w:color w:val="auto"/>
              </w:rPr>
            </w:pPr>
            <w:r>
              <w:rPr>
                <w:rFonts w:ascii="Arial" w:cs="Arial" w:eastAsia="Arial" w:hAnsi="Arial"/>
                <w:sz w:val="17"/>
                <w:szCs w:val="17"/>
                <w:color w:val="auto"/>
                <w:w w:val="88"/>
              </w:rPr>
              <w:t>Title to Assets</w:t>
            </w:r>
          </w:p>
        </w:tc>
        <w:tc>
          <w:tcPr>
            <w:tcW w:w="6160" w:type="dxa"/>
            <w:vAlign w:val="bottom"/>
            <w:gridSpan w:val="22"/>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20</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3.13</w:t>
            </w:r>
          </w:p>
        </w:tc>
        <w:tc>
          <w:tcPr>
            <w:tcW w:w="1240" w:type="dxa"/>
            <w:vAlign w:val="bottom"/>
            <w:tcBorders>
              <w:bottom w:val="single" w:sz="8" w:color="auto"/>
            </w:tcBorders>
            <w:gridSpan w:val="9"/>
          </w:tcPr>
          <w:p>
            <w:pPr>
              <w:spacing w:after="0" w:line="180" w:lineRule="exact"/>
              <w:rPr>
                <w:sz w:val="20"/>
                <w:szCs w:val="20"/>
                <w:color w:val="auto"/>
              </w:rPr>
            </w:pPr>
            <w:r>
              <w:rPr>
                <w:rFonts w:ascii="Arial" w:cs="Arial" w:eastAsia="Arial" w:hAnsi="Arial"/>
                <w:sz w:val="17"/>
                <w:szCs w:val="17"/>
                <w:color w:val="auto"/>
                <w:w w:val="88"/>
              </w:rPr>
              <w:t>Material Contracts</w:t>
            </w:r>
          </w:p>
        </w:tc>
        <w:tc>
          <w:tcPr>
            <w:tcW w:w="5880" w:type="dxa"/>
            <w:vAlign w:val="bottom"/>
            <w:gridSpan w:val="20"/>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20</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3.14</w:t>
            </w:r>
          </w:p>
        </w:tc>
        <w:tc>
          <w:tcPr>
            <w:tcW w:w="1340" w:type="dxa"/>
            <w:vAlign w:val="bottom"/>
            <w:tcBorders>
              <w:bottom w:val="single" w:sz="8" w:color="auto"/>
            </w:tcBorders>
            <w:gridSpan w:val="10"/>
          </w:tcPr>
          <w:p>
            <w:pPr>
              <w:spacing w:after="0" w:line="180" w:lineRule="exact"/>
              <w:rPr>
                <w:sz w:val="20"/>
                <w:szCs w:val="20"/>
                <w:color w:val="auto"/>
              </w:rPr>
            </w:pPr>
            <w:r>
              <w:rPr>
                <w:rFonts w:ascii="Arial" w:cs="Arial" w:eastAsia="Arial" w:hAnsi="Arial"/>
                <w:sz w:val="17"/>
                <w:szCs w:val="17"/>
                <w:color w:val="auto"/>
                <w:w w:val="84"/>
              </w:rPr>
              <w:t>Insurance Coverage</w:t>
            </w:r>
          </w:p>
        </w:tc>
        <w:tc>
          <w:tcPr>
            <w:tcW w:w="5780" w:type="dxa"/>
            <w:vAlign w:val="bottom"/>
            <w:gridSpan w:val="19"/>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22</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3.15</w:t>
            </w:r>
          </w:p>
        </w:tc>
        <w:tc>
          <w:tcPr>
            <w:tcW w:w="1540" w:type="dxa"/>
            <w:vAlign w:val="bottom"/>
            <w:tcBorders>
              <w:bottom w:val="single" w:sz="8" w:color="auto"/>
            </w:tcBorders>
            <w:gridSpan w:val="14"/>
          </w:tcPr>
          <w:p>
            <w:pPr>
              <w:spacing w:after="0" w:line="180" w:lineRule="exact"/>
              <w:rPr>
                <w:sz w:val="20"/>
                <w:szCs w:val="20"/>
                <w:color w:val="auto"/>
              </w:rPr>
            </w:pPr>
            <w:r>
              <w:rPr>
                <w:rFonts w:ascii="Arial" w:cs="Arial" w:eastAsia="Arial" w:hAnsi="Arial"/>
                <w:sz w:val="17"/>
                <w:szCs w:val="17"/>
                <w:color w:val="auto"/>
                <w:w w:val="89"/>
              </w:rPr>
              <w:t>Environmental Matters</w:t>
            </w:r>
          </w:p>
        </w:tc>
        <w:tc>
          <w:tcPr>
            <w:tcW w:w="5580" w:type="dxa"/>
            <w:vAlign w:val="bottom"/>
            <w:gridSpan w:val="15"/>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22</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3.16</w:t>
            </w:r>
          </w:p>
        </w:tc>
        <w:tc>
          <w:tcPr>
            <w:tcW w:w="7120" w:type="dxa"/>
            <w:vAlign w:val="bottom"/>
            <w:gridSpan w:val="29"/>
          </w:tcPr>
          <w:p>
            <w:pPr>
              <w:spacing w:after="0" w:line="180" w:lineRule="exact"/>
              <w:rPr>
                <w:sz w:val="20"/>
                <w:szCs w:val="20"/>
                <w:color w:val="auto"/>
              </w:rPr>
            </w:pPr>
            <w:r>
              <w:rPr>
                <w:rFonts w:ascii="Arial" w:cs="Arial" w:eastAsia="Arial" w:hAnsi="Arial"/>
                <w:sz w:val="17"/>
                <w:szCs w:val="17"/>
                <w:color w:val="auto"/>
              </w:rPr>
              <w:t>Employee Benefit Plans</w:t>
            </w: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22</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3.17</w:t>
            </w:r>
          </w:p>
        </w:tc>
        <w:tc>
          <w:tcPr>
            <w:tcW w:w="1600" w:type="dxa"/>
            <w:vAlign w:val="bottom"/>
            <w:tcBorders>
              <w:top w:val="single" w:sz="8" w:color="auto"/>
            </w:tcBorders>
            <w:gridSpan w:val="15"/>
          </w:tcPr>
          <w:p>
            <w:pPr>
              <w:spacing w:after="0" w:line="180" w:lineRule="exact"/>
              <w:rPr>
                <w:sz w:val="20"/>
                <w:szCs w:val="20"/>
                <w:color w:val="auto"/>
              </w:rPr>
            </w:pPr>
            <w:r>
              <w:rPr>
                <w:rFonts w:ascii="Arial" w:cs="Arial" w:eastAsia="Arial" w:hAnsi="Arial"/>
                <w:sz w:val="17"/>
                <w:szCs w:val="17"/>
                <w:color w:val="auto"/>
              </w:rPr>
              <w:t>Labor Matters</w:t>
            </w:r>
          </w:p>
        </w:tc>
        <w:tc>
          <w:tcPr>
            <w:tcW w:w="5520" w:type="dxa"/>
            <w:vAlign w:val="bottom"/>
            <w:gridSpan w:val="14"/>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24</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3.18</w:t>
            </w:r>
          </w:p>
        </w:tc>
        <w:tc>
          <w:tcPr>
            <w:tcW w:w="940" w:type="dxa"/>
            <w:vAlign w:val="bottom"/>
            <w:tcBorders>
              <w:top w:val="single" w:sz="8" w:color="auto"/>
            </w:tcBorders>
            <w:gridSpan w:val="6"/>
          </w:tcPr>
          <w:p>
            <w:pPr>
              <w:spacing w:after="0" w:line="180" w:lineRule="exact"/>
              <w:rPr>
                <w:sz w:val="20"/>
                <w:szCs w:val="20"/>
                <w:color w:val="auto"/>
              </w:rPr>
            </w:pPr>
            <w:r>
              <w:rPr>
                <w:rFonts w:ascii="Arial" w:cs="Arial" w:eastAsia="Arial" w:hAnsi="Arial"/>
                <w:sz w:val="17"/>
                <w:szCs w:val="17"/>
                <w:color w:val="auto"/>
              </w:rPr>
              <w:t>Taxes</w:t>
            </w:r>
          </w:p>
        </w:tc>
        <w:tc>
          <w:tcPr>
            <w:tcW w:w="6180" w:type="dxa"/>
            <w:vAlign w:val="bottom"/>
            <w:gridSpan w:val="23"/>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24</w:t>
            </w:r>
          </w:p>
        </w:tc>
      </w:tr>
      <w:tr>
        <w:trPr>
          <w:trHeight w:val="20"/>
        </w:trPr>
        <w:tc>
          <w:tcPr>
            <w:tcW w:w="1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3.19</w:t>
            </w:r>
          </w:p>
        </w:tc>
        <w:tc>
          <w:tcPr>
            <w:tcW w:w="7120" w:type="dxa"/>
            <w:vAlign w:val="bottom"/>
            <w:gridSpan w:val="29"/>
          </w:tcPr>
          <w:p>
            <w:pPr>
              <w:spacing w:after="0" w:line="180" w:lineRule="exact"/>
              <w:rPr>
                <w:sz w:val="20"/>
                <w:szCs w:val="20"/>
                <w:color w:val="auto"/>
              </w:rPr>
            </w:pPr>
            <w:r>
              <w:rPr>
                <w:rFonts w:ascii="Arial" w:cs="Arial" w:eastAsia="Arial" w:hAnsi="Arial"/>
                <w:sz w:val="17"/>
                <w:szCs w:val="17"/>
                <w:color w:val="auto"/>
              </w:rPr>
              <w:t>Brokers or Finders</w:t>
            </w: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25</w:t>
            </w:r>
          </w:p>
        </w:tc>
      </w:tr>
      <w:tr>
        <w:trPr>
          <w:trHeight w:val="20"/>
        </w:trPr>
        <w:tc>
          <w:tcPr>
            <w:tcW w:w="17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20" w:type="dxa"/>
            <w:vAlign w:val="bottom"/>
            <w:gridSpan w:val="5"/>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3.20</w:t>
            </w:r>
          </w:p>
        </w:tc>
        <w:tc>
          <w:tcPr>
            <w:tcW w:w="7120" w:type="dxa"/>
            <w:vAlign w:val="bottom"/>
            <w:gridSpan w:val="29"/>
          </w:tcPr>
          <w:p>
            <w:pPr>
              <w:spacing w:after="0" w:line="180" w:lineRule="exact"/>
              <w:rPr>
                <w:sz w:val="20"/>
                <w:szCs w:val="20"/>
                <w:color w:val="auto"/>
              </w:rPr>
            </w:pPr>
            <w:r>
              <w:rPr>
                <w:rFonts w:ascii="Arial" w:cs="Arial" w:eastAsia="Arial" w:hAnsi="Arial"/>
                <w:sz w:val="17"/>
                <w:szCs w:val="17"/>
                <w:color w:val="auto"/>
              </w:rPr>
              <w:t>Affiliate Transactions</w:t>
            </w: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25</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3.21</w:t>
            </w:r>
          </w:p>
        </w:tc>
        <w:tc>
          <w:tcPr>
            <w:tcW w:w="1440" w:type="dxa"/>
            <w:vAlign w:val="bottom"/>
            <w:tcBorders>
              <w:top w:val="single" w:sz="8" w:color="auto"/>
            </w:tcBorders>
            <w:gridSpan w:val="12"/>
          </w:tcPr>
          <w:p>
            <w:pPr>
              <w:spacing w:after="0" w:line="180" w:lineRule="exact"/>
              <w:rPr>
                <w:sz w:val="20"/>
                <w:szCs w:val="20"/>
                <w:color w:val="auto"/>
              </w:rPr>
            </w:pPr>
            <w:r>
              <w:rPr>
                <w:rFonts w:ascii="Arial" w:cs="Arial" w:eastAsia="Arial" w:hAnsi="Arial"/>
                <w:sz w:val="17"/>
                <w:szCs w:val="17"/>
                <w:color w:val="auto"/>
              </w:rPr>
              <w:t>Suppliers</w:t>
            </w:r>
          </w:p>
        </w:tc>
        <w:tc>
          <w:tcPr>
            <w:tcW w:w="5680" w:type="dxa"/>
            <w:vAlign w:val="bottom"/>
            <w:gridSpan w:val="17"/>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25</w:t>
            </w:r>
          </w:p>
        </w:tc>
      </w:tr>
      <w:tr>
        <w:trPr>
          <w:trHeight w:val="20"/>
        </w:trPr>
        <w:tc>
          <w:tcPr>
            <w:tcW w:w="17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3.22</w:t>
            </w:r>
          </w:p>
        </w:tc>
        <w:tc>
          <w:tcPr>
            <w:tcW w:w="7120" w:type="dxa"/>
            <w:vAlign w:val="bottom"/>
            <w:gridSpan w:val="29"/>
          </w:tcPr>
          <w:p>
            <w:pPr>
              <w:spacing w:after="0" w:line="180" w:lineRule="exact"/>
              <w:rPr>
                <w:sz w:val="20"/>
                <w:szCs w:val="20"/>
                <w:color w:val="auto"/>
              </w:rPr>
            </w:pPr>
            <w:r>
              <w:rPr>
                <w:rFonts w:ascii="Arial" w:cs="Arial" w:eastAsia="Arial" w:hAnsi="Arial"/>
                <w:sz w:val="17"/>
                <w:szCs w:val="17"/>
                <w:color w:val="auto"/>
              </w:rPr>
              <w:t>Merchants; Merchant Accounts</w:t>
            </w: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25</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3.23</w:t>
            </w:r>
          </w:p>
        </w:tc>
        <w:tc>
          <w:tcPr>
            <w:tcW w:w="1900" w:type="dxa"/>
            <w:vAlign w:val="bottom"/>
            <w:tcBorders>
              <w:top w:val="single" w:sz="8" w:color="auto"/>
              <w:bottom w:val="single" w:sz="8" w:color="auto"/>
            </w:tcBorders>
            <w:gridSpan w:val="20"/>
          </w:tcPr>
          <w:p>
            <w:pPr>
              <w:spacing w:after="0" w:line="180" w:lineRule="exact"/>
              <w:rPr>
                <w:sz w:val="20"/>
                <w:szCs w:val="20"/>
                <w:color w:val="auto"/>
              </w:rPr>
            </w:pPr>
            <w:r>
              <w:rPr>
                <w:rFonts w:ascii="Arial" w:cs="Arial" w:eastAsia="Arial" w:hAnsi="Arial"/>
                <w:sz w:val="17"/>
                <w:szCs w:val="17"/>
                <w:color w:val="auto"/>
                <w:w w:val="86"/>
              </w:rPr>
              <w:t>ISOs; Sales Agent Contracts</w:t>
            </w:r>
          </w:p>
        </w:tc>
        <w:tc>
          <w:tcPr>
            <w:tcW w:w="180" w:type="dxa"/>
            <w:vAlign w:val="bottom"/>
            <w:tcBorders>
              <w:top w:val="single" w:sz="8" w:color="auto"/>
            </w:tcBorders>
            <w:gridSpan w:val="3"/>
          </w:tcPr>
          <w:p>
            <w:pPr>
              <w:spacing w:after="0"/>
              <w:rPr>
                <w:sz w:val="15"/>
                <w:szCs w:val="15"/>
                <w:color w:val="auto"/>
              </w:rPr>
            </w:pPr>
          </w:p>
        </w:tc>
        <w:tc>
          <w:tcPr>
            <w:tcW w:w="5040" w:type="dxa"/>
            <w:vAlign w:val="bottom"/>
            <w:gridSpan w:val="6"/>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26</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3.24</w:t>
            </w:r>
          </w:p>
        </w:tc>
        <w:tc>
          <w:tcPr>
            <w:tcW w:w="1760" w:type="dxa"/>
            <w:vAlign w:val="bottom"/>
            <w:tcBorders>
              <w:bottom w:val="single" w:sz="8" w:color="auto"/>
            </w:tcBorders>
            <w:gridSpan w:val="18"/>
          </w:tcPr>
          <w:p>
            <w:pPr>
              <w:spacing w:after="0" w:line="180" w:lineRule="exact"/>
              <w:rPr>
                <w:sz w:val="20"/>
                <w:szCs w:val="20"/>
                <w:color w:val="auto"/>
              </w:rPr>
            </w:pPr>
            <w:r>
              <w:rPr>
                <w:rFonts w:ascii="Arial" w:cs="Arial" w:eastAsia="Arial" w:hAnsi="Arial"/>
                <w:sz w:val="17"/>
                <w:szCs w:val="17"/>
                <w:color w:val="auto"/>
                <w:w w:val="85"/>
              </w:rPr>
              <w:t>Certain Business Practices</w:t>
            </w:r>
          </w:p>
        </w:tc>
        <w:tc>
          <w:tcPr>
            <w:tcW w:w="5360" w:type="dxa"/>
            <w:vAlign w:val="bottom"/>
            <w:gridSpan w:val="11"/>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27</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3.25</w:t>
            </w:r>
          </w:p>
        </w:tc>
        <w:tc>
          <w:tcPr>
            <w:tcW w:w="1680" w:type="dxa"/>
            <w:vAlign w:val="bottom"/>
            <w:tcBorders>
              <w:bottom w:val="single" w:sz="8" w:color="auto"/>
            </w:tcBorders>
            <w:gridSpan w:val="17"/>
          </w:tcPr>
          <w:p>
            <w:pPr>
              <w:spacing w:after="0" w:line="180" w:lineRule="exact"/>
              <w:rPr>
                <w:sz w:val="20"/>
                <w:szCs w:val="20"/>
                <w:color w:val="auto"/>
              </w:rPr>
            </w:pPr>
            <w:r>
              <w:rPr>
                <w:rFonts w:ascii="Arial" w:cs="Arial" w:eastAsia="Arial" w:hAnsi="Arial"/>
                <w:sz w:val="17"/>
                <w:szCs w:val="17"/>
                <w:color w:val="auto"/>
                <w:w w:val="89"/>
              </w:rPr>
              <w:t>Money Laundering Laws</w:t>
            </w:r>
          </w:p>
        </w:tc>
        <w:tc>
          <w:tcPr>
            <w:tcW w:w="5440" w:type="dxa"/>
            <w:vAlign w:val="bottom"/>
            <w:gridSpan w:val="12"/>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27</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3.26</w:t>
            </w:r>
          </w:p>
        </w:tc>
        <w:tc>
          <w:tcPr>
            <w:tcW w:w="7120" w:type="dxa"/>
            <w:vAlign w:val="bottom"/>
            <w:gridSpan w:val="29"/>
          </w:tcPr>
          <w:p>
            <w:pPr>
              <w:spacing w:after="0" w:line="180" w:lineRule="exact"/>
              <w:rPr>
                <w:sz w:val="20"/>
                <w:szCs w:val="20"/>
                <w:color w:val="auto"/>
              </w:rPr>
            </w:pPr>
            <w:r>
              <w:rPr>
                <w:rFonts w:ascii="Arial" w:cs="Arial" w:eastAsia="Arial" w:hAnsi="Arial"/>
                <w:sz w:val="17"/>
                <w:szCs w:val="17"/>
                <w:color w:val="auto"/>
              </w:rPr>
              <w:t>OFAC</w:t>
            </w: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27</w:t>
            </w:r>
          </w:p>
        </w:tc>
      </w:tr>
      <w:tr>
        <w:trPr>
          <w:trHeight w:val="20"/>
        </w:trPr>
        <w:tc>
          <w:tcPr>
            <w:tcW w:w="17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0" w:type="dxa"/>
            <w:vAlign w:val="bottom"/>
            <w:gridSpan w:val="14"/>
          </w:tcPr>
          <w:p>
            <w:pPr>
              <w:spacing w:after="0" w:line="20" w:lineRule="exact"/>
              <w:rPr>
                <w:sz w:val="1"/>
                <w:szCs w:val="1"/>
                <w:color w:val="auto"/>
              </w:rPr>
            </w:pPr>
          </w:p>
        </w:tc>
        <w:tc>
          <w:tcPr>
            <w:tcW w:w="1360" w:type="dxa"/>
            <w:vAlign w:val="bottom"/>
            <w:gridSpan w:val="1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3.27</w:t>
            </w:r>
          </w:p>
        </w:tc>
        <w:tc>
          <w:tcPr>
            <w:tcW w:w="1620" w:type="dxa"/>
            <w:vAlign w:val="bottom"/>
            <w:tcBorders>
              <w:bottom w:val="single" w:sz="8" w:color="auto"/>
            </w:tcBorders>
            <w:gridSpan w:val="16"/>
          </w:tcPr>
          <w:p>
            <w:pPr>
              <w:spacing w:after="0" w:line="180" w:lineRule="exact"/>
              <w:rPr>
                <w:sz w:val="20"/>
                <w:szCs w:val="20"/>
                <w:color w:val="auto"/>
              </w:rPr>
            </w:pPr>
            <w:r>
              <w:rPr>
                <w:rFonts w:ascii="Arial" w:cs="Arial" w:eastAsia="Arial" w:hAnsi="Arial"/>
                <w:sz w:val="17"/>
                <w:szCs w:val="17"/>
                <w:color w:val="auto"/>
                <w:w w:val="86"/>
              </w:rPr>
              <w:t>Purchase for Investment</w:t>
            </w:r>
          </w:p>
        </w:tc>
        <w:tc>
          <w:tcPr>
            <w:tcW w:w="5500" w:type="dxa"/>
            <w:vAlign w:val="bottom"/>
            <w:gridSpan w:val="13"/>
          </w:tcPr>
          <w:p>
            <w:pPr>
              <w:spacing w:after="0"/>
              <w:rPr>
                <w:sz w:val="15"/>
                <w:szCs w:val="15"/>
                <w:color w:val="auto"/>
              </w:rPr>
            </w:pP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28</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3.28</w:t>
            </w:r>
          </w:p>
        </w:tc>
        <w:tc>
          <w:tcPr>
            <w:tcW w:w="7120" w:type="dxa"/>
            <w:vAlign w:val="bottom"/>
            <w:gridSpan w:val="29"/>
          </w:tcPr>
          <w:p>
            <w:pPr>
              <w:spacing w:after="0" w:line="180" w:lineRule="exact"/>
              <w:rPr>
                <w:sz w:val="20"/>
                <w:szCs w:val="20"/>
                <w:color w:val="auto"/>
              </w:rPr>
            </w:pPr>
            <w:r>
              <w:rPr>
                <w:rFonts w:ascii="Arial" w:cs="Arial" w:eastAsia="Arial" w:hAnsi="Arial"/>
                <w:sz w:val="17"/>
                <w:szCs w:val="17"/>
                <w:color w:val="auto"/>
              </w:rPr>
              <w:t>No Additional Representations or Warranties</w:t>
            </w:r>
          </w:p>
        </w:tc>
        <w:tc>
          <w:tcPr>
            <w:tcW w:w="2580" w:type="dxa"/>
            <w:vAlign w:val="bottom"/>
          </w:tcPr>
          <w:p>
            <w:pPr>
              <w:jc w:val="right"/>
              <w:spacing w:after="0" w:line="180" w:lineRule="exact"/>
              <w:rPr>
                <w:sz w:val="20"/>
                <w:szCs w:val="20"/>
                <w:color w:val="auto"/>
              </w:rPr>
            </w:pPr>
            <w:r>
              <w:rPr>
                <w:rFonts w:ascii="Arial" w:cs="Arial" w:eastAsia="Arial" w:hAnsi="Arial"/>
                <w:sz w:val="17"/>
                <w:szCs w:val="17"/>
                <w:color w:val="auto"/>
              </w:rPr>
              <w:t>28</w:t>
            </w:r>
          </w:p>
        </w:tc>
      </w:tr>
      <w:tr>
        <w:trPr>
          <w:trHeight w:val="333"/>
        </w:trPr>
        <w:tc>
          <w:tcPr>
            <w:tcW w:w="172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46"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00" w:type="dxa"/>
            <w:vAlign w:val="bottom"/>
            <w:gridSpan w:val="36"/>
          </w:tcPr>
          <w:p>
            <w:pPr>
              <w:spacing w:after="0"/>
              <w:rPr>
                <w:sz w:val="20"/>
                <w:szCs w:val="20"/>
                <w:color w:val="auto"/>
              </w:rPr>
            </w:pPr>
            <w:r>
              <w:rPr>
                <w:rFonts w:ascii="Arial" w:cs="Arial" w:eastAsia="Arial" w:hAnsi="Arial"/>
                <w:sz w:val="17"/>
                <w:szCs w:val="17"/>
                <w:color w:val="auto"/>
              </w:rPr>
              <w:t>ARTICLE IV REPRESENTATIONS AND WARRANTIES OF BUYER</w:t>
            </w:r>
          </w:p>
        </w:tc>
        <w:tc>
          <w:tcPr>
            <w:tcW w:w="30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61"/>
        </w:trPr>
        <w:tc>
          <w:tcPr>
            <w:tcW w:w="1720" w:type="dxa"/>
            <w:vAlign w:val="bottom"/>
          </w:tcPr>
          <w:p>
            <w:pPr>
              <w:ind w:left="580"/>
              <w:spacing w:after="0"/>
              <w:rPr>
                <w:sz w:val="20"/>
                <w:szCs w:val="20"/>
                <w:color w:val="auto"/>
              </w:rPr>
            </w:pPr>
            <w:r>
              <w:rPr>
                <w:rFonts w:ascii="Arial" w:cs="Arial" w:eastAsia="Arial" w:hAnsi="Arial"/>
                <w:sz w:val="17"/>
                <w:szCs w:val="17"/>
                <w:color w:val="auto"/>
              </w:rPr>
              <w:t>Section 4.01</w:t>
            </w:r>
          </w:p>
        </w:tc>
        <w:tc>
          <w:tcPr>
            <w:tcW w:w="6680" w:type="dxa"/>
            <w:vAlign w:val="bottom"/>
            <w:gridSpan w:val="35"/>
          </w:tcPr>
          <w:p>
            <w:pPr>
              <w:spacing w:after="0"/>
              <w:rPr>
                <w:sz w:val="20"/>
                <w:szCs w:val="20"/>
                <w:color w:val="auto"/>
              </w:rPr>
            </w:pPr>
            <w:r>
              <w:rPr>
                <w:rFonts w:ascii="Arial" w:cs="Arial" w:eastAsia="Arial" w:hAnsi="Arial"/>
                <w:sz w:val="17"/>
                <w:szCs w:val="17"/>
                <w:color w:val="auto"/>
              </w:rPr>
              <w:t>Organization</w:t>
            </w:r>
          </w:p>
        </w:tc>
        <w:tc>
          <w:tcPr>
            <w:tcW w:w="302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0"/>
        </w:trPr>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4.02</w:t>
            </w:r>
          </w:p>
        </w:tc>
        <w:tc>
          <w:tcPr>
            <w:tcW w:w="2500" w:type="dxa"/>
            <w:vAlign w:val="bottom"/>
            <w:tcBorders>
              <w:bottom w:val="single" w:sz="8" w:color="auto"/>
            </w:tcBorders>
            <w:gridSpan w:val="27"/>
          </w:tcPr>
          <w:p>
            <w:pPr>
              <w:spacing w:after="0" w:line="180" w:lineRule="exact"/>
              <w:rPr>
                <w:sz w:val="20"/>
                <w:szCs w:val="20"/>
                <w:color w:val="auto"/>
              </w:rPr>
            </w:pPr>
            <w:r>
              <w:rPr>
                <w:rFonts w:ascii="Arial" w:cs="Arial" w:eastAsia="Arial" w:hAnsi="Arial"/>
                <w:sz w:val="17"/>
                <w:szCs w:val="17"/>
                <w:color w:val="auto"/>
                <w:w w:val="91"/>
              </w:rPr>
              <w:t>Authorization; Validity of Agreement</w:t>
            </w:r>
          </w:p>
        </w:tc>
        <w:tc>
          <w:tcPr>
            <w:tcW w:w="4180" w:type="dxa"/>
            <w:vAlign w:val="bottom"/>
            <w:gridSpan w:val="8"/>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29</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4.03</w:t>
            </w:r>
          </w:p>
        </w:tc>
        <w:tc>
          <w:tcPr>
            <w:tcW w:w="2640" w:type="dxa"/>
            <w:vAlign w:val="bottom"/>
            <w:tcBorders>
              <w:bottom w:val="single" w:sz="8" w:color="auto"/>
            </w:tcBorders>
            <w:gridSpan w:val="29"/>
          </w:tcPr>
          <w:p>
            <w:pPr>
              <w:spacing w:after="0" w:line="180" w:lineRule="exact"/>
              <w:rPr>
                <w:sz w:val="20"/>
                <w:szCs w:val="20"/>
                <w:color w:val="auto"/>
              </w:rPr>
            </w:pPr>
            <w:r>
              <w:rPr>
                <w:rFonts w:ascii="Arial" w:cs="Arial" w:eastAsia="Arial" w:hAnsi="Arial"/>
                <w:sz w:val="17"/>
                <w:szCs w:val="17"/>
                <w:color w:val="auto"/>
                <w:w w:val="88"/>
              </w:rPr>
              <w:t>Consents and Approvals; No Violations</w:t>
            </w:r>
          </w:p>
        </w:tc>
        <w:tc>
          <w:tcPr>
            <w:tcW w:w="4040" w:type="dxa"/>
            <w:vAlign w:val="bottom"/>
            <w:gridSpan w:val="6"/>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29</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4.04</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Proceedings; Orders</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30</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4.05</w:t>
            </w:r>
          </w:p>
        </w:tc>
        <w:tc>
          <w:tcPr>
            <w:tcW w:w="1340" w:type="dxa"/>
            <w:vAlign w:val="bottom"/>
            <w:tcBorders>
              <w:top w:val="single" w:sz="8" w:color="auto"/>
            </w:tcBorders>
            <w:gridSpan w:val="12"/>
          </w:tcPr>
          <w:p>
            <w:pPr>
              <w:spacing w:after="0" w:line="180" w:lineRule="exact"/>
              <w:rPr>
                <w:sz w:val="20"/>
                <w:szCs w:val="20"/>
                <w:color w:val="auto"/>
              </w:rPr>
            </w:pPr>
            <w:r>
              <w:rPr>
                <w:rFonts w:ascii="Arial" w:cs="Arial" w:eastAsia="Arial" w:hAnsi="Arial"/>
                <w:sz w:val="17"/>
                <w:szCs w:val="17"/>
                <w:color w:val="auto"/>
              </w:rPr>
              <w:t>Capitalization</w:t>
            </w:r>
          </w:p>
        </w:tc>
        <w:tc>
          <w:tcPr>
            <w:tcW w:w="5340" w:type="dxa"/>
            <w:vAlign w:val="bottom"/>
            <w:gridSpan w:val="23"/>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30</w:t>
            </w:r>
          </w:p>
        </w:tc>
      </w:tr>
      <w:tr>
        <w:trPr>
          <w:trHeight w:val="20"/>
        </w:trPr>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4.06</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Trust Account</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31</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4.07</w:t>
            </w:r>
          </w:p>
        </w:tc>
        <w:tc>
          <w:tcPr>
            <w:tcW w:w="940" w:type="dxa"/>
            <w:vAlign w:val="bottom"/>
            <w:tcBorders>
              <w:top w:val="single" w:sz="8" w:color="auto"/>
            </w:tcBorders>
            <w:gridSpan w:val="5"/>
          </w:tcPr>
          <w:p>
            <w:pPr>
              <w:spacing w:after="0" w:line="180" w:lineRule="exact"/>
              <w:rPr>
                <w:sz w:val="20"/>
                <w:szCs w:val="20"/>
                <w:color w:val="auto"/>
              </w:rPr>
            </w:pPr>
            <w:r>
              <w:rPr>
                <w:rFonts w:ascii="Arial" w:cs="Arial" w:eastAsia="Arial" w:hAnsi="Arial"/>
                <w:sz w:val="17"/>
                <w:szCs w:val="17"/>
                <w:color w:val="auto"/>
              </w:rPr>
              <w:t>Listing</w:t>
            </w:r>
          </w:p>
        </w:tc>
        <w:tc>
          <w:tcPr>
            <w:tcW w:w="5740" w:type="dxa"/>
            <w:vAlign w:val="bottom"/>
            <w:gridSpan w:val="30"/>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31</w:t>
            </w:r>
          </w:p>
        </w:tc>
      </w:tr>
      <w:tr>
        <w:trPr>
          <w:trHeight w:val="20"/>
        </w:trPr>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4.08</w:t>
            </w:r>
          </w:p>
        </w:tc>
        <w:tc>
          <w:tcPr>
            <w:tcW w:w="2440" w:type="dxa"/>
            <w:vAlign w:val="bottom"/>
            <w:tcBorders>
              <w:bottom w:val="single" w:sz="8" w:color="auto"/>
            </w:tcBorders>
            <w:gridSpan w:val="25"/>
          </w:tcPr>
          <w:p>
            <w:pPr>
              <w:spacing w:after="0" w:line="180" w:lineRule="exact"/>
              <w:rPr>
                <w:sz w:val="20"/>
                <w:szCs w:val="20"/>
                <w:color w:val="auto"/>
              </w:rPr>
            </w:pPr>
            <w:r>
              <w:rPr>
                <w:rFonts w:ascii="Arial" w:cs="Arial" w:eastAsia="Arial" w:hAnsi="Arial"/>
                <w:sz w:val="17"/>
                <w:szCs w:val="17"/>
                <w:color w:val="auto"/>
                <w:w w:val="87"/>
              </w:rPr>
              <w:t>Buyer Reports; Financial Statements</w:t>
            </w:r>
          </w:p>
        </w:tc>
        <w:tc>
          <w:tcPr>
            <w:tcW w:w="4240" w:type="dxa"/>
            <w:vAlign w:val="bottom"/>
            <w:gridSpan w:val="10"/>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32</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4.09</w:t>
            </w:r>
          </w:p>
        </w:tc>
        <w:tc>
          <w:tcPr>
            <w:tcW w:w="2460" w:type="dxa"/>
            <w:vAlign w:val="bottom"/>
            <w:tcBorders>
              <w:bottom w:val="single" w:sz="8" w:color="auto"/>
            </w:tcBorders>
            <w:gridSpan w:val="26"/>
          </w:tcPr>
          <w:p>
            <w:pPr>
              <w:spacing w:after="0" w:line="180" w:lineRule="exact"/>
              <w:rPr>
                <w:sz w:val="20"/>
                <w:szCs w:val="20"/>
                <w:color w:val="auto"/>
              </w:rPr>
            </w:pPr>
            <w:r>
              <w:rPr>
                <w:rFonts w:ascii="Arial" w:cs="Arial" w:eastAsia="Arial" w:hAnsi="Arial"/>
                <w:sz w:val="17"/>
                <w:szCs w:val="17"/>
                <w:color w:val="auto"/>
                <w:w w:val="89"/>
              </w:rPr>
              <w:t>Investment Company Act; JOBS Act</w:t>
            </w:r>
          </w:p>
        </w:tc>
        <w:tc>
          <w:tcPr>
            <w:tcW w:w="4220" w:type="dxa"/>
            <w:vAlign w:val="bottom"/>
            <w:gridSpan w:val="9"/>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33</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4.10</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Affiliate Transactions</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34</w:t>
            </w:r>
          </w:p>
        </w:tc>
      </w:tr>
      <w:tr>
        <w:trPr>
          <w:trHeight w:val="20"/>
        </w:trPr>
        <w:tc>
          <w:tcPr>
            <w:tcW w:w="17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4.11</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Buyer Material Contracts</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34</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4.12</w:t>
            </w:r>
          </w:p>
        </w:tc>
        <w:tc>
          <w:tcPr>
            <w:tcW w:w="1680" w:type="dxa"/>
            <w:vAlign w:val="bottom"/>
            <w:tcBorders>
              <w:top w:val="single" w:sz="8" w:color="auto"/>
            </w:tcBorders>
            <w:gridSpan w:val="20"/>
          </w:tcPr>
          <w:p>
            <w:pPr>
              <w:spacing w:after="0" w:line="180" w:lineRule="exact"/>
              <w:rPr>
                <w:sz w:val="20"/>
                <w:szCs w:val="20"/>
                <w:color w:val="auto"/>
              </w:rPr>
            </w:pPr>
            <w:r>
              <w:rPr>
                <w:rFonts w:ascii="Arial" w:cs="Arial" w:eastAsia="Arial" w:hAnsi="Arial"/>
                <w:sz w:val="17"/>
                <w:szCs w:val="17"/>
                <w:color w:val="auto"/>
              </w:rPr>
              <w:t>Information Supplied</w:t>
            </w:r>
          </w:p>
        </w:tc>
        <w:tc>
          <w:tcPr>
            <w:tcW w:w="5000" w:type="dxa"/>
            <w:vAlign w:val="bottom"/>
            <w:gridSpan w:val="15"/>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34</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4.13</w:t>
            </w:r>
          </w:p>
        </w:tc>
        <w:tc>
          <w:tcPr>
            <w:tcW w:w="1180" w:type="dxa"/>
            <w:vAlign w:val="bottom"/>
            <w:tcBorders>
              <w:top w:val="single" w:sz="8" w:color="auto"/>
              <w:bottom w:val="single" w:sz="8" w:color="auto"/>
            </w:tcBorders>
            <w:gridSpan w:val="9"/>
          </w:tcPr>
          <w:p>
            <w:pPr>
              <w:spacing w:after="0" w:line="180" w:lineRule="exact"/>
              <w:rPr>
                <w:sz w:val="20"/>
                <w:szCs w:val="20"/>
                <w:color w:val="auto"/>
              </w:rPr>
            </w:pPr>
            <w:r>
              <w:rPr>
                <w:rFonts w:ascii="Arial" w:cs="Arial" w:eastAsia="Arial" w:hAnsi="Arial"/>
                <w:sz w:val="17"/>
                <w:szCs w:val="17"/>
                <w:color w:val="auto"/>
                <w:w w:val="82"/>
              </w:rPr>
              <w:t>Buyer Tax Matters</w:t>
            </w:r>
          </w:p>
        </w:tc>
        <w:tc>
          <w:tcPr>
            <w:tcW w:w="260" w:type="dxa"/>
            <w:vAlign w:val="bottom"/>
            <w:tcBorders>
              <w:top w:val="single" w:sz="8" w:color="auto"/>
            </w:tcBorders>
            <w:gridSpan w:val="4"/>
          </w:tcPr>
          <w:p>
            <w:pPr>
              <w:spacing w:after="0"/>
              <w:rPr>
                <w:sz w:val="15"/>
                <w:szCs w:val="15"/>
                <w:color w:val="auto"/>
              </w:rPr>
            </w:pPr>
          </w:p>
        </w:tc>
        <w:tc>
          <w:tcPr>
            <w:tcW w:w="5240" w:type="dxa"/>
            <w:vAlign w:val="bottom"/>
            <w:gridSpan w:val="22"/>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34</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4.14</w:t>
            </w:r>
          </w:p>
        </w:tc>
        <w:tc>
          <w:tcPr>
            <w:tcW w:w="1280" w:type="dxa"/>
            <w:vAlign w:val="bottom"/>
            <w:tcBorders>
              <w:bottom w:val="single" w:sz="8" w:color="auto"/>
            </w:tcBorders>
            <w:gridSpan w:val="10"/>
          </w:tcPr>
          <w:p>
            <w:pPr>
              <w:spacing w:after="0" w:line="180" w:lineRule="exact"/>
              <w:rPr>
                <w:sz w:val="20"/>
                <w:szCs w:val="20"/>
                <w:color w:val="auto"/>
              </w:rPr>
            </w:pPr>
            <w:r>
              <w:rPr>
                <w:rFonts w:ascii="Arial" w:cs="Arial" w:eastAsia="Arial" w:hAnsi="Arial"/>
                <w:sz w:val="17"/>
                <w:szCs w:val="17"/>
                <w:color w:val="auto"/>
                <w:w w:val="89"/>
              </w:rPr>
              <w:t>Business Activities</w:t>
            </w:r>
          </w:p>
        </w:tc>
        <w:tc>
          <w:tcPr>
            <w:tcW w:w="5400" w:type="dxa"/>
            <w:vAlign w:val="bottom"/>
            <w:gridSpan w:val="25"/>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35</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4.15</w:t>
            </w:r>
          </w:p>
        </w:tc>
        <w:tc>
          <w:tcPr>
            <w:tcW w:w="1620" w:type="dxa"/>
            <w:vAlign w:val="bottom"/>
            <w:tcBorders>
              <w:bottom w:val="single" w:sz="8" w:color="auto"/>
            </w:tcBorders>
            <w:gridSpan w:val="18"/>
          </w:tcPr>
          <w:p>
            <w:pPr>
              <w:spacing w:after="0" w:line="180" w:lineRule="exact"/>
              <w:rPr>
                <w:sz w:val="20"/>
                <w:szCs w:val="20"/>
                <w:color w:val="auto"/>
              </w:rPr>
            </w:pPr>
            <w:r>
              <w:rPr>
                <w:rFonts w:ascii="Arial" w:cs="Arial" w:eastAsia="Arial" w:hAnsi="Arial"/>
                <w:sz w:val="17"/>
                <w:szCs w:val="17"/>
                <w:color w:val="auto"/>
                <w:w w:val="86"/>
              </w:rPr>
              <w:t>Purchase for Investment</w:t>
            </w:r>
          </w:p>
        </w:tc>
        <w:tc>
          <w:tcPr>
            <w:tcW w:w="5060" w:type="dxa"/>
            <w:vAlign w:val="bottom"/>
            <w:gridSpan w:val="17"/>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36</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4.16</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Brokers or Finders</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36</w:t>
            </w:r>
          </w:p>
        </w:tc>
      </w:tr>
      <w:tr>
        <w:trPr>
          <w:trHeight w:val="20"/>
        </w:trPr>
        <w:tc>
          <w:tcPr>
            <w:tcW w:w="17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4.17</w:t>
            </w:r>
          </w:p>
        </w:tc>
        <w:tc>
          <w:tcPr>
            <w:tcW w:w="3300" w:type="dxa"/>
            <w:vAlign w:val="bottom"/>
            <w:tcBorders>
              <w:bottom w:val="single" w:sz="8" w:color="auto"/>
            </w:tcBorders>
            <w:gridSpan w:val="32"/>
          </w:tcPr>
          <w:p>
            <w:pPr>
              <w:spacing w:after="0" w:line="180" w:lineRule="exact"/>
              <w:rPr>
                <w:sz w:val="20"/>
                <w:szCs w:val="20"/>
                <w:color w:val="auto"/>
              </w:rPr>
            </w:pPr>
            <w:r>
              <w:rPr>
                <w:rFonts w:ascii="Arial" w:cs="Arial" w:eastAsia="Arial" w:hAnsi="Arial"/>
                <w:sz w:val="17"/>
                <w:szCs w:val="17"/>
                <w:color w:val="auto"/>
                <w:w w:val="88"/>
              </w:rPr>
              <w:t>Independent Investigation by Buyer; No Reliance</w:t>
            </w:r>
          </w:p>
        </w:tc>
        <w:tc>
          <w:tcPr>
            <w:tcW w:w="3380" w:type="dxa"/>
            <w:vAlign w:val="bottom"/>
            <w:gridSpan w:val="3"/>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36</w:t>
            </w:r>
          </w:p>
        </w:tc>
      </w:tr>
      <w:tr>
        <w:trPr>
          <w:trHeight w:val="416"/>
        </w:trPr>
        <w:tc>
          <w:tcPr>
            <w:tcW w:w="8400" w:type="dxa"/>
            <w:vAlign w:val="bottom"/>
            <w:gridSpan w:val="36"/>
          </w:tcPr>
          <w:p>
            <w:pPr>
              <w:spacing w:after="0"/>
              <w:rPr>
                <w:sz w:val="20"/>
                <w:szCs w:val="20"/>
                <w:color w:val="auto"/>
              </w:rPr>
            </w:pPr>
            <w:r>
              <w:rPr>
                <w:rFonts w:ascii="Arial" w:cs="Arial" w:eastAsia="Arial" w:hAnsi="Arial"/>
                <w:sz w:val="17"/>
                <w:szCs w:val="17"/>
                <w:color w:val="auto"/>
              </w:rPr>
              <w:t>ARTICLE V COVENANTS</w:t>
            </w:r>
          </w:p>
        </w:tc>
        <w:tc>
          <w:tcPr>
            <w:tcW w:w="302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61"/>
        </w:trPr>
        <w:tc>
          <w:tcPr>
            <w:tcW w:w="1720" w:type="dxa"/>
            <w:vAlign w:val="bottom"/>
          </w:tcPr>
          <w:p>
            <w:pPr>
              <w:ind w:left="580"/>
              <w:spacing w:after="0"/>
              <w:rPr>
                <w:sz w:val="20"/>
                <w:szCs w:val="20"/>
                <w:color w:val="auto"/>
              </w:rPr>
            </w:pPr>
            <w:r>
              <w:rPr>
                <w:rFonts w:ascii="Arial" w:cs="Arial" w:eastAsia="Arial" w:hAnsi="Arial"/>
                <w:sz w:val="17"/>
                <w:szCs w:val="17"/>
                <w:color w:val="auto"/>
              </w:rPr>
              <w:t>Section 5.01</w:t>
            </w:r>
          </w:p>
        </w:tc>
        <w:tc>
          <w:tcPr>
            <w:tcW w:w="6680" w:type="dxa"/>
            <w:vAlign w:val="bottom"/>
            <w:gridSpan w:val="35"/>
          </w:tcPr>
          <w:p>
            <w:pPr>
              <w:spacing w:after="0"/>
              <w:rPr>
                <w:sz w:val="20"/>
                <w:szCs w:val="20"/>
                <w:color w:val="auto"/>
              </w:rPr>
            </w:pPr>
            <w:r>
              <w:rPr>
                <w:rFonts w:ascii="Arial" w:cs="Arial" w:eastAsia="Arial" w:hAnsi="Arial"/>
                <w:sz w:val="17"/>
                <w:szCs w:val="17"/>
                <w:color w:val="auto"/>
              </w:rPr>
              <w:t>Conduct of the Company’s Business Pending the Closing</w:t>
            </w:r>
          </w:p>
        </w:tc>
        <w:tc>
          <w:tcPr>
            <w:tcW w:w="302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5.02</w:t>
            </w:r>
          </w:p>
        </w:tc>
        <w:tc>
          <w:tcPr>
            <w:tcW w:w="3800" w:type="dxa"/>
            <w:vAlign w:val="bottom"/>
            <w:tcBorders>
              <w:top w:val="single" w:sz="8" w:color="auto"/>
            </w:tcBorders>
            <w:gridSpan w:val="34"/>
          </w:tcPr>
          <w:p>
            <w:pPr>
              <w:spacing w:after="0" w:line="180" w:lineRule="exact"/>
              <w:rPr>
                <w:sz w:val="20"/>
                <w:szCs w:val="20"/>
                <w:color w:val="auto"/>
              </w:rPr>
            </w:pPr>
            <w:r>
              <w:rPr>
                <w:rFonts w:ascii="Arial" w:cs="Arial" w:eastAsia="Arial" w:hAnsi="Arial"/>
                <w:sz w:val="17"/>
                <w:szCs w:val="17"/>
                <w:color w:val="auto"/>
              </w:rPr>
              <w:t>Conduct of Buyer’s Business Pending the Closing</w:t>
            </w:r>
          </w:p>
        </w:tc>
        <w:tc>
          <w:tcPr>
            <w:tcW w:w="2880" w:type="dxa"/>
            <w:vAlign w:val="bottom"/>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38</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5.03</w:t>
            </w:r>
          </w:p>
        </w:tc>
        <w:tc>
          <w:tcPr>
            <w:tcW w:w="1480" w:type="dxa"/>
            <w:vAlign w:val="bottom"/>
            <w:tcBorders>
              <w:top w:val="single" w:sz="8" w:color="auto"/>
              <w:bottom w:val="single" w:sz="8" w:color="auto"/>
            </w:tcBorders>
            <w:gridSpan w:val="14"/>
          </w:tcPr>
          <w:p>
            <w:pPr>
              <w:spacing w:after="0" w:line="180" w:lineRule="exact"/>
              <w:rPr>
                <w:sz w:val="20"/>
                <w:szCs w:val="20"/>
                <w:color w:val="auto"/>
              </w:rPr>
            </w:pPr>
            <w:r>
              <w:rPr>
                <w:rFonts w:ascii="Arial" w:cs="Arial" w:eastAsia="Arial" w:hAnsi="Arial"/>
                <w:sz w:val="17"/>
                <w:szCs w:val="17"/>
                <w:color w:val="auto"/>
                <w:w w:val="89"/>
              </w:rPr>
              <w:t>Access to Information</w:t>
            </w:r>
          </w:p>
        </w:tc>
        <w:tc>
          <w:tcPr>
            <w:tcW w:w="1840" w:type="dxa"/>
            <w:vAlign w:val="bottom"/>
            <w:tcBorders>
              <w:top w:val="single" w:sz="8" w:color="auto"/>
            </w:tcBorders>
            <w:gridSpan w:val="19"/>
          </w:tcPr>
          <w:p>
            <w:pPr>
              <w:spacing w:after="0"/>
              <w:rPr>
                <w:sz w:val="15"/>
                <w:szCs w:val="15"/>
                <w:color w:val="auto"/>
              </w:rPr>
            </w:pPr>
          </w:p>
        </w:tc>
        <w:tc>
          <w:tcPr>
            <w:tcW w:w="3360" w:type="dxa"/>
            <w:vAlign w:val="bottom"/>
            <w:gridSpan w:val="2"/>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40</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5.04</w:t>
            </w:r>
          </w:p>
        </w:tc>
        <w:tc>
          <w:tcPr>
            <w:tcW w:w="1160" w:type="dxa"/>
            <w:vAlign w:val="bottom"/>
            <w:tcBorders>
              <w:bottom w:val="single" w:sz="8" w:color="auto"/>
            </w:tcBorders>
            <w:gridSpan w:val="8"/>
          </w:tcPr>
          <w:p>
            <w:pPr>
              <w:spacing w:after="0" w:line="180" w:lineRule="exact"/>
              <w:rPr>
                <w:sz w:val="20"/>
                <w:szCs w:val="20"/>
                <w:color w:val="auto"/>
              </w:rPr>
            </w:pPr>
            <w:r>
              <w:rPr>
                <w:rFonts w:ascii="Arial" w:cs="Arial" w:eastAsia="Arial" w:hAnsi="Arial"/>
                <w:sz w:val="17"/>
                <w:szCs w:val="17"/>
                <w:color w:val="auto"/>
                <w:w w:val="91"/>
              </w:rPr>
              <w:t>Form 8-K Filings</w:t>
            </w:r>
          </w:p>
        </w:tc>
        <w:tc>
          <w:tcPr>
            <w:tcW w:w="5520" w:type="dxa"/>
            <w:vAlign w:val="bottom"/>
            <w:gridSpan w:val="27"/>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41</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5.05</w:t>
            </w:r>
          </w:p>
        </w:tc>
        <w:tc>
          <w:tcPr>
            <w:tcW w:w="3140" w:type="dxa"/>
            <w:vAlign w:val="bottom"/>
            <w:tcBorders>
              <w:bottom w:val="single" w:sz="8" w:color="auto"/>
            </w:tcBorders>
            <w:gridSpan w:val="31"/>
          </w:tcPr>
          <w:p>
            <w:pPr>
              <w:spacing w:after="0" w:line="180" w:lineRule="exact"/>
              <w:rPr>
                <w:sz w:val="20"/>
                <w:szCs w:val="20"/>
                <w:color w:val="auto"/>
              </w:rPr>
            </w:pPr>
            <w:r>
              <w:rPr>
                <w:rFonts w:ascii="Arial" w:cs="Arial" w:eastAsia="Arial" w:hAnsi="Arial"/>
                <w:sz w:val="17"/>
                <w:szCs w:val="17"/>
                <w:color w:val="auto"/>
                <w:w w:val="88"/>
              </w:rPr>
              <w:t>Proxy Statement; Buyer Stockholders’ Meeting</w:t>
            </w:r>
          </w:p>
        </w:tc>
        <w:tc>
          <w:tcPr>
            <w:tcW w:w="3540" w:type="dxa"/>
            <w:vAlign w:val="bottom"/>
            <w:gridSpan w:val="4"/>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42</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5.06</w:t>
            </w:r>
          </w:p>
        </w:tc>
        <w:tc>
          <w:tcPr>
            <w:tcW w:w="760" w:type="dxa"/>
            <w:vAlign w:val="bottom"/>
            <w:tcBorders>
              <w:bottom w:val="single" w:sz="8" w:color="auto"/>
            </w:tcBorders>
            <w:gridSpan w:val="2"/>
          </w:tcPr>
          <w:p>
            <w:pPr>
              <w:spacing w:after="0" w:line="180" w:lineRule="exact"/>
              <w:rPr>
                <w:sz w:val="20"/>
                <w:szCs w:val="20"/>
                <w:color w:val="auto"/>
              </w:rPr>
            </w:pPr>
            <w:r>
              <w:rPr>
                <w:rFonts w:ascii="Arial" w:cs="Arial" w:eastAsia="Arial" w:hAnsi="Arial"/>
                <w:sz w:val="17"/>
                <w:szCs w:val="17"/>
                <w:color w:val="auto"/>
                <w:w w:val="93"/>
              </w:rPr>
              <w:t>Exclusivity</w:t>
            </w:r>
          </w:p>
        </w:tc>
        <w:tc>
          <w:tcPr>
            <w:tcW w:w="5920" w:type="dxa"/>
            <w:vAlign w:val="bottom"/>
            <w:gridSpan w:val="33"/>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44</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5.07</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Listing</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44</w:t>
            </w:r>
          </w:p>
        </w:tc>
      </w:tr>
      <w:tr>
        <w:trPr>
          <w:trHeight w:val="20"/>
        </w:trPr>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5.08</w:t>
            </w:r>
          </w:p>
        </w:tc>
        <w:tc>
          <w:tcPr>
            <w:tcW w:w="1580" w:type="dxa"/>
            <w:vAlign w:val="bottom"/>
            <w:tcBorders>
              <w:bottom w:val="single" w:sz="8" w:color="auto"/>
            </w:tcBorders>
            <w:gridSpan w:val="17"/>
          </w:tcPr>
          <w:p>
            <w:pPr>
              <w:spacing w:after="0" w:line="180" w:lineRule="exact"/>
              <w:rPr>
                <w:sz w:val="20"/>
                <w:szCs w:val="20"/>
                <w:color w:val="auto"/>
              </w:rPr>
            </w:pPr>
            <w:r>
              <w:rPr>
                <w:rFonts w:ascii="Arial" w:cs="Arial" w:eastAsia="Arial" w:hAnsi="Arial"/>
                <w:sz w:val="17"/>
                <w:szCs w:val="17"/>
                <w:color w:val="auto"/>
                <w:w w:val="86"/>
              </w:rPr>
              <w:t>Related Party Contracts</w:t>
            </w:r>
          </w:p>
        </w:tc>
        <w:tc>
          <w:tcPr>
            <w:tcW w:w="5100" w:type="dxa"/>
            <w:vAlign w:val="bottom"/>
            <w:gridSpan w:val="18"/>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44</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5.09</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Updates to the Disclosure Letter</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44</w:t>
            </w:r>
          </w:p>
        </w:tc>
      </w:tr>
      <w:tr>
        <w:trPr>
          <w:trHeight w:val="20"/>
        </w:trPr>
        <w:tc>
          <w:tcPr>
            <w:tcW w:w="1720" w:type="dxa"/>
            <w:vAlign w:val="bottom"/>
          </w:tcPr>
          <w:p>
            <w:pPr>
              <w:spacing w:after="0" w:line="20" w:lineRule="exact"/>
              <w:rPr>
                <w:sz w:val="1"/>
                <w:szCs w:val="1"/>
                <w:color w:val="auto"/>
              </w:rPr>
            </w:pPr>
          </w:p>
        </w:tc>
        <w:tc>
          <w:tcPr>
            <w:tcW w:w="104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5.10</w:t>
            </w:r>
          </w:p>
        </w:tc>
        <w:tc>
          <w:tcPr>
            <w:tcW w:w="2980" w:type="dxa"/>
            <w:vAlign w:val="bottom"/>
            <w:tcBorders>
              <w:bottom w:val="single" w:sz="8" w:color="auto"/>
            </w:tcBorders>
            <w:gridSpan w:val="30"/>
          </w:tcPr>
          <w:p>
            <w:pPr>
              <w:spacing w:after="0" w:line="180" w:lineRule="exact"/>
              <w:rPr>
                <w:sz w:val="20"/>
                <w:szCs w:val="20"/>
                <w:color w:val="auto"/>
              </w:rPr>
            </w:pPr>
            <w:r>
              <w:rPr>
                <w:rFonts w:ascii="Arial" w:cs="Arial" w:eastAsia="Arial" w:hAnsi="Arial"/>
                <w:sz w:val="17"/>
                <w:szCs w:val="17"/>
                <w:color w:val="auto"/>
                <w:w w:val="86"/>
              </w:rPr>
              <w:t>Reasonable Best Efforts; Further Assurances</w:t>
            </w:r>
          </w:p>
        </w:tc>
        <w:tc>
          <w:tcPr>
            <w:tcW w:w="3700" w:type="dxa"/>
            <w:vAlign w:val="bottom"/>
            <w:gridSpan w:val="5"/>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45</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5.11</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Certain Filings/Consents</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45</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5.12</w:t>
            </w:r>
          </w:p>
        </w:tc>
        <w:tc>
          <w:tcPr>
            <w:tcW w:w="1640" w:type="dxa"/>
            <w:vAlign w:val="bottom"/>
            <w:tcBorders>
              <w:top w:val="single" w:sz="8" w:color="auto"/>
            </w:tcBorders>
            <w:gridSpan w:val="19"/>
          </w:tcPr>
          <w:p>
            <w:pPr>
              <w:spacing w:after="0" w:line="180" w:lineRule="exact"/>
              <w:rPr>
                <w:sz w:val="20"/>
                <w:szCs w:val="20"/>
                <w:color w:val="auto"/>
              </w:rPr>
            </w:pPr>
            <w:r>
              <w:rPr>
                <w:rFonts w:ascii="Arial" w:cs="Arial" w:eastAsia="Arial" w:hAnsi="Arial"/>
                <w:sz w:val="17"/>
                <w:szCs w:val="17"/>
                <w:color w:val="auto"/>
                <w:w w:val="93"/>
              </w:rPr>
              <w:t>Public Announcements</w:t>
            </w:r>
          </w:p>
        </w:tc>
        <w:tc>
          <w:tcPr>
            <w:tcW w:w="5040" w:type="dxa"/>
            <w:vAlign w:val="bottom"/>
            <w:gridSpan w:val="16"/>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45</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5.13</w:t>
            </w:r>
          </w:p>
        </w:tc>
        <w:tc>
          <w:tcPr>
            <w:tcW w:w="1540" w:type="dxa"/>
            <w:vAlign w:val="bottom"/>
            <w:tcBorders>
              <w:top w:val="single" w:sz="8" w:color="auto"/>
            </w:tcBorders>
            <w:gridSpan w:val="16"/>
          </w:tcPr>
          <w:p>
            <w:pPr>
              <w:spacing w:after="0" w:line="180" w:lineRule="exact"/>
              <w:rPr>
                <w:sz w:val="20"/>
                <w:szCs w:val="20"/>
                <w:color w:val="auto"/>
              </w:rPr>
            </w:pPr>
            <w:r>
              <w:rPr>
                <w:rFonts w:ascii="Arial" w:cs="Arial" w:eastAsia="Arial" w:hAnsi="Arial"/>
                <w:sz w:val="17"/>
                <w:szCs w:val="17"/>
                <w:color w:val="auto"/>
              </w:rPr>
              <w:t>Certain Tax Matters</w:t>
            </w:r>
          </w:p>
        </w:tc>
        <w:tc>
          <w:tcPr>
            <w:tcW w:w="5140" w:type="dxa"/>
            <w:vAlign w:val="bottom"/>
            <w:gridSpan w:val="19"/>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45</w:t>
            </w:r>
          </w:p>
        </w:tc>
      </w:tr>
      <w:tr>
        <w:trPr>
          <w:trHeight w:val="20"/>
        </w:trPr>
        <w:tc>
          <w:tcPr>
            <w:tcW w:w="1720" w:type="dxa"/>
            <w:vAlign w:val="bottom"/>
          </w:tcPr>
          <w:p>
            <w:pPr>
              <w:spacing w:after="0" w:line="20" w:lineRule="exact"/>
              <w:rPr>
                <w:sz w:val="1"/>
                <w:szCs w:val="1"/>
                <w:color w:val="auto"/>
              </w:rPr>
            </w:pPr>
          </w:p>
        </w:tc>
        <w:tc>
          <w:tcPr>
            <w:tcW w:w="104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5.14</w:t>
            </w:r>
          </w:p>
        </w:tc>
        <w:tc>
          <w:tcPr>
            <w:tcW w:w="2200" w:type="dxa"/>
            <w:vAlign w:val="bottom"/>
            <w:tcBorders>
              <w:bottom w:val="single" w:sz="8" w:color="auto"/>
            </w:tcBorders>
            <w:gridSpan w:val="22"/>
          </w:tcPr>
          <w:p>
            <w:pPr>
              <w:spacing w:after="0" w:line="180" w:lineRule="exact"/>
              <w:rPr>
                <w:sz w:val="20"/>
                <w:szCs w:val="20"/>
                <w:color w:val="auto"/>
              </w:rPr>
            </w:pPr>
            <w:r>
              <w:rPr>
                <w:rFonts w:ascii="Arial" w:cs="Arial" w:eastAsia="Arial" w:hAnsi="Arial"/>
                <w:sz w:val="17"/>
                <w:szCs w:val="17"/>
                <w:color w:val="auto"/>
                <w:w w:val="90"/>
              </w:rPr>
              <w:t>No Claim Against Trust Account</w:t>
            </w:r>
          </w:p>
        </w:tc>
        <w:tc>
          <w:tcPr>
            <w:tcW w:w="4480" w:type="dxa"/>
            <w:vAlign w:val="bottom"/>
            <w:gridSpan w:val="13"/>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46</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5.15</w:t>
            </w:r>
          </w:p>
        </w:tc>
        <w:tc>
          <w:tcPr>
            <w:tcW w:w="1520" w:type="dxa"/>
            <w:vAlign w:val="bottom"/>
            <w:tcBorders>
              <w:bottom w:val="single" w:sz="8" w:color="auto"/>
            </w:tcBorders>
            <w:gridSpan w:val="15"/>
          </w:tcPr>
          <w:p>
            <w:pPr>
              <w:spacing w:after="0" w:line="180" w:lineRule="exact"/>
              <w:rPr>
                <w:sz w:val="20"/>
                <w:szCs w:val="20"/>
                <w:color w:val="auto"/>
              </w:rPr>
            </w:pPr>
            <w:r>
              <w:rPr>
                <w:rFonts w:ascii="Arial" w:cs="Arial" w:eastAsia="Arial" w:hAnsi="Arial"/>
                <w:sz w:val="17"/>
                <w:szCs w:val="17"/>
                <w:color w:val="auto"/>
                <w:w w:val="87"/>
              </w:rPr>
              <w:t>Earnout Incentive Plan</w:t>
            </w:r>
          </w:p>
        </w:tc>
        <w:tc>
          <w:tcPr>
            <w:tcW w:w="5160" w:type="dxa"/>
            <w:vAlign w:val="bottom"/>
            <w:gridSpan w:val="20"/>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46</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5.16</w:t>
            </w:r>
          </w:p>
        </w:tc>
        <w:tc>
          <w:tcPr>
            <w:tcW w:w="1060" w:type="dxa"/>
            <w:vAlign w:val="bottom"/>
            <w:tcBorders>
              <w:bottom w:val="single" w:sz="8" w:color="auto"/>
            </w:tcBorders>
            <w:gridSpan w:val="7"/>
          </w:tcPr>
          <w:p>
            <w:pPr>
              <w:spacing w:after="0" w:line="180" w:lineRule="exact"/>
              <w:rPr>
                <w:sz w:val="20"/>
                <w:szCs w:val="20"/>
                <w:color w:val="auto"/>
              </w:rPr>
            </w:pPr>
            <w:r>
              <w:rPr>
                <w:rFonts w:ascii="Arial" w:cs="Arial" w:eastAsia="Arial" w:hAnsi="Arial"/>
                <w:sz w:val="17"/>
                <w:szCs w:val="17"/>
                <w:color w:val="auto"/>
                <w:w w:val="89"/>
              </w:rPr>
              <w:t>D&amp;O Insurance</w:t>
            </w:r>
          </w:p>
        </w:tc>
        <w:tc>
          <w:tcPr>
            <w:tcW w:w="5620" w:type="dxa"/>
            <w:vAlign w:val="bottom"/>
            <w:gridSpan w:val="28"/>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47</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5.17</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Trust Extension</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47</w:t>
            </w:r>
          </w:p>
        </w:tc>
      </w:tr>
      <w:tr>
        <w:trPr>
          <w:trHeight w:val="20"/>
        </w:trPr>
        <w:tc>
          <w:tcPr>
            <w:tcW w:w="1720" w:type="dxa"/>
            <w:vAlign w:val="bottom"/>
          </w:tcPr>
          <w:p>
            <w:pPr>
              <w:spacing w:after="0" w:line="20" w:lineRule="exact"/>
              <w:rPr>
                <w:sz w:val="1"/>
                <w:szCs w:val="1"/>
                <w:color w:val="auto"/>
              </w:rPr>
            </w:pPr>
          </w:p>
        </w:tc>
        <w:tc>
          <w:tcPr>
            <w:tcW w:w="1040" w:type="dxa"/>
            <w:vAlign w:val="bottom"/>
            <w:gridSpan w:val="6"/>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60" w:type="dxa"/>
            <w:vAlign w:val="bottom"/>
            <w:gridSpan w:val="1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5.18</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Goldman Warrant</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48</w:t>
            </w:r>
          </w:p>
        </w:tc>
      </w:tr>
      <w:tr>
        <w:trPr>
          <w:trHeight w:val="20"/>
        </w:trPr>
        <w:tc>
          <w:tcPr>
            <w:tcW w:w="1720" w:type="dxa"/>
            <w:vAlign w:val="bottom"/>
          </w:tcPr>
          <w:p>
            <w:pPr>
              <w:spacing w:after="0" w:line="20" w:lineRule="exact"/>
              <w:rPr>
                <w:sz w:val="1"/>
                <w:szCs w:val="1"/>
                <w:color w:val="auto"/>
              </w:rPr>
            </w:pPr>
          </w:p>
        </w:tc>
        <w:tc>
          <w:tcPr>
            <w:tcW w:w="1180" w:type="dxa"/>
            <w:vAlign w:val="bottom"/>
            <w:gridSpan w:val="9"/>
            <w:shd w:val="clear" w:color="auto" w:fill="000000"/>
          </w:tcPr>
          <w:p>
            <w:pPr>
              <w:spacing w:after="0" w:line="20" w:lineRule="exact"/>
              <w:rPr>
                <w:sz w:val="1"/>
                <w:szCs w:val="1"/>
                <w:color w:val="auto"/>
              </w:rPr>
            </w:pPr>
          </w:p>
        </w:tc>
        <w:tc>
          <w:tcPr>
            <w:tcW w:w="960" w:type="dxa"/>
            <w:vAlign w:val="bottom"/>
            <w:gridSpan w:val="1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16"/>
        </w:trPr>
        <w:tc>
          <w:tcPr>
            <w:tcW w:w="8400" w:type="dxa"/>
            <w:vAlign w:val="bottom"/>
            <w:gridSpan w:val="36"/>
          </w:tcPr>
          <w:p>
            <w:pPr>
              <w:spacing w:after="0"/>
              <w:rPr>
                <w:sz w:val="20"/>
                <w:szCs w:val="20"/>
                <w:color w:val="auto"/>
              </w:rPr>
            </w:pPr>
            <w:r>
              <w:rPr>
                <w:rFonts w:ascii="Arial" w:cs="Arial" w:eastAsia="Arial" w:hAnsi="Arial"/>
                <w:sz w:val="17"/>
                <w:szCs w:val="17"/>
                <w:color w:val="auto"/>
              </w:rPr>
              <w:t>ARTICLE VI CONDITIONS TO CLOSING</w:t>
            </w:r>
          </w:p>
        </w:tc>
        <w:tc>
          <w:tcPr>
            <w:tcW w:w="30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361"/>
        </w:trPr>
        <w:tc>
          <w:tcPr>
            <w:tcW w:w="1720" w:type="dxa"/>
            <w:vAlign w:val="bottom"/>
          </w:tcPr>
          <w:p>
            <w:pPr>
              <w:ind w:left="580"/>
              <w:spacing w:after="0"/>
              <w:rPr>
                <w:sz w:val="20"/>
                <w:szCs w:val="20"/>
                <w:color w:val="auto"/>
              </w:rPr>
            </w:pPr>
            <w:r>
              <w:rPr>
                <w:rFonts w:ascii="Arial" w:cs="Arial" w:eastAsia="Arial" w:hAnsi="Arial"/>
                <w:sz w:val="17"/>
                <w:szCs w:val="17"/>
                <w:color w:val="auto"/>
              </w:rPr>
              <w:t>Section 6.01</w:t>
            </w:r>
          </w:p>
        </w:tc>
        <w:tc>
          <w:tcPr>
            <w:tcW w:w="2600" w:type="dxa"/>
            <w:vAlign w:val="bottom"/>
            <w:tcBorders>
              <w:bottom w:val="single" w:sz="8" w:color="auto"/>
            </w:tcBorders>
            <w:gridSpan w:val="28"/>
          </w:tcPr>
          <w:p>
            <w:pPr>
              <w:spacing w:after="0"/>
              <w:rPr>
                <w:sz w:val="20"/>
                <w:szCs w:val="20"/>
                <w:color w:val="auto"/>
              </w:rPr>
            </w:pPr>
            <w:r>
              <w:rPr>
                <w:rFonts w:ascii="Arial" w:cs="Arial" w:eastAsia="Arial" w:hAnsi="Arial"/>
                <w:sz w:val="17"/>
                <w:szCs w:val="17"/>
                <w:color w:val="auto"/>
                <w:w w:val="89"/>
              </w:rPr>
              <w:t>Conditions to Obligation of Each Party</w:t>
            </w:r>
          </w:p>
        </w:tc>
        <w:tc>
          <w:tcPr>
            <w:tcW w:w="4080" w:type="dxa"/>
            <w:vAlign w:val="bottom"/>
            <w:gridSpan w:val="7"/>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6.02</w:t>
            </w:r>
          </w:p>
        </w:tc>
        <w:tc>
          <w:tcPr>
            <w:tcW w:w="2280" w:type="dxa"/>
            <w:vAlign w:val="bottom"/>
            <w:tcBorders>
              <w:bottom w:val="single" w:sz="8" w:color="auto"/>
            </w:tcBorders>
            <w:gridSpan w:val="23"/>
          </w:tcPr>
          <w:p>
            <w:pPr>
              <w:spacing w:after="0" w:line="180" w:lineRule="exact"/>
              <w:rPr>
                <w:sz w:val="20"/>
                <w:szCs w:val="20"/>
                <w:color w:val="auto"/>
              </w:rPr>
            </w:pPr>
            <w:r>
              <w:rPr>
                <w:rFonts w:ascii="Arial" w:cs="Arial" w:eastAsia="Arial" w:hAnsi="Arial"/>
                <w:sz w:val="17"/>
                <w:szCs w:val="17"/>
                <w:color w:val="auto"/>
                <w:w w:val="90"/>
              </w:rPr>
              <w:t>Conditions to Obligation of Buyer</w:t>
            </w:r>
          </w:p>
        </w:tc>
        <w:tc>
          <w:tcPr>
            <w:tcW w:w="4400" w:type="dxa"/>
            <w:vAlign w:val="bottom"/>
            <w:gridSpan w:val="12"/>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49</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6.03</w:t>
            </w:r>
          </w:p>
        </w:tc>
        <w:tc>
          <w:tcPr>
            <w:tcW w:w="6680" w:type="dxa"/>
            <w:vAlign w:val="bottom"/>
            <w:gridSpan w:val="35"/>
          </w:tcPr>
          <w:p>
            <w:pPr>
              <w:spacing w:after="0" w:line="180" w:lineRule="exact"/>
              <w:rPr>
                <w:sz w:val="20"/>
                <w:szCs w:val="20"/>
                <w:color w:val="auto"/>
              </w:rPr>
            </w:pPr>
            <w:r>
              <w:rPr>
                <w:rFonts w:ascii="Arial" w:cs="Arial" w:eastAsia="Arial" w:hAnsi="Arial"/>
                <w:sz w:val="17"/>
                <w:szCs w:val="17"/>
                <w:color w:val="auto"/>
              </w:rPr>
              <w:t>Conditions to Obligation of Sellers</w:t>
            </w: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49</w:t>
            </w:r>
          </w:p>
        </w:tc>
      </w:tr>
      <w:tr>
        <w:trPr>
          <w:trHeight w:val="179"/>
        </w:trPr>
        <w:tc>
          <w:tcPr>
            <w:tcW w:w="1720" w:type="dxa"/>
            <w:vAlign w:val="bottom"/>
          </w:tcPr>
          <w:p>
            <w:pPr>
              <w:ind w:left="580"/>
              <w:spacing w:after="0" w:line="180" w:lineRule="exact"/>
              <w:rPr>
                <w:sz w:val="20"/>
                <w:szCs w:val="20"/>
                <w:color w:val="auto"/>
              </w:rPr>
            </w:pPr>
            <w:r>
              <w:rPr>
                <w:rFonts w:ascii="Arial" w:cs="Arial" w:eastAsia="Arial" w:hAnsi="Arial"/>
                <w:sz w:val="17"/>
                <w:szCs w:val="17"/>
                <w:color w:val="auto"/>
              </w:rPr>
              <w:t>Section 6.04</w:t>
            </w:r>
          </w:p>
        </w:tc>
        <w:tc>
          <w:tcPr>
            <w:tcW w:w="2320" w:type="dxa"/>
            <w:vAlign w:val="bottom"/>
            <w:tcBorders>
              <w:top w:val="single" w:sz="8" w:color="auto"/>
            </w:tcBorders>
            <w:gridSpan w:val="24"/>
          </w:tcPr>
          <w:p>
            <w:pPr>
              <w:spacing w:after="0" w:line="180" w:lineRule="exact"/>
              <w:rPr>
                <w:sz w:val="20"/>
                <w:szCs w:val="20"/>
                <w:color w:val="auto"/>
              </w:rPr>
            </w:pPr>
            <w:r>
              <w:rPr>
                <w:rFonts w:ascii="Arial" w:cs="Arial" w:eastAsia="Arial" w:hAnsi="Arial"/>
                <w:sz w:val="17"/>
                <w:szCs w:val="17"/>
                <w:color w:val="auto"/>
                <w:w w:val="98"/>
              </w:rPr>
              <w:t>Failure or Waiver of Conditions</w:t>
            </w:r>
          </w:p>
        </w:tc>
        <w:tc>
          <w:tcPr>
            <w:tcW w:w="4360" w:type="dxa"/>
            <w:vAlign w:val="bottom"/>
            <w:gridSpan w:val="11"/>
          </w:tcPr>
          <w:p>
            <w:pPr>
              <w:spacing w:after="0"/>
              <w:rPr>
                <w:sz w:val="15"/>
                <w:szCs w:val="15"/>
                <w:color w:val="auto"/>
              </w:rPr>
            </w:pPr>
          </w:p>
        </w:tc>
        <w:tc>
          <w:tcPr>
            <w:tcW w:w="3020" w:type="dxa"/>
            <w:vAlign w:val="bottom"/>
          </w:tcPr>
          <w:p>
            <w:pPr>
              <w:jc w:val="right"/>
              <w:spacing w:after="0" w:line="180" w:lineRule="exact"/>
              <w:rPr>
                <w:sz w:val="20"/>
                <w:szCs w:val="20"/>
                <w:color w:val="auto"/>
              </w:rPr>
            </w:pPr>
            <w:r>
              <w:rPr>
                <w:rFonts w:ascii="Arial" w:cs="Arial" w:eastAsia="Arial" w:hAnsi="Arial"/>
                <w:sz w:val="17"/>
                <w:szCs w:val="17"/>
                <w:color w:val="auto"/>
              </w:rPr>
              <w:t>49</w:t>
            </w:r>
          </w:p>
        </w:tc>
      </w:tr>
      <w:tr>
        <w:trPr>
          <w:trHeight w:val="333"/>
        </w:trPr>
        <w:tc>
          <w:tcPr>
            <w:tcW w:w="172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0"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00" w:type="dxa"/>
            <w:vAlign w:val="bottom"/>
            <w:gridSpan w:val="27"/>
          </w:tcPr>
          <w:p>
            <w:pPr>
              <w:spacing w:after="0"/>
              <w:rPr>
                <w:sz w:val="20"/>
                <w:szCs w:val="20"/>
                <w:color w:val="auto"/>
              </w:rPr>
            </w:pPr>
            <w:r>
              <w:rPr>
                <w:rFonts w:ascii="Arial" w:cs="Arial" w:eastAsia="Arial" w:hAnsi="Arial"/>
                <w:sz w:val="17"/>
                <w:szCs w:val="17"/>
                <w:color w:val="auto"/>
              </w:rPr>
              <w:t>ARTICLE VII TERMINATION</w:t>
            </w:r>
          </w:p>
        </w:tc>
        <w:tc>
          <w:tcPr>
            <w:tcW w:w="29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361"/>
        </w:trPr>
        <w:tc>
          <w:tcPr>
            <w:tcW w:w="5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Section 7.01</w:t>
            </w:r>
          </w:p>
        </w:tc>
        <w:tc>
          <w:tcPr>
            <w:tcW w:w="1660" w:type="dxa"/>
            <w:vAlign w:val="bottom"/>
            <w:tcBorders>
              <w:bottom w:val="single" w:sz="8" w:color="auto"/>
            </w:tcBorders>
            <w:gridSpan w:val="14"/>
          </w:tcPr>
          <w:p>
            <w:pPr>
              <w:spacing w:after="0"/>
              <w:rPr>
                <w:sz w:val="20"/>
                <w:szCs w:val="20"/>
                <w:color w:val="auto"/>
              </w:rPr>
            </w:pPr>
            <w:r>
              <w:rPr>
                <w:rFonts w:ascii="Arial" w:cs="Arial" w:eastAsia="Arial" w:hAnsi="Arial"/>
                <w:sz w:val="17"/>
                <w:szCs w:val="17"/>
                <w:color w:val="auto"/>
                <w:w w:val="88"/>
              </w:rPr>
              <w:t>Grounds for Termination</w:t>
            </w:r>
          </w:p>
        </w:tc>
        <w:tc>
          <w:tcPr>
            <w:tcW w:w="5120" w:type="dxa"/>
            <w:vAlign w:val="bottom"/>
            <w:gridSpan w:val="10"/>
          </w:tcPr>
          <w:p>
            <w:pPr>
              <w:spacing w:after="0"/>
              <w:rPr>
                <w:sz w:val="24"/>
                <w:szCs w:val="24"/>
                <w:color w:val="auto"/>
              </w:rPr>
            </w:pPr>
          </w:p>
        </w:tc>
        <w:tc>
          <w:tcPr>
            <w:tcW w:w="29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7.02</w:t>
            </w:r>
          </w:p>
        </w:tc>
        <w:tc>
          <w:tcPr>
            <w:tcW w:w="6780" w:type="dxa"/>
            <w:vAlign w:val="bottom"/>
            <w:gridSpan w:val="24"/>
          </w:tcPr>
          <w:p>
            <w:pPr>
              <w:spacing w:after="0" w:line="180" w:lineRule="exact"/>
              <w:rPr>
                <w:sz w:val="20"/>
                <w:szCs w:val="20"/>
                <w:color w:val="auto"/>
              </w:rPr>
            </w:pPr>
            <w:r>
              <w:rPr>
                <w:rFonts w:ascii="Arial" w:cs="Arial" w:eastAsia="Arial" w:hAnsi="Arial"/>
                <w:sz w:val="17"/>
                <w:szCs w:val="17"/>
                <w:color w:val="auto"/>
              </w:rPr>
              <w:t>Procedure and Effect of Termination</w:t>
            </w: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51</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7.03</w:t>
            </w:r>
          </w:p>
        </w:tc>
        <w:tc>
          <w:tcPr>
            <w:tcW w:w="2420" w:type="dxa"/>
            <w:vAlign w:val="bottom"/>
            <w:tcBorders>
              <w:top w:val="single" w:sz="8" w:color="auto"/>
            </w:tcBorders>
            <w:gridSpan w:val="20"/>
          </w:tcPr>
          <w:p>
            <w:pPr>
              <w:spacing w:after="0" w:line="180" w:lineRule="exact"/>
              <w:rPr>
                <w:sz w:val="20"/>
                <w:szCs w:val="20"/>
                <w:color w:val="auto"/>
              </w:rPr>
            </w:pPr>
            <w:r>
              <w:rPr>
                <w:rFonts w:ascii="Arial" w:cs="Arial" w:eastAsia="Arial" w:hAnsi="Arial"/>
                <w:sz w:val="17"/>
                <w:szCs w:val="17"/>
                <w:color w:val="auto"/>
              </w:rPr>
              <w:t>Effect of Termination</w:t>
            </w:r>
          </w:p>
        </w:tc>
        <w:tc>
          <w:tcPr>
            <w:tcW w:w="4360" w:type="dxa"/>
            <w:vAlign w:val="bottom"/>
            <w:gridSpan w:val="4"/>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51</w:t>
            </w:r>
          </w:p>
        </w:tc>
      </w:tr>
      <w:tr>
        <w:trPr>
          <w:trHeight w:val="20"/>
        </w:trPr>
        <w:tc>
          <w:tcPr>
            <w:tcW w:w="5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16"/>
        </w:trPr>
        <w:tc>
          <w:tcPr>
            <w:tcW w:w="8500" w:type="dxa"/>
            <w:vAlign w:val="bottom"/>
            <w:gridSpan w:val="27"/>
          </w:tcPr>
          <w:p>
            <w:pPr>
              <w:spacing w:after="0"/>
              <w:rPr>
                <w:sz w:val="20"/>
                <w:szCs w:val="20"/>
                <w:color w:val="auto"/>
              </w:rPr>
            </w:pPr>
            <w:r>
              <w:rPr>
                <w:rFonts w:ascii="Arial" w:cs="Arial" w:eastAsia="Arial" w:hAnsi="Arial"/>
                <w:sz w:val="17"/>
                <w:szCs w:val="17"/>
                <w:color w:val="auto"/>
              </w:rPr>
              <w:t>ARTICLE VIII MISCELLANEOUS</w:t>
            </w:r>
          </w:p>
        </w:tc>
        <w:tc>
          <w:tcPr>
            <w:tcW w:w="292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361"/>
        </w:trPr>
        <w:tc>
          <w:tcPr>
            <w:tcW w:w="5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Section 8.01</w:t>
            </w:r>
          </w:p>
        </w:tc>
        <w:tc>
          <w:tcPr>
            <w:tcW w:w="6780" w:type="dxa"/>
            <w:vAlign w:val="bottom"/>
            <w:gridSpan w:val="24"/>
          </w:tcPr>
          <w:p>
            <w:pPr>
              <w:spacing w:after="0"/>
              <w:rPr>
                <w:sz w:val="20"/>
                <w:szCs w:val="20"/>
                <w:color w:val="auto"/>
              </w:rPr>
            </w:pPr>
            <w:r>
              <w:rPr>
                <w:rFonts w:ascii="Arial" w:cs="Arial" w:eastAsia="Arial" w:hAnsi="Arial"/>
                <w:sz w:val="17"/>
                <w:szCs w:val="17"/>
                <w:color w:val="auto"/>
              </w:rPr>
              <w:t>Notices</w:t>
            </w:r>
          </w:p>
        </w:tc>
        <w:tc>
          <w:tcPr>
            <w:tcW w:w="292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0"/>
        </w:trPr>
        <w:tc>
          <w:tcPr>
            <w:tcW w:w="5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8.02</w:t>
            </w:r>
          </w:p>
        </w:tc>
        <w:tc>
          <w:tcPr>
            <w:tcW w:w="2140" w:type="dxa"/>
            <w:vAlign w:val="bottom"/>
            <w:tcBorders>
              <w:bottom w:val="single" w:sz="8" w:color="auto"/>
            </w:tcBorders>
            <w:gridSpan w:val="19"/>
          </w:tcPr>
          <w:p>
            <w:pPr>
              <w:spacing w:after="0" w:line="180" w:lineRule="exact"/>
              <w:rPr>
                <w:sz w:val="20"/>
                <w:szCs w:val="20"/>
                <w:color w:val="auto"/>
              </w:rPr>
            </w:pPr>
            <w:r>
              <w:rPr>
                <w:rFonts w:ascii="Arial" w:cs="Arial" w:eastAsia="Arial" w:hAnsi="Arial"/>
                <w:sz w:val="17"/>
                <w:szCs w:val="17"/>
                <w:color w:val="auto"/>
                <w:w w:val="89"/>
              </w:rPr>
              <w:t>Amendments and Modifications</w:t>
            </w:r>
          </w:p>
        </w:tc>
        <w:tc>
          <w:tcPr>
            <w:tcW w:w="4640" w:type="dxa"/>
            <w:vAlign w:val="bottom"/>
            <w:gridSpan w:val="5"/>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52</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8.03</w:t>
            </w:r>
          </w:p>
        </w:tc>
        <w:tc>
          <w:tcPr>
            <w:tcW w:w="500" w:type="dxa"/>
            <w:vAlign w:val="bottom"/>
            <w:tcBorders>
              <w:bottom w:val="single" w:sz="8" w:color="auto"/>
            </w:tcBorders>
          </w:tcPr>
          <w:p>
            <w:pPr>
              <w:spacing w:after="0" w:line="180" w:lineRule="exact"/>
              <w:rPr>
                <w:sz w:val="20"/>
                <w:szCs w:val="20"/>
                <w:color w:val="auto"/>
              </w:rPr>
            </w:pPr>
            <w:r>
              <w:rPr>
                <w:rFonts w:ascii="Arial" w:cs="Arial" w:eastAsia="Arial" w:hAnsi="Arial"/>
                <w:sz w:val="17"/>
                <w:szCs w:val="17"/>
                <w:color w:val="auto"/>
                <w:w w:val="86"/>
              </w:rPr>
              <w:t>Waiver</w:t>
            </w:r>
          </w:p>
        </w:tc>
        <w:tc>
          <w:tcPr>
            <w:tcW w:w="6280" w:type="dxa"/>
            <w:vAlign w:val="bottom"/>
            <w:gridSpan w:val="23"/>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52</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8.04</w:t>
            </w:r>
          </w:p>
        </w:tc>
        <w:tc>
          <w:tcPr>
            <w:tcW w:w="3840" w:type="dxa"/>
            <w:vAlign w:val="bottom"/>
            <w:tcBorders>
              <w:bottom w:val="single" w:sz="8" w:color="auto"/>
            </w:tcBorders>
            <w:gridSpan w:val="22"/>
          </w:tcPr>
          <w:p>
            <w:pPr>
              <w:spacing w:after="0" w:line="180" w:lineRule="exact"/>
              <w:rPr>
                <w:sz w:val="20"/>
                <w:szCs w:val="20"/>
                <w:color w:val="auto"/>
              </w:rPr>
            </w:pPr>
            <w:r>
              <w:rPr>
                <w:rFonts w:ascii="Arial" w:cs="Arial" w:eastAsia="Arial" w:hAnsi="Arial"/>
                <w:sz w:val="17"/>
                <w:szCs w:val="17"/>
                <w:color w:val="auto"/>
                <w:w w:val="88"/>
              </w:rPr>
              <w:t>Disclosure Letter and Buyer Disclosure Letter References</w:t>
            </w:r>
          </w:p>
        </w:tc>
        <w:tc>
          <w:tcPr>
            <w:tcW w:w="2940" w:type="dxa"/>
            <w:vAlign w:val="bottom"/>
            <w:gridSpan w:val="2"/>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53</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8.05</w:t>
            </w:r>
          </w:p>
        </w:tc>
        <w:tc>
          <w:tcPr>
            <w:tcW w:w="6780" w:type="dxa"/>
            <w:vAlign w:val="bottom"/>
            <w:gridSpan w:val="24"/>
          </w:tcPr>
          <w:p>
            <w:pPr>
              <w:spacing w:after="0" w:line="180" w:lineRule="exact"/>
              <w:rPr>
                <w:sz w:val="20"/>
                <w:szCs w:val="20"/>
                <w:color w:val="auto"/>
              </w:rPr>
            </w:pPr>
            <w:r>
              <w:rPr>
                <w:rFonts w:ascii="Arial" w:cs="Arial" w:eastAsia="Arial" w:hAnsi="Arial"/>
                <w:sz w:val="17"/>
                <w:szCs w:val="17"/>
                <w:color w:val="auto"/>
              </w:rPr>
              <w:t>Expenses</w:t>
            </w: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53</w:t>
            </w:r>
          </w:p>
        </w:tc>
      </w:tr>
      <w:tr>
        <w:trPr>
          <w:trHeight w:val="20"/>
        </w:trPr>
        <w:tc>
          <w:tcPr>
            <w:tcW w:w="5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8.06</w:t>
            </w:r>
          </w:p>
        </w:tc>
        <w:tc>
          <w:tcPr>
            <w:tcW w:w="800" w:type="dxa"/>
            <w:vAlign w:val="bottom"/>
            <w:tcBorders>
              <w:bottom w:val="single" w:sz="8" w:color="auto"/>
            </w:tcBorders>
            <w:gridSpan w:val="5"/>
          </w:tcPr>
          <w:p>
            <w:pPr>
              <w:spacing w:after="0" w:line="180" w:lineRule="exact"/>
              <w:rPr>
                <w:sz w:val="20"/>
                <w:szCs w:val="20"/>
                <w:color w:val="auto"/>
              </w:rPr>
            </w:pPr>
            <w:r>
              <w:rPr>
                <w:rFonts w:ascii="Arial" w:cs="Arial" w:eastAsia="Arial" w:hAnsi="Arial"/>
                <w:sz w:val="17"/>
                <w:szCs w:val="17"/>
                <w:color w:val="auto"/>
                <w:w w:val="87"/>
              </w:rPr>
              <w:t>Assignment</w:t>
            </w:r>
          </w:p>
        </w:tc>
        <w:tc>
          <w:tcPr>
            <w:tcW w:w="5980" w:type="dxa"/>
            <w:vAlign w:val="bottom"/>
            <w:gridSpan w:val="19"/>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53</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8.07</w:t>
            </w:r>
          </w:p>
        </w:tc>
        <w:tc>
          <w:tcPr>
            <w:tcW w:w="1160" w:type="dxa"/>
            <w:vAlign w:val="bottom"/>
            <w:tcBorders>
              <w:bottom w:val="single" w:sz="8" w:color="auto"/>
            </w:tcBorders>
            <w:gridSpan w:val="9"/>
          </w:tcPr>
          <w:p>
            <w:pPr>
              <w:spacing w:after="0" w:line="180" w:lineRule="exact"/>
              <w:rPr>
                <w:sz w:val="20"/>
                <w:szCs w:val="20"/>
                <w:color w:val="auto"/>
              </w:rPr>
            </w:pPr>
            <w:r>
              <w:rPr>
                <w:rFonts w:ascii="Arial" w:cs="Arial" w:eastAsia="Arial" w:hAnsi="Arial"/>
                <w:sz w:val="17"/>
                <w:szCs w:val="17"/>
                <w:color w:val="auto"/>
                <w:w w:val="86"/>
              </w:rPr>
              <w:t>Parties in Interest</w:t>
            </w:r>
          </w:p>
        </w:tc>
        <w:tc>
          <w:tcPr>
            <w:tcW w:w="5620" w:type="dxa"/>
            <w:vAlign w:val="bottom"/>
            <w:gridSpan w:val="15"/>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53</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8.08</w:t>
            </w:r>
          </w:p>
        </w:tc>
        <w:tc>
          <w:tcPr>
            <w:tcW w:w="6780" w:type="dxa"/>
            <w:vAlign w:val="bottom"/>
            <w:gridSpan w:val="24"/>
          </w:tcPr>
          <w:p>
            <w:pPr>
              <w:spacing w:after="0" w:line="180" w:lineRule="exact"/>
              <w:rPr>
                <w:sz w:val="20"/>
                <w:szCs w:val="20"/>
                <w:color w:val="auto"/>
              </w:rPr>
            </w:pPr>
            <w:r>
              <w:rPr>
                <w:rFonts w:ascii="Arial" w:cs="Arial" w:eastAsia="Arial" w:hAnsi="Arial"/>
                <w:sz w:val="17"/>
                <w:szCs w:val="17"/>
                <w:color w:val="auto"/>
              </w:rPr>
              <w:t>Governing Law</w:t>
            </w: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53</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8.09</w:t>
            </w:r>
          </w:p>
        </w:tc>
        <w:tc>
          <w:tcPr>
            <w:tcW w:w="780" w:type="dxa"/>
            <w:vAlign w:val="bottom"/>
            <w:tcBorders>
              <w:top w:val="single" w:sz="8" w:color="auto"/>
              <w:bottom w:val="single" w:sz="8" w:color="auto"/>
            </w:tcBorders>
            <w:gridSpan w:val="4"/>
          </w:tcPr>
          <w:p>
            <w:pPr>
              <w:spacing w:after="0" w:line="180" w:lineRule="exact"/>
              <w:rPr>
                <w:sz w:val="20"/>
                <w:szCs w:val="20"/>
                <w:color w:val="auto"/>
              </w:rPr>
            </w:pPr>
            <w:r>
              <w:rPr>
                <w:rFonts w:ascii="Arial" w:cs="Arial" w:eastAsia="Arial" w:hAnsi="Arial"/>
                <w:sz w:val="17"/>
                <w:szCs w:val="17"/>
                <w:color w:val="auto"/>
                <w:w w:val="89"/>
              </w:rPr>
              <w:t>Jurisdiction</w:t>
            </w:r>
          </w:p>
        </w:tc>
        <w:tc>
          <w:tcPr>
            <w:tcW w:w="260" w:type="dxa"/>
            <w:vAlign w:val="bottom"/>
            <w:tcBorders>
              <w:top w:val="single" w:sz="8" w:color="auto"/>
            </w:tcBorders>
            <w:gridSpan w:val="4"/>
          </w:tcPr>
          <w:p>
            <w:pPr>
              <w:spacing w:after="0"/>
              <w:rPr>
                <w:sz w:val="15"/>
                <w:szCs w:val="15"/>
                <w:color w:val="auto"/>
              </w:rPr>
            </w:pPr>
          </w:p>
        </w:tc>
        <w:tc>
          <w:tcPr>
            <w:tcW w:w="5740" w:type="dxa"/>
            <w:vAlign w:val="bottom"/>
            <w:gridSpan w:val="16"/>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53</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8.10</w:t>
            </w:r>
          </w:p>
        </w:tc>
        <w:tc>
          <w:tcPr>
            <w:tcW w:w="1340" w:type="dxa"/>
            <w:vAlign w:val="bottom"/>
            <w:tcBorders>
              <w:bottom w:val="single" w:sz="8" w:color="auto"/>
            </w:tcBorders>
            <w:gridSpan w:val="11"/>
          </w:tcPr>
          <w:p>
            <w:pPr>
              <w:spacing w:after="0" w:line="180" w:lineRule="exact"/>
              <w:rPr>
                <w:sz w:val="20"/>
                <w:szCs w:val="20"/>
                <w:color w:val="auto"/>
              </w:rPr>
            </w:pPr>
            <w:r>
              <w:rPr>
                <w:rFonts w:ascii="Arial" w:cs="Arial" w:eastAsia="Arial" w:hAnsi="Arial"/>
                <w:sz w:val="17"/>
                <w:szCs w:val="17"/>
                <w:color w:val="auto"/>
                <w:w w:val="90"/>
              </w:rPr>
              <w:t>Waiver of Jury Trial</w:t>
            </w:r>
          </w:p>
        </w:tc>
        <w:tc>
          <w:tcPr>
            <w:tcW w:w="5440" w:type="dxa"/>
            <w:vAlign w:val="bottom"/>
            <w:gridSpan w:val="13"/>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54</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8.11</w:t>
            </w:r>
          </w:p>
        </w:tc>
        <w:tc>
          <w:tcPr>
            <w:tcW w:w="1760" w:type="dxa"/>
            <w:vAlign w:val="bottom"/>
            <w:tcBorders>
              <w:bottom w:val="single" w:sz="8" w:color="auto"/>
            </w:tcBorders>
            <w:gridSpan w:val="16"/>
          </w:tcPr>
          <w:p>
            <w:pPr>
              <w:spacing w:after="0" w:line="180" w:lineRule="exact"/>
              <w:rPr>
                <w:sz w:val="20"/>
                <w:szCs w:val="20"/>
                <w:color w:val="auto"/>
              </w:rPr>
            </w:pPr>
            <w:r>
              <w:rPr>
                <w:rFonts w:ascii="Arial" w:cs="Arial" w:eastAsia="Arial" w:hAnsi="Arial"/>
                <w:sz w:val="17"/>
                <w:szCs w:val="17"/>
                <w:color w:val="auto"/>
                <w:w w:val="87"/>
              </w:rPr>
              <w:t>Relationship of the Parties</w:t>
            </w:r>
          </w:p>
        </w:tc>
        <w:tc>
          <w:tcPr>
            <w:tcW w:w="5020" w:type="dxa"/>
            <w:vAlign w:val="bottom"/>
            <w:gridSpan w:val="8"/>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55</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8.12</w:t>
            </w:r>
          </w:p>
        </w:tc>
        <w:tc>
          <w:tcPr>
            <w:tcW w:w="1840" w:type="dxa"/>
            <w:vAlign w:val="bottom"/>
            <w:tcBorders>
              <w:bottom w:val="single" w:sz="8" w:color="auto"/>
            </w:tcBorders>
            <w:gridSpan w:val="18"/>
          </w:tcPr>
          <w:p>
            <w:pPr>
              <w:spacing w:after="0" w:line="180" w:lineRule="exact"/>
              <w:rPr>
                <w:sz w:val="20"/>
                <w:szCs w:val="20"/>
                <w:color w:val="auto"/>
              </w:rPr>
            </w:pPr>
            <w:r>
              <w:rPr>
                <w:rFonts w:ascii="Arial" w:cs="Arial" w:eastAsia="Arial" w:hAnsi="Arial"/>
                <w:sz w:val="17"/>
                <w:szCs w:val="17"/>
                <w:color w:val="auto"/>
                <w:w w:val="87"/>
              </w:rPr>
              <w:t>Counterparts; Effectiveness</w:t>
            </w:r>
          </w:p>
        </w:tc>
        <w:tc>
          <w:tcPr>
            <w:tcW w:w="4940" w:type="dxa"/>
            <w:vAlign w:val="bottom"/>
            <w:gridSpan w:val="6"/>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55</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8.13</w:t>
            </w:r>
          </w:p>
        </w:tc>
        <w:tc>
          <w:tcPr>
            <w:tcW w:w="6780" w:type="dxa"/>
            <w:vAlign w:val="bottom"/>
            <w:gridSpan w:val="24"/>
          </w:tcPr>
          <w:p>
            <w:pPr>
              <w:spacing w:after="0" w:line="180" w:lineRule="exact"/>
              <w:rPr>
                <w:sz w:val="20"/>
                <w:szCs w:val="20"/>
                <w:color w:val="auto"/>
              </w:rPr>
            </w:pPr>
            <w:r>
              <w:rPr>
                <w:rFonts w:ascii="Arial" w:cs="Arial" w:eastAsia="Arial" w:hAnsi="Arial"/>
                <w:sz w:val="17"/>
                <w:szCs w:val="17"/>
                <w:color w:val="auto"/>
              </w:rPr>
              <w:t>Third-Party Beneficiaries</w:t>
            </w: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55</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8.14</w:t>
            </w:r>
          </w:p>
        </w:tc>
        <w:tc>
          <w:tcPr>
            <w:tcW w:w="1680" w:type="dxa"/>
            <w:vAlign w:val="bottom"/>
            <w:tcBorders>
              <w:top w:val="single" w:sz="8" w:color="auto"/>
            </w:tcBorders>
            <w:gridSpan w:val="15"/>
          </w:tcPr>
          <w:p>
            <w:pPr>
              <w:spacing w:after="0" w:line="180" w:lineRule="exact"/>
              <w:rPr>
                <w:sz w:val="20"/>
                <w:szCs w:val="20"/>
                <w:color w:val="auto"/>
              </w:rPr>
            </w:pPr>
            <w:r>
              <w:rPr>
                <w:rFonts w:ascii="Arial" w:cs="Arial" w:eastAsia="Arial" w:hAnsi="Arial"/>
                <w:sz w:val="17"/>
                <w:szCs w:val="17"/>
                <w:color w:val="auto"/>
              </w:rPr>
              <w:t>Entire Agreement</w:t>
            </w:r>
          </w:p>
        </w:tc>
        <w:tc>
          <w:tcPr>
            <w:tcW w:w="5100" w:type="dxa"/>
            <w:vAlign w:val="bottom"/>
            <w:gridSpan w:val="9"/>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55</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8.15</w:t>
            </w:r>
          </w:p>
        </w:tc>
        <w:tc>
          <w:tcPr>
            <w:tcW w:w="800" w:type="dxa"/>
            <w:vAlign w:val="bottom"/>
            <w:tcBorders>
              <w:top w:val="single" w:sz="8" w:color="auto"/>
              <w:bottom w:val="single" w:sz="8" w:color="auto"/>
            </w:tcBorders>
            <w:gridSpan w:val="5"/>
          </w:tcPr>
          <w:p>
            <w:pPr>
              <w:spacing w:after="0" w:line="180" w:lineRule="exact"/>
              <w:rPr>
                <w:sz w:val="20"/>
                <w:szCs w:val="20"/>
                <w:color w:val="auto"/>
              </w:rPr>
            </w:pPr>
            <w:r>
              <w:rPr>
                <w:rFonts w:ascii="Arial" w:cs="Arial" w:eastAsia="Arial" w:hAnsi="Arial"/>
                <w:sz w:val="17"/>
                <w:szCs w:val="17"/>
                <w:color w:val="auto"/>
                <w:w w:val="88"/>
              </w:rPr>
              <w:t>Severability</w:t>
            </w:r>
          </w:p>
        </w:tc>
        <w:tc>
          <w:tcPr>
            <w:tcW w:w="380" w:type="dxa"/>
            <w:vAlign w:val="bottom"/>
            <w:tcBorders>
              <w:top w:val="single" w:sz="8" w:color="auto"/>
            </w:tcBorders>
            <w:gridSpan w:val="5"/>
          </w:tcPr>
          <w:p>
            <w:pPr>
              <w:spacing w:after="0"/>
              <w:rPr>
                <w:sz w:val="15"/>
                <w:szCs w:val="15"/>
                <w:color w:val="auto"/>
              </w:rPr>
            </w:pPr>
          </w:p>
        </w:tc>
        <w:tc>
          <w:tcPr>
            <w:tcW w:w="5600" w:type="dxa"/>
            <w:vAlign w:val="bottom"/>
            <w:gridSpan w:val="14"/>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56</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8.16</w:t>
            </w:r>
          </w:p>
        </w:tc>
        <w:tc>
          <w:tcPr>
            <w:tcW w:w="6780" w:type="dxa"/>
            <w:vAlign w:val="bottom"/>
            <w:gridSpan w:val="24"/>
          </w:tcPr>
          <w:p>
            <w:pPr>
              <w:spacing w:after="0" w:line="180" w:lineRule="exact"/>
              <w:rPr>
                <w:sz w:val="20"/>
                <w:szCs w:val="20"/>
                <w:color w:val="auto"/>
              </w:rPr>
            </w:pPr>
            <w:r>
              <w:rPr>
                <w:rFonts w:ascii="Arial" w:cs="Arial" w:eastAsia="Arial" w:hAnsi="Arial"/>
                <w:sz w:val="17"/>
                <w:szCs w:val="17"/>
                <w:color w:val="auto"/>
              </w:rPr>
              <w:t>Non-Survival of Representations, Warranties and Covenants</w:t>
            </w: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56</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8.17</w:t>
            </w:r>
          </w:p>
        </w:tc>
        <w:tc>
          <w:tcPr>
            <w:tcW w:w="660" w:type="dxa"/>
            <w:vAlign w:val="bottom"/>
            <w:tcBorders>
              <w:top w:val="single" w:sz="8" w:color="auto"/>
              <w:bottom w:val="single" w:sz="8" w:color="auto"/>
            </w:tcBorders>
            <w:gridSpan w:val="3"/>
          </w:tcPr>
          <w:p>
            <w:pPr>
              <w:spacing w:after="0" w:line="180" w:lineRule="exact"/>
              <w:rPr>
                <w:sz w:val="20"/>
                <w:szCs w:val="20"/>
                <w:color w:val="auto"/>
              </w:rPr>
            </w:pPr>
            <w:r>
              <w:rPr>
                <w:rFonts w:ascii="Arial" w:cs="Arial" w:eastAsia="Arial" w:hAnsi="Arial"/>
                <w:sz w:val="17"/>
                <w:szCs w:val="17"/>
                <w:color w:val="auto"/>
                <w:w w:val="83"/>
              </w:rPr>
              <w:t>Remedies</w:t>
            </w:r>
          </w:p>
        </w:tc>
        <w:tc>
          <w:tcPr>
            <w:tcW w:w="3340" w:type="dxa"/>
            <w:vAlign w:val="bottom"/>
            <w:tcBorders>
              <w:top w:val="single" w:sz="8" w:color="auto"/>
            </w:tcBorders>
            <w:gridSpan w:val="20"/>
          </w:tcPr>
          <w:p>
            <w:pPr>
              <w:spacing w:after="0"/>
              <w:rPr>
                <w:sz w:val="15"/>
                <w:szCs w:val="15"/>
                <w:color w:val="auto"/>
              </w:rPr>
            </w:pPr>
          </w:p>
        </w:tc>
        <w:tc>
          <w:tcPr>
            <w:tcW w:w="2780" w:type="dxa"/>
            <w:vAlign w:val="bottom"/>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56</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8.18</w:t>
            </w:r>
          </w:p>
        </w:tc>
        <w:tc>
          <w:tcPr>
            <w:tcW w:w="6780" w:type="dxa"/>
            <w:vAlign w:val="bottom"/>
            <w:gridSpan w:val="24"/>
          </w:tcPr>
          <w:p>
            <w:pPr>
              <w:spacing w:after="0" w:line="180" w:lineRule="exact"/>
              <w:rPr>
                <w:sz w:val="20"/>
                <w:szCs w:val="20"/>
                <w:color w:val="auto"/>
              </w:rPr>
            </w:pPr>
            <w:r>
              <w:rPr>
                <w:rFonts w:ascii="Arial" w:cs="Arial" w:eastAsia="Arial" w:hAnsi="Arial"/>
                <w:sz w:val="17"/>
                <w:szCs w:val="17"/>
                <w:color w:val="auto"/>
              </w:rPr>
              <w:t>Representation by Counsel</w:t>
            </w: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57</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8.19</w:t>
            </w:r>
          </w:p>
        </w:tc>
        <w:tc>
          <w:tcPr>
            <w:tcW w:w="1460" w:type="dxa"/>
            <w:vAlign w:val="bottom"/>
            <w:tcBorders>
              <w:top w:val="single" w:sz="8" w:color="auto"/>
              <w:bottom w:val="single" w:sz="8" w:color="auto"/>
            </w:tcBorders>
            <w:gridSpan w:val="13"/>
          </w:tcPr>
          <w:p>
            <w:pPr>
              <w:spacing w:after="0" w:line="180" w:lineRule="exact"/>
              <w:rPr>
                <w:sz w:val="20"/>
                <w:szCs w:val="20"/>
                <w:color w:val="auto"/>
              </w:rPr>
            </w:pPr>
            <w:r>
              <w:rPr>
                <w:rFonts w:ascii="Arial" w:cs="Arial" w:eastAsia="Arial" w:hAnsi="Arial"/>
                <w:sz w:val="17"/>
                <w:szCs w:val="17"/>
                <w:color w:val="auto"/>
                <w:w w:val="88"/>
              </w:rPr>
              <w:t>Rules of Construction</w:t>
            </w:r>
          </w:p>
        </w:tc>
        <w:tc>
          <w:tcPr>
            <w:tcW w:w="320" w:type="dxa"/>
            <w:vAlign w:val="bottom"/>
            <w:tcBorders>
              <w:top w:val="single" w:sz="8" w:color="auto"/>
            </w:tcBorders>
            <w:gridSpan w:val="4"/>
          </w:tcPr>
          <w:p>
            <w:pPr>
              <w:spacing w:after="0"/>
              <w:rPr>
                <w:sz w:val="15"/>
                <w:szCs w:val="15"/>
                <w:color w:val="auto"/>
              </w:rPr>
            </w:pPr>
          </w:p>
        </w:tc>
        <w:tc>
          <w:tcPr>
            <w:tcW w:w="5000" w:type="dxa"/>
            <w:vAlign w:val="bottom"/>
            <w:gridSpan w:val="7"/>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57</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8.20</w:t>
            </w:r>
          </w:p>
        </w:tc>
        <w:tc>
          <w:tcPr>
            <w:tcW w:w="6780" w:type="dxa"/>
            <w:vAlign w:val="bottom"/>
            <w:gridSpan w:val="24"/>
          </w:tcPr>
          <w:p>
            <w:pPr>
              <w:spacing w:after="0" w:line="180" w:lineRule="exact"/>
              <w:rPr>
                <w:sz w:val="20"/>
                <w:szCs w:val="20"/>
                <w:color w:val="auto"/>
              </w:rPr>
            </w:pPr>
            <w:r>
              <w:rPr>
                <w:rFonts w:ascii="Arial" w:cs="Arial" w:eastAsia="Arial" w:hAnsi="Arial"/>
                <w:sz w:val="17"/>
                <w:szCs w:val="17"/>
                <w:color w:val="auto"/>
              </w:rPr>
              <w:t>Headings</w:t>
            </w: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57</w:t>
            </w:r>
          </w:p>
        </w:tc>
      </w:tr>
      <w:tr>
        <w:trPr>
          <w:trHeight w:val="20"/>
        </w:trPr>
        <w:tc>
          <w:tcPr>
            <w:tcW w:w="5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8.21</w:t>
            </w:r>
          </w:p>
        </w:tc>
        <w:tc>
          <w:tcPr>
            <w:tcW w:w="960" w:type="dxa"/>
            <w:vAlign w:val="bottom"/>
            <w:tcBorders>
              <w:bottom w:val="single" w:sz="8" w:color="auto"/>
            </w:tcBorders>
            <w:gridSpan w:val="7"/>
          </w:tcPr>
          <w:p>
            <w:pPr>
              <w:spacing w:after="0" w:line="180" w:lineRule="exact"/>
              <w:rPr>
                <w:sz w:val="20"/>
                <w:szCs w:val="20"/>
                <w:color w:val="auto"/>
              </w:rPr>
            </w:pPr>
            <w:r>
              <w:rPr>
                <w:rFonts w:ascii="Arial" w:cs="Arial" w:eastAsia="Arial" w:hAnsi="Arial"/>
                <w:sz w:val="17"/>
                <w:szCs w:val="17"/>
                <w:color w:val="auto"/>
                <w:w w:val="85"/>
              </w:rPr>
              <w:t>Non-Recourse</w:t>
            </w:r>
          </w:p>
        </w:tc>
        <w:tc>
          <w:tcPr>
            <w:tcW w:w="5820" w:type="dxa"/>
            <w:vAlign w:val="bottom"/>
            <w:gridSpan w:val="17"/>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57</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8.22</w:t>
            </w:r>
          </w:p>
        </w:tc>
        <w:tc>
          <w:tcPr>
            <w:tcW w:w="2620" w:type="dxa"/>
            <w:vAlign w:val="bottom"/>
            <w:tcBorders>
              <w:bottom w:val="single" w:sz="8" w:color="auto"/>
            </w:tcBorders>
            <w:gridSpan w:val="21"/>
          </w:tcPr>
          <w:p>
            <w:pPr>
              <w:spacing w:after="0" w:line="180" w:lineRule="exact"/>
              <w:rPr>
                <w:sz w:val="20"/>
                <w:szCs w:val="20"/>
                <w:color w:val="auto"/>
              </w:rPr>
            </w:pPr>
            <w:r>
              <w:rPr>
                <w:rFonts w:ascii="Arial" w:cs="Arial" w:eastAsia="Arial" w:hAnsi="Arial"/>
                <w:sz w:val="17"/>
                <w:szCs w:val="17"/>
                <w:color w:val="auto"/>
                <w:w w:val="88"/>
              </w:rPr>
              <w:t>Inconsistencies with Other Agreements</w:t>
            </w:r>
          </w:p>
        </w:tc>
        <w:tc>
          <w:tcPr>
            <w:tcW w:w="4160" w:type="dxa"/>
            <w:vAlign w:val="bottom"/>
            <w:gridSpan w:val="3"/>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57</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8.23</w:t>
            </w:r>
          </w:p>
        </w:tc>
        <w:tc>
          <w:tcPr>
            <w:tcW w:w="1420" w:type="dxa"/>
            <w:vAlign w:val="bottom"/>
            <w:tcBorders>
              <w:bottom w:val="single" w:sz="8" w:color="auto"/>
            </w:tcBorders>
            <w:gridSpan w:val="12"/>
          </w:tcPr>
          <w:p>
            <w:pPr>
              <w:spacing w:after="0" w:line="180" w:lineRule="exact"/>
              <w:rPr>
                <w:sz w:val="20"/>
                <w:szCs w:val="20"/>
                <w:color w:val="auto"/>
              </w:rPr>
            </w:pPr>
            <w:r>
              <w:rPr>
                <w:rFonts w:ascii="Arial" w:cs="Arial" w:eastAsia="Arial" w:hAnsi="Arial"/>
                <w:sz w:val="17"/>
                <w:szCs w:val="17"/>
                <w:color w:val="auto"/>
                <w:w w:val="90"/>
              </w:rPr>
              <w:t>Obligations of Buyer</w:t>
            </w:r>
          </w:p>
        </w:tc>
        <w:tc>
          <w:tcPr>
            <w:tcW w:w="5360" w:type="dxa"/>
            <w:vAlign w:val="bottom"/>
            <w:gridSpan w:val="12"/>
          </w:tcPr>
          <w:p>
            <w:pPr>
              <w:spacing w:after="0"/>
              <w:rPr>
                <w:sz w:val="15"/>
                <w:szCs w:val="15"/>
                <w:color w:val="auto"/>
              </w:rPr>
            </w:pP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57</w:t>
            </w:r>
          </w:p>
        </w:tc>
      </w:tr>
      <w:tr>
        <w:trPr>
          <w:trHeight w:val="179"/>
        </w:trPr>
        <w:tc>
          <w:tcPr>
            <w:tcW w:w="56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Section 8.24</w:t>
            </w:r>
          </w:p>
        </w:tc>
        <w:tc>
          <w:tcPr>
            <w:tcW w:w="6780" w:type="dxa"/>
            <w:vAlign w:val="bottom"/>
            <w:gridSpan w:val="24"/>
          </w:tcPr>
          <w:p>
            <w:pPr>
              <w:spacing w:after="0" w:line="180" w:lineRule="exact"/>
              <w:rPr>
                <w:sz w:val="20"/>
                <w:szCs w:val="20"/>
                <w:color w:val="auto"/>
              </w:rPr>
            </w:pPr>
            <w:r>
              <w:rPr>
                <w:rFonts w:ascii="Arial" w:cs="Arial" w:eastAsia="Arial" w:hAnsi="Arial"/>
                <w:sz w:val="17"/>
                <w:szCs w:val="17"/>
                <w:color w:val="auto"/>
              </w:rPr>
              <w:t>Interpretation</w:t>
            </w:r>
          </w:p>
        </w:tc>
        <w:tc>
          <w:tcPr>
            <w:tcW w:w="2920" w:type="dxa"/>
            <w:vAlign w:val="bottom"/>
          </w:tcPr>
          <w:p>
            <w:pPr>
              <w:jc w:val="right"/>
              <w:spacing w:after="0" w:line="180" w:lineRule="exact"/>
              <w:rPr>
                <w:sz w:val="20"/>
                <w:szCs w:val="20"/>
                <w:color w:val="auto"/>
              </w:rPr>
            </w:pPr>
            <w:r>
              <w:rPr>
                <w:rFonts w:ascii="Arial" w:cs="Arial" w:eastAsia="Arial" w:hAnsi="Arial"/>
                <w:sz w:val="17"/>
                <w:szCs w:val="17"/>
                <w:color w:val="auto"/>
              </w:rPr>
              <w:t>57</w:t>
            </w:r>
          </w:p>
        </w:tc>
      </w:tr>
      <w:tr>
        <w:trPr>
          <w:trHeight w:val="378"/>
        </w:trPr>
        <w:tc>
          <w:tcPr>
            <w:tcW w:w="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0"/>
              </w:rPr>
              <w:t>Exhibits</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03"/>
        </w:trPr>
        <w:tc>
          <w:tcPr>
            <w:tcW w:w="900" w:type="dxa"/>
            <w:vAlign w:val="bottom"/>
            <w:gridSpan w:val="2"/>
          </w:tcPr>
          <w:p>
            <w:pPr>
              <w:spacing w:after="0"/>
              <w:rPr>
                <w:sz w:val="20"/>
                <w:szCs w:val="20"/>
                <w:color w:val="auto"/>
              </w:rPr>
            </w:pPr>
            <w:r>
              <w:rPr>
                <w:rFonts w:ascii="Arial" w:cs="Arial" w:eastAsia="Arial" w:hAnsi="Arial"/>
                <w:sz w:val="17"/>
                <w:szCs w:val="17"/>
                <w:color w:val="auto"/>
              </w:rPr>
              <w:t>Exhibit A</w:t>
            </w:r>
          </w:p>
        </w:tc>
        <w:tc>
          <w:tcPr>
            <w:tcW w:w="7600" w:type="dxa"/>
            <w:vAlign w:val="bottom"/>
            <w:gridSpan w:val="25"/>
          </w:tcPr>
          <w:p>
            <w:pPr>
              <w:ind w:left="240"/>
              <w:spacing w:after="0"/>
              <w:rPr>
                <w:sz w:val="20"/>
                <w:szCs w:val="20"/>
                <w:color w:val="auto"/>
              </w:rPr>
            </w:pPr>
            <w:r>
              <w:rPr>
                <w:rFonts w:ascii="Arial" w:cs="Arial" w:eastAsia="Arial" w:hAnsi="Arial"/>
                <w:sz w:val="17"/>
                <w:szCs w:val="17"/>
                <w:color w:val="auto"/>
              </w:rPr>
              <w:t>Form of Amended and Restated Operating Agreement</w:t>
            </w:r>
          </w:p>
        </w:tc>
        <w:tc>
          <w:tcPr>
            <w:tcW w:w="2920" w:type="dxa"/>
            <w:vAlign w:val="bottom"/>
          </w:tcPr>
          <w:p>
            <w:pPr>
              <w:spacing w:after="0"/>
              <w:rPr>
                <w:sz w:val="24"/>
                <w:szCs w:val="24"/>
                <w:color w:val="auto"/>
              </w:rPr>
            </w:pPr>
          </w:p>
        </w:tc>
      </w:tr>
      <w:tr>
        <w:trPr>
          <w:trHeight w:val="199"/>
        </w:trPr>
        <w:tc>
          <w:tcPr>
            <w:tcW w:w="900" w:type="dxa"/>
            <w:vAlign w:val="bottom"/>
            <w:gridSpan w:val="2"/>
          </w:tcPr>
          <w:p>
            <w:pPr>
              <w:spacing w:after="0"/>
              <w:rPr>
                <w:sz w:val="20"/>
                <w:szCs w:val="20"/>
                <w:color w:val="auto"/>
              </w:rPr>
            </w:pPr>
            <w:r>
              <w:rPr>
                <w:rFonts w:ascii="Arial" w:cs="Arial" w:eastAsia="Arial" w:hAnsi="Arial"/>
                <w:sz w:val="17"/>
                <w:szCs w:val="17"/>
                <w:color w:val="auto"/>
              </w:rPr>
              <w:t>Exhibit B</w:t>
            </w:r>
          </w:p>
        </w:tc>
        <w:tc>
          <w:tcPr>
            <w:tcW w:w="7600" w:type="dxa"/>
            <w:vAlign w:val="bottom"/>
            <w:gridSpan w:val="25"/>
          </w:tcPr>
          <w:p>
            <w:pPr>
              <w:ind w:left="240"/>
              <w:spacing w:after="0"/>
              <w:rPr>
                <w:sz w:val="20"/>
                <w:szCs w:val="20"/>
                <w:color w:val="auto"/>
              </w:rPr>
            </w:pPr>
            <w:r>
              <w:rPr>
                <w:rFonts w:ascii="Arial" w:cs="Arial" w:eastAsia="Arial" w:hAnsi="Arial"/>
                <w:sz w:val="17"/>
                <w:szCs w:val="17"/>
                <w:color w:val="auto"/>
              </w:rPr>
              <w:t>Form of Buyer A&amp;R By-laws</w:t>
            </w:r>
          </w:p>
        </w:tc>
        <w:tc>
          <w:tcPr>
            <w:tcW w:w="2920" w:type="dxa"/>
            <w:vAlign w:val="bottom"/>
          </w:tcPr>
          <w:p>
            <w:pPr>
              <w:spacing w:after="0"/>
              <w:rPr>
                <w:sz w:val="17"/>
                <w:szCs w:val="17"/>
                <w:color w:val="auto"/>
              </w:rPr>
            </w:pPr>
          </w:p>
        </w:tc>
      </w:tr>
      <w:tr>
        <w:trPr>
          <w:trHeight w:val="199"/>
        </w:trPr>
        <w:tc>
          <w:tcPr>
            <w:tcW w:w="900" w:type="dxa"/>
            <w:vAlign w:val="bottom"/>
            <w:gridSpan w:val="2"/>
          </w:tcPr>
          <w:p>
            <w:pPr>
              <w:spacing w:after="0"/>
              <w:rPr>
                <w:sz w:val="20"/>
                <w:szCs w:val="20"/>
                <w:color w:val="auto"/>
              </w:rPr>
            </w:pPr>
            <w:r>
              <w:rPr>
                <w:rFonts w:ascii="Arial" w:cs="Arial" w:eastAsia="Arial" w:hAnsi="Arial"/>
                <w:sz w:val="17"/>
                <w:szCs w:val="17"/>
                <w:color w:val="auto"/>
              </w:rPr>
              <w:t>Exhibit C</w:t>
            </w:r>
          </w:p>
        </w:tc>
        <w:tc>
          <w:tcPr>
            <w:tcW w:w="7600" w:type="dxa"/>
            <w:vAlign w:val="bottom"/>
            <w:gridSpan w:val="25"/>
          </w:tcPr>
          <w:p>
            <w:pPr>
              <w:ind w:left="240"/>
              <w:spacing w:after="0"/>
              <w:rPr>
                <w:sz w:val="20"/>
                <w:szCs w:val="20"/>
                <w:color w:val="auto"/>
              </w:rPr>
            </w:pPr>
            <w:r>
              <w:rPr>
                <w:rFonts w:ascii="Arial" w:cs="Arial" w:eastAsia="Arial" w:hAnsi="Arial"/>
                <w:sz w:val="17"/>
                <w:szCs w:val="17"/>
                <w:color w:val="auto"/>
              </w:rPr>
              <w:t>Form of Buyer A&amp;R Charter</w:t>
            </w:r>
          </w:p>
        </w:tc>
        <w:tc>
          <w:tcPr>
            <w:tcW w:w="2920" w:type="dxa"/>
            <w:vAlign w:val="bottom"/>
          </w:tcPr>
          <w:p>
            <w:pPr>
              <w:spacing w:after="0"/>
              <w:rPr>
                <w:sz w:val="17"/>
                <w:szCs w:val="17"/>
                <w:color w:val="auto"/>
              </w:rPr>
            </w:pPr>
          </w:p>
        </w:tc>
      </w:tr>
      <w:tr>
        <w:trPr>
          <w:trHeight w:val="199"/>
        </w:trPr>
        <w:tc>
          <w:tcPr>
            <w:tcW w:w="900" w:type="dxa"/>
            <w:vAlign w:val="bottom"/>
            <w:gridSpan w:val="2"/>
          </w:tcPr>
          <w:p>
            <w:pPr>
              <w:spacing w:after="0"/>
              <w:rPr>
                <w:sz w:val="20"/>
                <w:szCs w:val="20"/>
                <w:color w:val="auto"/>
              </w:rPr>
            </w:pPr>
            <w:r>
              <w:rPr>
                <w:rFonts w:ascii="Arial" w:cs="Arial" w:eastAsia="Arial" w:hAnsi="Arial"/>
                <w:sz w:val="17"/>
                <w:szCs w:val="17"/>
                <w:color w:val="auto"/>
              </w:rPr>
              <w:t>Exhibit D</w:t>
            </w:r>
          </w:p>
        </w:tc>
        <w:tc>
          <w:tcPr>
            <w:tcW w:w="7600" w:type="dxa"/>
            <w:vAlign w:val="bottom"/>
            <w:gridSpan w:val="25"/>
          </w:tcPr>
          <w:p>
            <w:pPr>
              <w:ind w:left="240"/>
              <w:spacing w:after="0"/>
              <w:rPr>
                <w:sz w:val="20"/>
                <w:szCs w:val="20"/>
                <w:color w:val="auto"/>
              </w:rPr>
            </w:pPr>
            <w:r>
              <w:rPr>
                <w:rFonts w:ascii="Arial" w:cs="Arial" w:eastAsia="Arial" w:hAnsi="Arial"/>
                <w:sz w:val="17"/>
                <w:szCs w:val="17"/>
                <w:color w:val="auto"/>
              </w:rPr>
              <w:t>Form of Registration Rights Agreement</w:t>
            </w:r>
          </w:p>
        </w:tc>
        <w:tc>
          <w:tcPr>
            <w:tcW w:w="2920" w:type="dxa"/>
            <w:vAlign w:val="bottom"/>
          </w:tcPr>
          <w:p>
            <w:pPr>
              <w:spacing w:after="0"/>
              <w:rPr>
                <w:sz w:val="17"/>
                <w:szCs w:val="17"/>
                <w:color w:val="auto"/>
              </w:rPr>
            </w:pPr>
          </w:p>
        </w:tc>
      </w:tr>
      <w:tr>
        <w:trPr>
          <w:trHeight w:val="212"/>
        </w:trPr>
        <w:tc>
          <w:tcPr>
            <w:tcW w:w="900" w:type="dxa"/>
            <w:vAlign w:val="bottom"/>
            <w:gridSpan w:val="2"/>
          </w:tcPr>
          <w:p>
            <w:pPr>
              <w:spacing w:after="0"/>
              <w:rPr>
                <w:sz w:val="20"/>
                <w:szCs w:val="20"/>
                <w:color w:val="auto"/>
              </w:rPr>
            </w:pPr>
            <w:r>
              <w:rPr>
                <w:rFonts w:ascii="Arial" w:cs="Arial" w:eastAsia="Arial" w:hAnsi="Arial"/>
                <w:sz w:val="17"/>
                <w:szCs w:val="17"/>
                <w:color w:val="auto"/>
              </w:rPr>
              <w:t>Exhibit E</w:t>
            </w:r>
          </w:p>
        </w:tc>
        <w:tc>
          <w:tcPr>
            <w:tcW w:w="7600" w:type="dxa"/>
            <w:vAlign w:val="bottom"/>
            <w:gridSpan w:val="25"/>
          </w:tcPr>
          <w:p>
            <w:pPr>
              <w:ind w:left="240"/>
              <w:spacing w:after="0"/>
              <w:rPr>
                <w:sz w:val="20"/>
                <w:szCs w:val="20"/>
                <w:color w:val="auto"/>
              </w:rPr>
            </w:pPr>
            <w:r>
              <w:rPr>
                <w:rFonts w:ascii="Arial" w:cs="Arial" w:eastAsia="Arial" w:hAnsi="Arial"/>
                <w:sz w:val="17"/>
                <w:szCs w:val="17"/>
                <w:color w:val="auto"/>
              </w:rPr>
              <w:t>Form of Earnout Incentive Plan</w:t>
            </w:r>
          </w:p>
        </w:tc>
        <w:tc>
          <w:tcPr>
            <w:tcW w:w="2920" w:type="dxa"/>
            <w:vAlign w:val="bottom"/>
          </w:tcPr>
          <w:p>
            <w:pPr>
              <w:spacing w:after="0"/>
              <w:rPr>
                <w:sz w:val="18"/>
                <w:szCs w:val="18"/>
                <w:color w:val="auto"/>
              </w:rPr>
            </w:pPr>
          </w:p>
        </w:tc>
      </w:tr>
      <w:tr>
        <w:trPr>
          <w:trHeight w:val="316"/>
        </w:trPr>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CONTRIBUTION AGREEMENT</w:t>
      </w:r>
    </w:p>
    <w:p>
      <w:pPr>
        <w:spacing w:after="0" w:line="203" w:lineRule="exact"/>
        <w:rPr>
          <w:sz w:val="20"/>
          <w:szCs w:val="20"/>
          <w:color w:val="auto"/>
        </w:rPr>
      </w:pPr>
    </w:p>
    <w:p>
      <w:pPr>
        <w:jc w:val="both"/>
        <w:ind w:firstLine="598"/>
        <w:spacing w:after="0" w:line="280"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CONTRIBUTION AGREEMENT</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Agreement</w:t>
      </w:r>
      <w:r>
        <w:rPr>
          <w:rFonts w:ascii="Arial" w:cs="Arial" w:eastAsia="Arial" w:hAnsi="Arial"/>
          <w:sz w:val="16"/>
          <w:szCs w:val="16"/>
          <w:color w:val="auto"/>
        </w:rPr>
        <w:t>”) is dated as of February 26, 2018 by and among Priority Investment Holdings, LLC, a Delaware limited liability company (“</w:t>
      </w:r>
      <w:r>
        <w:rPr>
          <w:rFonts w:ascii="Arial" w:cs="Arial" w:eastAsia="Arial" w:hAnsi="Arial"/>
          <w:sz w:val="16"/>
          <w:szCs w:val="16"/>
          <w:u w:val="single" w:color="auto"/>
          <w:color w:val="auto"/>
        </w:rPr>
        <w:t>PIH</w:t>
      </w:r>
      <w:r>
        <w:rPr>
          <w:rFonts w:ascii="Arial" w:cs="Arial" w:eastAsia="Arial" w:hAnsi="Arial"/>
          <w:sz w:val="16"/>
          <w:szCs w:val="16"/>
          <w:color w:val="auto"/>
        </w:rPr>
        <w:t>”), Priority Incentive Equity Holdings, LLC, a Delaware limited liability company (PIEH, and together with PIH, the “</w:t>
      </w:r>
      <w:r>
        <w:rPr>
          <w:rFonts w:ascii="Arial" w:cs="Arial" w:eastAsia="Arial" w:hAnsi="Arial"/>
          <w:sz w:val="16"/>
          <w:szCs w:val="16"/>
          <w:u w:val="single" w:color="auto"/>
          <w:color w:val="auto"/>
        </w:rPr>
        <w:t>Sellers</w:t>
      </w:r>
      <w:r>
        <w:rPr>
          <w:rFonts w:ascii="Arial" w:cs="Arial" w:eastAsia="Arial" w:hAnsi="Arial"/>
          <w:sz w:val="16"/>
          <w:szCs w:val="16"/>
          <w:color w:val="auto"/>
        </w:rPr>
        <w:t>”) and M I Acquisitions, Inc., a Delaware corporation (“</w:t>
      </w:r>
      <w:r>
        <w:rPr>
          <w:rFonts w:ascii="Arial" w:cs="Arial" w:eastAsia="Arial" w:hAnsi="Arial"/>
          <w:sz w:val="16"/>
          <w:szCs w:val="16"/>
          <w:u w:val="single" w:color="auto"/>
          <w:color w:val="auto"/>
        </w:rPr>
        <w:t>Buyer</w:t>
      </w:r>
      <w:r>
        <w:rPr>
          <w:rFonts w:ascii="Arial" w:cs="Arial" w:eastAsia="Arial" w:hAnsi="Arial"/>
          <w:sz w:val="16"/>
          <w:szCs w:val="16"/>
          <w:color w:val="auto"/>
        </w:rPr>
        <w:t>”). Each of Seller and Buyer is sometimes referred to herein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 I T N E S S E T H:</w:t>
      </w:r>
    </w:p>
    <w:p>
      <w:pPr>
        <w:spacing w:after="0" w:line="203"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Sellers are collectively the record and beneficial owners of 100% of the issued and outstanding Equity Interests (as defined herein) of Priority</w:t>
      </w:r>
      <w:r>
        <w:rPr>
          <w:rFonts w:ascii="Arial" w:cs="Arial" w:eastAsia="Arial" w:hAnsi="Arial"/>
          <w:sz w:val="17"/>
          <w:szCs w:val="17"/>
          <w:b w:val="1"/>
          <w:bCs w:val="1"/>
          <w:color w:val="auto"/>
        </w:rPr>
        <w:t xml:space="preserve"> </w:t>
      </w:r>
      <w:r>
        <w:rPr>
          <w:rFonts w:ascii="Arial" w:cs="Arial" w:eastAsia="Arial" w:hAnsi="Arial"/>
          <w:sz w:val="17"/>
          <w:szCs w:val="17"/>
          <w:color w:val="auto"/>
        </w:rPr>
        <w:t>Holdings,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and such Equity Interests, the “</w:t>
      </w:r>
      <w:r>
        <w:rPr>
          <w:rFonts w:ascii="Arial" w:cs="Arial" w:eastAsia="Arial" w:hAnsi="Arial"/>
          <w:sz w:val="17"/>
          <w:szCs w:val="17"/>
          <w:u w:val="single" w:color="auto"/>
          <w:color w:val="auto"/>
        </w:rPr>
        <w:t>Acquired Interests</w:t>
      </w:r>
      <w:r>
        <w:rPr>
          <w:rFonts w:ascii="Arial" w:cs="Arial" w:eastAsia="Arial" w:hAnsi="Arial"/>
          <w:sz w:val="17"/>
          <w:szCs w:val="17"/>
          <w:color w:val="auto"/>
        </w:rPr>
        <w:t>”);</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Buyer is a blank check company formed for the sole purpose of entering into a Business Combination (as defined herein);</w:t>
      </w:r>
    </w:p>
    <w:p>
      <w:pPr>
        <w:spacing w:after="0" w:line="203"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Sellers desire to contribute to Buyer, and Buyer desires to acquire from Seller, the Acquired Interests, in exchange for the consideration described</w:t>
      </w:r>
      <w:r>
        <w:rPr>
          <w:rFonts w:ascii="Arial" w:cs="Arial" w:eastAsia="Arial" w:hAnsi="Arial"/>
          <w:sz w:val="17"/>
          <w:szCs w:val="17"/>
          <w:b w:val="1"/>
          <w:bCs w:val="1"/>
          <w:color w:val="auto"/>
        </w:rPr>
        <w:t xml:space="preserve"> </w:t>
      </w:r>
      <w:r>
        <w:rPr>
          <w:rFonts w:ascii="Arial" w:cs="Arial" w:eastAsia="Arial" w:hAnsi="Arial"/>
          <w:sz w:val="17"/>
          <w:szCs w:val="17"/>
          <w:color w:val="auto"/>
        </w:rPr>
        <w:t>herein and otherwise upon the terms and subject to the conditions set forth herein; and</w:t>
      </w:r>
    </w:p>
    <w:p>
      <w:pPr>
        <w:spacing w:after="0" w:line="159"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for Federal income tax purposes, it is intended that (a) the contribution of the Acquired Interests by Sellers to Buyer be treated as an “exchange” by</w:t>
      </w:r>
      <w:r>
        <w:rPr>
          <w:rFonts w:ascii="Arial" w:cs="Arial" w:eastAsia="Arial" w:hAnsi="Arial"/>
          <w:sz w:val="17"/>
          <w:szCs w:val="17"/>
          <w:b w:val="1"/>
          <w:bCs w:val="1"/>
          <w:color w:val="auto"/>
        </w:rPr>
        <w:t xml:space="preserve"> </w:t>
      </w:r>
      <w:r>
        <w:rPr>
          <w:rFonts w:ascii="Arial" w:cs="Arial" w:eastAsia="Arial" w:hAnsi="Arial"/>
          <w:sz w:val="17"/>
          <w:szCs w:val="17"/>
          <w:color w:val="auto"/>
        </w:rPr>
        <w:t>Sellers of all of the assets of the Company described in Section 351(a) of the Code, and (b) the acquisition of the Acquired Interests by Buyer be treated as an acquisition of the assets and assumption of the liabilities of the Company in accordance with IRS Revenue Ruling 99-6.</w:t>
      </w:r>
    </w:p>
    <w:p>
      <w:pPr>
        <w:spacing w:after="0" w:line="169" w:lineRule="exact"/>
        <w:rPr>
          <w:sz w:val="20"/>
          <w:szCs w:val="20"/>
          <w:color w:val="auto"/>
        </w:rPr>
      </w:pPr>
    </w:p>
    <w:p>
      <w:pPr>
        <w:jc w:val="both"/>
        <w:ind w:firstLine="598"/>
        <w:spacing w:after="0" w:line="301"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respective representations, warranties, covenants and agreements set forth herein and for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intending to be legally bound hereby, agree as follows: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I</w:t>
      </w:r>
    </w:p>
    <w:p>
      <w:pPr>
        <w:spacing w:after="0" w:line="20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DEFINITIONS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Extension Deadline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5.17(c)</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EBITDA</w:t>
      </w:r>
      <w:r>
        <w:rPr>
          <w:rFonts w:ascii="Arial" w:cs="Arial" w:eastAsia="Arial" w:hAnsi="Arial"/>
          <w:sz w:val="16"/>
          <w:szCs w:val="16"/>
          <w:color w:val="auto"/>
        </w:rPr>
        <w:t>” means, with respect to any fiscal year, the net income before interest, taxes, depreciation and amortization of the Company and its Subsidiaries, on a consolidated basis, determined in accordance with GAAP and the same accounting methodologies, assumptions, practices, policies, principles and procedures (with consistent classifications, reserves, judgments, valuations and estimation methodologies) used to prepare the Company’s audited financial statements for the applicable fiscal year, adjusted (a) by adding back customary one-time, non-recurring items or non-cash items and (b) to take into account the pro forma impact of acquisitions, on an annualized basis, by the Company or any of its Subsidiaries during the applicable period.</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12" w:name="page13"/>
    <w:bookmarkEnd w:id="12"/>
    <w:p>
      <w:pPr>
        <w:jc w:val="both"/>
        <w:ind w:firstLine="59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of any Person means any other Person controlling, controlled by or under common control with such first Person, and “controlling”, “controlled by” or “under common control with” means the possession, directly or indirectly, of the power to direct the management and policies of a Person, whether through the ownership of voting securities, by contract or otherwise.</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has the meaning set forth in the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Amended and Restated Operating Agreement</w:t>
      </w:r>
      <w:r>
        <w:rPr>
          <w:rFonts w:ascii="Arial" w:cs="Arial" w:eastAsia="Arial" w:hAnsi="Arial"/>
          <w:sz w:val="15"/>
          <w:szCs w:val="15"/>
          <w:color w:val="auto"/>
        </w:rPr>
        <w:t xml:space="preserve">” means the Amended and Restated Operating Agreement of the Company in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w:t>
      </w:r>
    </w:p>
    <w:p>
      <w:pPr>
        <w:spacing w:after="0" w:line="226"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Cash</w:t>
      </w:r>
      <w:r>
        <w:rPr>
          <w:rFonts w:ascii="Arial" w:cs="Arial" w:eastAsia="Arial" w:hAnsi="Arial"/>
          <w:sz w:val="17"/>
          <w:szCs w:val="17"/>
          <w:color w:val="auto"/>
        </w:rPr>
        <w:t xml:space="preserve">” means (a) the amount of the funds contained in the Trust Account as of immediately prior to the Closing without giving effect to the Buyer Stockholder Redemptions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amounts required to consummate any Buyer Stockholder Redemptions.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Balance Sheet Date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3.05</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and Equity Exclusion</w:t>
      </w:r>
      <w:r>
        <w:rPr>
          <w:rFonts w:ascii="Arial" w:cs="Arial" w:eastAsia="Arial" w:hAnsi="Arial"/>
          <w:sz w:val="17"/>
          <w:szCs w:val="17"/>
          <w:color w:val="auto"/>
        </w:rPr>
        <w:t>” means, with respect to any Contract, the effect on the enforceability of such Contract as a result of (a) the application of bankruptcy, insolvency, reorganization, moratorium or other similar Laws, now or hereafter in effect, affecting creditors’ rights generally and (b) the availability of the remedy of specific performance and injunctive and other forms of equitable relief as a result of the application of equitable defenses and the discretion of the court before which any Proceeding therefor may be brought.</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2.07</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Observer</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2.07</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Observer Period</w:t>
      </w:r>
      <w:r>
        <w:rPr>
          <w:rFonts w:ascii="Arial" w:cs="Arial" w:eastAsia="Arial" w:hAnsi="Arial"/>
          <w:sz w:val="17"/>
          <w:szCs w:val="17"/>
          <w:color w:val="auto"/>
        </w:rPr>
        <w:t>” means the period beginning on the Closing Date and ending on the later to occur of (a) the termination of the Call Right and ROFR Letter Agreement, dated as of the date hereof, by and among Buyer and Sellers or (b) the date on which the Founders Earnout Payment (as defined in the Purchase Agreement, dated as of the date hereof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by and among PIH, Buyer and the other entities party thereto) is paid in accordance with Section 2.06 of the Purchase Agreement.</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has the meaning set forth in Buyer’s Organizational Documents.</w:t>
      </w:r>
    </w:p>
    <w:p>
      <w:pPr>
        <w:spacing w:after="0" w:line="20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 day, other than Saturday, Sunday or any other day on which commercial banks in New York, New York are authorized or required by Law to close.</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w:t>
      </w:r>
      <w:r>
        <w:rPr>
          <w:rFonts w:ascii="Arial" w:cs="Arial" w:eastAsia="Arial" w:hAnsi="Arial"/>
          <w:sz w:val="17"/>
          <w:szCs w:val="17"/>
          <w:color w:val="auto"/>
        </w:rPr>
        <w:t>” has the meaning set forth in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A&amp;R By-laws</w:t>
      </w:r>
      <w:r>
        <w:rPr>
          <w:rFonts w:ascii="Arial" w:cs="Arial" w:eastAsia="Arial" w:hAnsi="Arial"/>
          <w:sz w:val="17"/>
          <w:szCs w:val="17"/>
          <w:color w:val="auto"/>
        </w:rPr>
        <w:t xml:space="preserve">” means the amended and restated by-laws of Buyer in the form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13" w:name="page14"/>
    <w:bookmarkEnd w:id="13"/>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A&amp;R Charter</w:t>
      </w:r>
      <w:r>
        <w:rPr>
          <w:rFonts w:ascii="Arial" w:cs="Arial" w:eastAsia="Arial" w:hAnsi="Arial"/>
          <w:sz w:val="17"/>
          <w:szCs w:val="17"/>
          <w:color w:val="auto"/>
        </w:rPr>
        <w:t xml:space="preserve">” means the amended and restated certificate of incorporation of Buyer in the form attached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w:t>
      </w:r>
    </w:p>
    <w:p>
      <w:pPr>
        <w:spacing w:after="0" w:line="203" w:lineRule="exact"/>
        <w:rPr>
          <w:sz w:val="20"/>
          <w:szCs w:val="20"/>
          <w:color w:val="auto"/>
        </w:rPr>
      </w:pPr>
    </w:p>
    <w:p>
      <w:pPr>
        <w:ind w:firstLine="598"/>
        <w:spacing w:after="0" w:line="33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Buyer Benefit Plan</w:t>
      </w:r>
      <w:r>
        <w:rPr>
          <w:rFonts w:ascii="Arial" w:cs="Arial" w:eastAsia="Arial" w:hAnsi="Arial"/>
          <w:sz w:val="15"/>
          <w:szCs w:val="15"/>
          <w:color w:val="auto"/>
        </w:rPr>
        <w:t>” means each “employee benefit plan” (as such term is defined in Section 3(3) of ERISA) and each other employee benefit plan, program or arrangement, in each case, that is maintained, sponsored or contributed to by Buyer for the benefit of any current or former employee or officer of Buyer.</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Board</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5.05(b)</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Board Recommendation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5.05(b)</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Common Shares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4.05(a)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Disclosure Letter</w:t>
      </w:r>
      <w:r>
        <w:rPr>
          <w:rFonts w:ascii="Arial" w:cs="Arial" w:eastAsia="Arial" w:hAnsi="Arial"/>
          <w:sz w:val="17"/>
          <w:szCs w:val="17"/>
          <w:color w:val="auto"/>
        </w:rPr>
        <w:t>” means the disclosure letter delivered by Buyer to Sellers concurrently with the execution and delivery hereof.</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Earnout Incentive Plan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5.15</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Issued Securities</w:t>
      </w:r>
      <w:r>
        <w:rPr>
          <w:rFonts w:ascii="Arial" w:cs="Arial" w:eastAsia="Arial" w:hAnsi="Arial"/>
          <w:sz w:val="17"/>
          <w:szCs w:val="17"/>
          <w:color w:val="auto"/>
        </w:rPr>
        <w:t>” means the Buyer Issued Shares and the Buyer Warrants.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Issued Shares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4.05(a)</w:t>
      </w:r>
      <w:r>
        <w:rPr>
          <w:rFonts w:ascii="Arial" w:cs="Arial" w:eastAsia="Arial" w:hAnsi="Arial"/>
          <w:sz w:val="17"/>
          <w:szCs w:val="17"/>
          <w:color w:val="auto"/>
        </w:rPr>
        <w:t>.</w:t>
      </w:r>
    </w:p>
    <w:p>
      <w:pPr>
        <w:spacing w:after="0" w:line="203" w:lineRule="exact"/>
        <w:rPr>
          <w:sz w:val="20"/>
          <w:szCs w:val="20"/>
          <w:color w:val="auto"/>
        </w:rPr>
      </w:pPr>
    </w:p>
    <w:p>
      <w:pPr>
        <w:ind w:firstLine="59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Buyer Material Adverse Effect</w:t>
      </w:r>
      <w:r>
        <w:rPr>
          <w:rFonts w:ascii="Arial" w:cs="Arial" w:eastAsia="Arial" w:hAnsi="Arial"/>
          <w:sz w:val="16"/>
          <w:szCs w:val="16"/>
          <w:color w:val="auto"/>
        </w:rPr>
        <w:t>” means any event, development, or change that has a material adverse effect on the ability of Buyer to perform its obligations hereunder, or that would prevent, materially impede, interfere with, hinder or delay the consummation by Buyer of the Contemplated Transactions.</w:t>
      </w:r>
    </w:p>
    <w:p>
      <w:pPr>
        <w:spacing w:after="0" w:line="144" w:lineRule="exact"/>
        <w:rPr>
          <w:sz w:val="20"/>
          <w:szCs w:val="20"/>
          <w:color w:val="auto"/>
        </w:rPr>
      </w:pPr>
    </w:p>
    <w:p>
      <w:pPr>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Material Contract</w:t>
      </w:r>
      <w:r>
        <w:rPr>
          <w:rFonts w:ascii="Arial" w:cs="Arial" w:eastAsia="Arial" w:hAnsi="Arial"/>
          <w:sz w:val="17"/>
          <w:szCs w:val="17"/>
          <w:color w:val="auto"/>
        </w:rPr>
        <w:t>” means (a) a “material contract”, as such term is defined in Item 601(b)(10) of Regulation S-K as adopted by the SEC, to which Buyer is a party or (b) any Related Party Contract.</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Preferred Shares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4.05(a)</w:t>
      </w:r>
      <w:r>
        <w:rPr>
          <w:rFonts w:ascii="Arial" w:cs="Arial" w:eastAsia="Arial" w:hAnsi="Arial"/>
          <w:sz w:val="17"/>
          <w:szCs w:val="17"/>
          <w:color w:val="auto"/>
        </w:rPr>
        <w:t>.</w:t>
      </w:r>
    </w:p>
    <w:p>
      <w:pPr>
        <w:spacing w:after="0" w:line="203" w:lineRule="exact"/>
        <w:rPr>
          <w:sz w:val="20"/>
          <w:szCs w:val="20"/>
          <w:color w:val="auto"/>
        </w:rPr>
      </w:pPr>
    </w:p>
    <w:p>
      <w:pPr>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Private Warrants</w:t>
      </w:r>
      <w:r>
        <w:rPr>
          <w:rFonts w:ascii="Arial" w:cs="Arial" w:eastAsia="Arial" w:hAnsi="Arial"/>
          <w:sz w:val="17"/>
          <w:szCs w:val="17"/>
          <w:color w:val="auto"/>
        </w:rPr>
        <w:t>” means the warrants that were sold as part of the units on a private placement basis upon consummation of the IPO, which are exercisable by the holders thereof on a cashless basis.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Public Warrants</w:t>
      </w:r>
      <w:r>
        <w:rPr>
          <w:rFonts w:ascii="Arial" w:cs="Arial" w:eastAsia="Arial" w:hAnsi="Arial"/>
          <w:sz w:val="17"/>
          <w:szCs w:val="17"/>
          <w:color w:val="auto"/>
        </w:rPr>
        <w:t>” means the warrants that were sold as part of the units in the IPO with an exercise price of $11.50 per share.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Reports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4.08(a)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Stockholder</w:t>
      </w:r>
      <w:r>
        <w:rPr>
          <w:rFonts w:ascii="Arial" w:cs="Arial" w:eastAsia="Arial" w:hAnsi="Arial"/>
          <w:sz w:val="17"/>
          <w:szCs w:val="17"/>
          <w:color w:val="auto"/>
        </w:rPr>
        <w:t>” means, at a specified time, any Person who owns, beneficially and of record, any Buyer Issued Shares.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Stockholder Approval</w:t>
      </w:r>
      <w:r>
        <w:rPr>
          <w:rFonts w:ascii="Arial" w:cs="Arial" w:eastAsia="Arial" w:hAnsi="Arial"/>
          <w:sz w:val="17"/>
          <w:szCs w:val="17"/>
          <w:color w:val="auto"/>
        </w:rPr>
        <w:t>” has the meaning set forth in Section 5.05(b).</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14" w:name="page15"/>
    <w:bookmarkEnd w:id="14"/>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Stockholder Redemptions</w:t>
      </w:r>
      <w:r>
        <w:rPr>
          <w:rFonts w:ascii="Arial" w:cs="Arial" w:eastAsia="Arial" w:hAnsi="Arial"/>
          <w:sz w:val="17"/>
          <w:szCs w:val="17"/>
          <w:color w:val="auto"/>
        </w:rPr>
        <w:t>” means, collectively, any redemption of Buyer Common Shares held by the Electing Stockholders in connection with the Contemplated Transactions and in accordance with Buyer’s Organizational Documents.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Stockholders Meeting</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5.05(a)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Tax Returns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4.13(a)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Units</w:t>
      </w:r>
      <w:r>
        <w:rPr>
          <w:rFonts w:ascii="Arial" w:cs="Arial" w:eastAsia="Arial" w:hAnsi="Arial"/>
          <w:sz w:val="17"/>
          <w:szCs w:val="17"/>
          <w:color w:val="auto"/>
        </w:rPr>
        <w:t>” means the units issued by Buyer, consisting of one Buyer Common Share and one Buyer Public Warrant.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Warrantholders</w:t>
      </w:r>
      <w:r>
        <w:rPr>
          <w:rFonts w:ascii="Arial" w:cs="Arial" w:eastAsia="Arial" w:hAnsi="Arial"/>
          <w:sz w:val="17"/>
          <w:szCs w:val="17"/>
          <w:color w:val="auto"/>
        </w:rPr>
        <w:t>” means, at a specified time, any Person who holds any Buyer Warrants.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Warrants</w:t>
      </w:r>
      <w:r>
        <w:rPr>
          <w:rFonts w:ascii="Arial" w:cs="Arial" w:eastAsia="Arial" w:hAnsi="Arial"/>
          <w:sz w:val="17"/>
          <w:szCs w:val="17"/>
          <w:color w:val="auto"/>
        </w:rPr>
        <w:t>” means, collectively, the Buyer Public Warrants and the Buyer Private Warrants.</w:t>
      </w:r>
    </w:p>
    <w:p>
      <w:pPr>
        <w:spacing w:after="0" w:line="20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Card Association</w:t>
      </w:r>
      <w:r>
        <w:rPr>
          <w:rFonts w:ascii="Arial" w:cs="Arial" w:eastAsia="Arial" w:hAnsi="Arial"/>
          <w:sz w:val="17"/>
          <w:szCs w:val="17"/>
          <w:color w:val="auto"/>
        </w:rPr>
        <w:t>” means MasterCard International, Inc., VISA International, Inc., VISA USA, Inc. or any other card association, debit card network, gateway service or other network or similar entity.</w:t>
      </w:r>
    </w:p>
    <w:p>
      <w:pPr>
        <w:spacing w:after="0" w:line="168"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Card Association Rules</w:t>
      </w:r>
      <w:r>
        <w:rPr>
          <w:rFonts w:ascii="Arial" w:cs="Arial" w:eastAsia="Arial" w:hAnsi="Arial"/>
          <w:sz w:val="17"/>
          <w:szCs w:val="17"/>
          <w:color w:val="auto"/>
        </w:rPr>
        <w:t>” means all rules, regulations, manuals, service levels, guidelines, policies, procedures or requirements that are issued or promulgated from time to time, and any interpretations thereof, by any Card Association.</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Recommendation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5.05(b)</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Chargeback</w:t>
      </w:r>
      <w:r>
        <w:rPr>
          <w:rFonts w:ascii="Arial" w:cs="Arial" w:eastAsia="Arial" w:hAnsi="Arial"/>
          <w:sz w:val="17"/>
          <w:szCs w:val="17"/>
          <w:color w:val="auto"/>
        </w:rPr>
        <w:t xml:space="preserve">” means a charge on a credit card or debit card that is returned or unpaid by the financial or other institution that issued such card, and any chargeback as otherwise defined in the Card Association Rules of the applicable Card Association;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definition, Chargeback shall also include Card Association fines, penalties, fees, and losses related to or arising from Merchant transactions.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U.S. Internal Revenue Code of 1986, as amended.</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4.05(a)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Equity Value</w:t>
      </w:r>
      <w:r>
        <w:rPr>
          <w:rFonts w:ascii="Arial" w:cs="Arial" w:eastAsia="Arial" w:hAnsi="Arial"/>
          <w:sz w:val="17"/>
          <w:szCs w:val="17"/>
          <w:color w:val="auto"/>
        </w:rPr>
        <w:t xml:space="preserve">” means an amount equal to (a) the Company Enterprise Value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Net Assumed Debt.</w:t>
      </w:r>
    </w:p>
    <w:p>
      <w:pPr>
        <w:spacing w:after="0" w:line="203" w:lineRule="exact"/>
        <w:rPr>
          <w:sz w:val="20"/>
          <w:szCs w:val="20"/>
          <w:color w:val="auto"/>
        </w:rPr>
      </w:pPr>
    </w:p>
    <w:p>
      <w:pPr>
        <w:jc w:val="both"/>
        <w:ind w:firstLine="598"/>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Enterprise Value</w:t>
      </w:r>
      <w:r>
        <w:rPr>
          <w:rFonts w:ascii="Arial" w:cs="Arial" w:eastAsia="Arial" w:hAnsi="Arial"/>
          <w:sz w:val="17"/>
          <w:szCs w:val="17"/>
          <w:color w:val="auto"/>
        </w:rPr>
        <w:t xml:space="preserve">” means $1,003,000,000;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amount shall be adjusted upward dollar for dollar for the consideration paid by the Company or any of its Subsidiaries for any acquisitions by the Company or any of its Subsidiaries; provided, further, that, no such adjustment shall be made unless and until such acquisitions increase the Adjusted EBITDA in the aggregate by more than $9,000,000, and in such event, the full consideration paid in respect of such acquisitions shall be taken into account in such adjustment. Notwithstanding the foregoing, any adjustment made to the Company Enterprise Value in respect of each such acquisition pursuant to this definition shall not exceed an amount equal to (a) 12.5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the amount such acquisition contributes to the Adjusted EBITDA for fiscal year 2018.</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15" w:name="page16"/>
    <w:bookmarkEnd w:id="15"/>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Lease Party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3.08(b)</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means that Confidentiality Agreement, dated as of July 10, 2017 by and between Buyer and the Company, including any joinders or written amendments thereto.</w:t>
      </w:r>
    </w:p>
    <w:p>
      <w:pPr>
        <w:spacing w:after="0" w:line="168" w:lineRule="exact"/>
        <w:rPr>
          <w:sz w:val="20"/>
          <w:szCs w:val="20"/>
          <w:color w:val="auto"/>
        </w:rPr>
      </w:pPr>
    </w:p>
    <w:p>
      <w:pPr>
        <w:jc w:val="both"/>
        <w:ind w:firstLine="598"/>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Consideration Shares</w:t>
      </w:r>
      <w:r>
        <w:rPr>
          <w:rFonts w:ascii="Arial" w:cs="Arial" w:eastAsia="Arial" w:hAnsi="Arial"/>
          <w:sz w:val="15"/>
          <w:szCs w:val="15"/>
          <w:color w:val="auto"/>
        </w:rPr>
        <w:t xml:space="preserve">” means a number of shares of Common Stock, rounded to the nearest whole share, equal to (a) if the Goldman Warrant has not been exercised and remains outstanding as of immediately prior to the Closing, (i)(A) 0.9783 </w:t>
      </w:r>
      <w:r>
        <w:rPr>
          <w:rFonts w:ascii="Arial" w:cs="Arial" w:eastAsia="Arial" w:hAnsi="Arial"/>
          <w:sz w:val="15"/>
          <w:szCs w:val="15"/>
          <w:u w:val="single" w:color="auto"/>
          <w:color w:val="auto"/>
        </w:rPr>
        <w:t>multiplied by</w:t>
      </w:r>
      <w:r>
        <w:rPr>
          <w:rFonts w:ascii="Arial" w:cs="Arial" w:eastAsia="Arial" w:hAnsi="Arial"/>
          <w:sz w:val="15"/>
          <w:szCs w:val="15"/>
          <w:color w:val="auto"/>
        </w:rPr>
        <w:t xml:space="preserve"> (B) the Company Equity Value, </w:t>
      </w:r>
      <w:r>
        <w:rPr>
          <w:rFonts w:ascii="Arial" w:cs="Arial" w:eastAsia="Arial" w:hAnsi="Arial"/>
          <w:sz w:val="15"/>
          <w:szCs w:val="15"/>
          <w:u w:val="single" w:color="auto"/>
          <w:color w:val="auto"/>
        </w:rPr>
        <w:t>divided by</w:t>
      </w:r>
      <w:r>
        <w:rPr>
          <w:rFonts w:ascii="Arial" w:cs="Arial" w:eastAsia="Arial" w:hAnsi="Arial"/>
          <w:sz w:val="15"/>
          <w:szCs w:val="15"/>
          <w:color w:val="auto"/>
        </w:rPr>
        <w:t xml:space="preserve"> (ii) $10.30; or (b) if the Goldman Warrant has been exercised or is otherwise no longer outstanding as of immediately prior to the Closing, (i) the Company Equity Value </w:t>
      </w:r>
      <w:r>
        <w:rPr>
          <w:rFonts w:ascii="Arial" w:cs="Arial" w:eastAsia="Arial" w:hAnsi="Arial"/>
          <w:sz w:val="15"/>
          <w:szCs w:val="15"/>
          <w:u w:val="single" w:color="auto"/>
          <w:color w:val="auto"/>
        </w:rPr>
        <w:t>divided by</w:t>
      </w:r>
      <w:r>
        <w:rPr>
          <w:rFonts w:ascii="Arial" w:cs="Arial" w:eastAsia="Arial" w:hAnsi="Arial"/>
          <w:sz w:val="15"/>
          <w:szCs w:val="15"/>
          <w:color w:val="auto"/>
        </w:rPr>
        <w:t xml:space="preserve"> (ii) $10.30.</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Contemplated Transactions</w:t>
      </w:r>
      <w:r>
        <w:rPr>
          <w:rFonts w:ascii="Arial" w:cs="Arial" w:eastAsia="Arial" w:hAnsi="Arial"/>
          <w:sz w:val="17"/>
          <w:szCs w:val="17"/>
          <w:color w:val="auto"/>
        </w:rPr>
        <w:t>” means the transactions contemplated by the Transaction Documents.</w:t>
      </w:r>
    </w:p>
    <w:p>
      <w:pPr>
        <w:spacing w:after="0" w:line="20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w:t>
      </w:r>
      <w:r>
        <w:rPr>
          <w:rFonts w:ascii="Arial" w:cs="Arial" w:eastAsia="Arial" w:hAnsi="Arial"/>
          <w:sz w:val="17"/>
          <w:szCs w:val="17"/>
          <w:color w:val="auto"/>
        </w:rPr>
        <w:t>” means any agreement, contract, lease, instrument, understanding, arrangement, or commitment, obligation, or undertaking (whether written or oral) that is legally binding.</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Current Balance Sheet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3.05</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D&amp;O Policy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5.16</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33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Deferred Underwriting Fees</w:t>
      </w:r>
      <w:r>
        <w:rPr>
          <w:rFonts w:ascii="Arial" w:cs="Arial" w:eastAsia="Arial" w:hAnsi="Arial"/>
          <w:sz w:val="15"/>
          <w:szCs w:val="15"/>
          <w:color w:val="auto"/>
        </w:rPr>
        <w:t>” means the amount of deferred underwriting fees and expenses incurred in connection with the IPO and payable to the Underwriters upon consummation of a Business Combination, the funds for which are held in the Trust Account and which such amount will equal not more than $1,062,022.</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DGCL</w:t>
      </w:r>
      <w:r>
        <w:rPr>
          <w:rFonts w:ascii="Arial" w:cs="Arial" w:eastAsia="Arial" w:hAnsi="Arial"/>
          <w:sz w:val="17"/>
          <w:szCs w:val="17"/>
          <w:color w:val="auto"/>
        </w:rPr>
        <w:t>” means the General Corporation Law of the State of Delaware, as amended, or any successor Law.</w:t>
      </w:r>
    </w:p>
    <w:p>
      <w:pPr>
        <w:spacing w:after="0" w:line="20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Disclosure Letter</w:t>
      </w:r>
      <w:r>
        <w:rPr>
          <w:rFonts w:ascii="Arial" w:cs="Arial" w:eastAsia="Arial" w:hAnsi="Arial"/>
          <w:sz w:val="17"/>
          <w:szCs w:val="17"/>
          <w:color w:val="auto"/>
        </w:rPr>
        <w:t>” means the disclosure letter delivered by Sellers and the Company to Buyer concurrently with the execution and delivery hereof, as the same may be amended from time to time in accordance with the terms hereof.</w:t>
      </w:r>
    </w:p>
    <w:p>
      <w:pPr>
        <w:spacing w:after="0" w:line="168" w:lineRule="exact"/>
        <w:rPr>
          <w:sz w:val="20"/>
          <w:szCs w:val="20"/>
          <w:color w:val="auto"/>
        </w:rPr>
      </w:pPr>
    </w:p>
    <w:p>
      <w:pPr>
        <w:jc w:val="both"/>
        <w:ind w:firstLine="59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Electing Stockholders</w:t>
      </w:r>
      <w:r>
        <w:rPr>
          <w:rFonts w:ascii="Arial" w:cs="Arial" w:eastAsia="Arial" w:hAnsi="Arial"/>
          <w:sz w:val="16"/>
          <w:szCs w:val="16"/>
          <w:color w:val="auto"/>
        </w:rPr>
        <w:t>” means the stockholders of Buyer holding Buyer Issued Securities who have, in connection with the Contemplated Transactions, elected to redeem their Buyer Issued Securities on the terms and subject to the conditions set forth in the Buyer’s Organizational Documents.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16" w:name="page17"/>
    <w:bookmarkEnd w:id="16"/>
    <w:p>
      <w:pPr>
        <w:jc w:val="both"/>
        <w:ind w:firstLine="59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Benefit Plan</w:t>
      </w:r>
      <w:r>
        <w:rPr>
          <w:rFonts w:ascii="Arial" w:cs="Arial" w:eastAsia="Arial" w:hAnsi="Arial"/>
          <w:sz w:val="17"/>
          <w:szCs w:val="17"/>
          <w:color w:val="auto"/>
        </w:rPr>
        <w:t>” means each “employee benefit plan” (as such term is defined in Section 3(3) of ERISA) and each other employee benefit plan, program or arrangement, in each case, that is maintained, sponsored or contributed to by the Company or any of its Subsidiaries for the benefit of any current or former employee or officer of the Company or any of its Subsidiaries.</w:t>
      </w:r>
    </w:p>
    <w:p>
      <w:pPr>
        <w:spacing w:after="0" w:line="176"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Claim</w:t>
      </w:r>
      <w:r>
        <w:rPr>
          <w:rFonts w:ascii="Arial" w:cs="Arial" w:eastAsia="Arial" w:hAnsi="Arial"/>
          <w:sz w:val="17"/>
          <w:szCs w:val="17"/>
          <w:color w:val="auto"/>
        </w:rPr>
        <w:t>” means any Proceeding, complaint, notice of violation, action, claim, lien, demand, judgment, Order or directive by any Governmental Authority or any other Person involving alleged violations of Environmental Laws or any Release.</w:t>
      </w:r>
    </w:p>
    <w:p>
      <w:pPr>
        <w:spacing w:after="0" w:line="168" w:lineRule="exact"/>
        <w:rPr>
          <w:sz w:val="20"/>
          <w:szCs w:val="20"/>
          <w:color w:val="auto"/>
        </w:rPr>
      </w:pPr>
    </w:p>
    <w:p>
      <w:pPr>
        <w:jc w:val="both"/>
        <w:ind w:firstLine="598"/>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Laws</w:t>
      </w:r>
      <w:r>
        <w:rPr>
          <w:rFonts w:ascii="Arial" w:cs="Arial" w:eastAsia="Arial" w:hAnsi="Arial"/>
          <w:sz w:val="15"/>
          <w:szCs w:val="15"/>
          <w:color w:val="auto"/>
        </w:rPr>
        <w:t xml:space="preserve">” means, to the extent applicable, the Comprehensive Environmental Response, Compensation and Liability Act, 42 U.S.C. 9601 </w:t>
      </w:r>
      <w:r>
        <w:rPr>
          <w:rFonts w:ascii="Arial" w:cs="Arial" w:eastAsia="Arial" w:hAnsi="Arial"/>
          <w:sz w:val="15"/>
          <w:szCs w:val="15"/>
          <w:i w:val="1"/>
          <w:iCs w:val="1"/>
          <w:color w:val="auto"/>
        </w:rPr>
        <w:t>et seq.</w:t>
      </w:r>
      <w:r>
        <w:rPr>
          <w:rFonts w:ascii="Arial" w:cs="Arial" w:eastAsia="Arial" w:hAnsi="Arial"/>
          <w:sz w:val="15"/>
          <w:szCs w:val="15"/>
          <w:color w:val="auto"/>
        </w:rPr>
        <w:t xml:space="preserve">, the Resource Conservation and Recovery Act, 42 U.S.C. 6901 </w:t>
      </w:r>
      <w:r>
        <w:rPr>
          <w:rFonts w:ascii="Arial" w:cs="Arial" w:eastAsia="Arial" w:hAnsi="Arial"/>
          <w:sz w:val="15"/>
          <w:szCs w:val="15"/>
          <w:i w:val="1"/>
          <w:iCs w:val="1"/>
          <w:color w:val="auto"/>
        </w:rPr>
        <w:t>et seq.</w:t>
      </w:r>
      <w:r>
        <w:rPr>
          <w:rFonts w:ascii="Arial" w:cs="Arial" w:eastAsia="Arial" w:hAnsi="Arial"/>
          <w:sz w:val="15"/>
          <w:szCs w:val="15"/>
          <w:color w:val="auto"/>
        </w:rPr>
        <w:t xml:space="preserve">, as amended, the Clean Air Act, 42 U.S.C. 7401 </w:t>
      </w:r>
      <w:r>
        <w:rPr>
          <w:rFonts w:ascii="Arial" w:cs="Arial" w:eastAsia="Arial" w:hAnsi="Arial"/>
          <w:sz w:val="15"/>
          <w:szCs w:val="15"/>
          <w:i w:val="1"/>
          <w:iCs w:val="1"/>
          <w:color w:val="auto"/>
        </w:rPr>
        <w:t>et seq.</w:t>
      </w:r>
      <w:r>
        <w:rPr>
          <w:rFonts w:ascii="Arial" w:cs="Arial" w:eastAsia="Arial" w:hAnsi="Arial"/>
          <w:sz w:val="15"/>
          <w:szCs w:val="15"/>
          <w:color w:val="auto"/>
        </w:rPr>
        <w:t xml:space="preserve">, the Clean Water Act, 33 U.S.C. 1251 </w:t>
      </w:r>
      <w:r>
        <w:rPr>
          <w:rFonts w:ascii="Arial" w:cs="Arial" w:eastAsia="Arial" w:hAnsi="Arial"/>
          <w:sz w:val="15"/>
          <w:szCs w:val="15"/>
          <w:i w:val="1"/>
          <w:iCs w:val="1"/>
          <w:color w:val="auto"/>
        </w:rPr>
        <w:t>et seq.</w:t>
      </w:r>
      <w:r>
        <w:rPr>
          <w:rFonts w:ascii="Arial" w:cs="Arial" w:eastAsia="Arial" w:hAnsi="Arial"/>
          <w:sz w:val="15"/>
          <w:szCs w:val="15"/>
          <w:color w:val="auto"/>
        </w:rPr>
        <w:t>, and any other Law imposing liability or establishing standards of conduct for protection of the environment, in each case as in effect as of the date hereof.</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Liabilities</w:t>
      </w:r>
      <w:r>
        <w:rPr>
          <w:rFonts w:ascii="Arial" w:cs="Arial" w:eastAsia="Arial" w:hAnsi="Arial"/>
          <w:sz w:val="17"/>
          <w:szCs w:val="17"/>
          <w:color w:val="auto"/>
        </w:rPr>
        <w:t>” means any liabilities arising from or under any Environmental Law or Environmental Claim.</w:t>
      </w:r>
    </w:p>
    <w:p>
      <w:pPr>
        <w:spacing w:after="0" w:line="203" w:lineRule="exact"/>
        <w:rPr>
          <w:sz w:val="20"/>
          <w:szCs w:val="20"/>
          <w:color w:val="auto"/>
        </w:rPr>
      </w:pPr>
    </w:p>
    <w:p>
      <w:pPr>
        <w:jc w:val="both"/>
        <w:ind w:firstLine="598"/>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Equity Interest</w:t>
      </w:r>
      <w:r>
        <w:rPr>
          <w:rFonts w:ascii="Arial" w:cs="Arial" w:eastAsia="Arial" w:hAnsi="Arial"/>
          <w:sz w:val="15"/>
          <w:szCs w:val="15"/>
          <w:color w:val="auto"/>
        </w:rPr>
        <w:t>” means (a) with respect to a corporation, any and all shares of capital stock of such corporation, (b) with respect to a partnership, limited liability company, trust or similar Person, any and all units, interests or other partnership interests, limited liability company interests, or membership interests with respect thereto or (c) with respect to any other type of Person, any other direct or indirect equity ownership or participation in, other equity security of, or other ownership or profit interest in, such Person, whether voting or non-voting and whether or not such ownership, participation or interest is authorized or otherwise existing on any date of determination.</w:t>
      </w:r>
    </w:p>
    <w:p>
      <w:pPr>
        <w:spacing w:after="0" w:line="148"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or any successor Law, and the regulations and rules issued pursuant to that statute or any successor Law.</w:t>
      </w:r>
    </w:p>
    <w:p>
      <w:pPr>
        <w:spacing w:after="0" w:line="168" w:lineRule="exact"/>
        <w:rPr>
          <w:sz w:val="20"/>
          <w:szCs w:val="20"/>
          <w:color w:val="auto"/>
        </w:rPr>
      </w:pPr>
    </w:p>
    <w:p>
      <w:pPr>
        <w:jc w:val="both"/>
        <w:ind w:firstLine="598"/>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Evaluation Material</w:t>
      </w:r>
      <w:r>
        <w:rPr>
          <w:rFonts w:ascii="Arial" w:cs="Arial" w:eastAsia="Arial" w:hAnsi="Arial"/>
          <w:sz w:val="16"/>
          <w:szCs w:val="16"/>
          <w:color w:val="auto"/>
        </w:rPr>
        <w:t>” means any information, documents or materials regarding any Seller or the Company or any of its Subsidiaries furnished or made available to Buyer and its Representatives in any “data rooms”, “virtual data rooms” or management presentations or in any other form or manner (whether in writing, by e-mail, orally, visually or otherwise) in expectation of, or in connection with, the Contemplated Transactions, including the confidential information presentation and management presentation provided by the Financial Advisors and the legal summary provided by the Company.</w:t>
      </w:r>
    </w:p>
    <w:p>
      <w:pPr>
        <w:spacing w:after="0" w:line="165"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any successor law or statute, in each case, together with the rules and regulations promulgated thereunder.</w:t>
      </w:r>
    </w:p>
    <w:p>
      <w:pPr>
        <w:spacing w:after="0" w:line="168"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Agreements</w:t>
      </w:r>
      <w:r>
        <w:rPr>
          <w:rFonts w:ascii="Arial" w:cs="Arial" w:eastAsia="Arial" w:hAnsi="Arial"/>
          <w:sz w:val="16"/>
          <w:szCs w:val="16"/>
          <w:color w:val="auto"/>
        </w:rPr>
        <w:t>” means (a) that Credit and Guaranty Agreement dated as of January 3, 2017, among (i) Pipeline Cynergy Holdings, LLC, a Delaware limited liability company, Priority Institutional Partner Services, LLC, a Delaware limited liability company, and Priority Payment Systems Holdings, LLC, a Georgia limited liability company, as borrowers, (ii) the Company and certain other subsidiaries of the Company, (iii) the lenders from time to time party thereto, and (iv) SunTrust Bank, as administrative agent and collateral agent for such lenders, as amended by the First Amendment, dated as of November 14, 2017 and the Second Amendment, dated as of January 11, 2018 and as further amended, restated, amended and restated, supplemented, refinanced, replaced or otherwise modified from time to time and (b) that the Credit and Guaranty Agreement, dated as of January 3, 2017, by and among (i) the Company, as borrower, (ii) certain of its Subsidiaries, (iii) the lenders party thereto from time to time, and Goldman Sachs Specialty Lending Group, L.P., as agent, as amended by the First Amendment, dated as of November 14, 2017 and the Second Amendment, dated as of January 11, 2018 and as further amended, restated, amended and restated, supplemented, refinanced, replaced or otherwise modified from time to time.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17" w:name="page18"/>
    <w:bookmarkEnd w:id="17"/>
    <w:p>
      <w:pPr>
        <w:jc w:val="both"/>
        <w:ind w:firstLine="598"/>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Loan Documents</w:t>
      </w:r>
      <w:r>
        <w:rPr>
          <w:rFonts w:ascii="Arial" w:cs="Arial" w:eastAsia="Arial" w:hAnsi="Arial"/>
          <w:sz w:val="16"/>
          <w:szCs w:val="16"/>
          <w:color w:val="auto"/>
        </w:rPr>
        <w:t>” means (a) the Existing Credit Agreements and (b) all other agreements, instruments and documents evidencing, governing, guaranteeing or securing the obligations from time to time arising under any Existing Credit Agreement or otherwise executed in connection with any Existing Credit Agreement, in each case as amended, restated, amended and restated, supplemented, refinanced, replaced or otherwise modified from time to time.</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 Deposit Amount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5.17(a)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 Proxy Statement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5.17(c)</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Advisors</w:t>
      </w:r>
      <w:r>
        <w:rPr>
          <w:rFonts w:ascii="Arial" w:cs="Arial" w:eastAsia="Arial" w:hAnsi="Arial"/>
          <w:sz w:val="17"/>
          <w:szCs w:val="17"/>
          <w:color w:val="auto"/>
        </w:rPr>
        <w:t>” means Cowen and Company, LLC.</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3.05</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Extension Deadline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5.17(a)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Formation Date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4.08(a)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GAAP</w:t>
      </w:r>
      <w:r>
        <w:rPr>
          <w:rFonts w:ascii="Arial" w:cs="Arial" w:eastAsia="Arial" w:hAnsi="Arial"/>
          <w:sz w:val="15"/>
          <w:szCs w:val="15"/>
          <w:color w:val="auto"/>
        </w:rPr>
        <w:t>” means generally accepted accounting principles in the United States as of the date hereof and consistently applied throughout the periods involved.</w:t>
      </w:r>
    </w:p>
    <w:p>
      <w:pPr>
        <w:spacing w:after="0" w:line="226"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Goldman Warrant</w:t>
      </w:r>
      <w:r>
        <w:rPr>
          <w:rFonts w:ascii="Arial" w:cs="Arial" w:eastAsia="Arial" w:hAnsi="Arial"/>
          <w:sz w:val="17"/>
          <w:szCs w:val="17"/>
          <w:color w:val="auto"/>
        </w:rPr>
        <w:t>” means that Amended and Restated Unit Purchase Warrant No. 1, dated as of January 3, 2017, by and between the Company and GS &amp; Co., as amended by that Amendment, dated as of January 11, 2018.</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GS &amp; Co.</w:t>
      </w:r>
      <w:r>
        <w:rPr>
          <w:rFonts w:ascii="Arial" w:cs="Arial" w:eastAsia="Arial" w:hAnsi="Arial"/>
          <w:sz w:val="17"/>
          <w:szCs w:val="17"/>
          <w:color w:val="auto"/>
        </w:rPr>
        <w:t>” means Goldman Sachs &amp; Co. LLC, a New York limited liability company.</w:t>
      </w:r>
    </w:p>
    <w:p>
      <w:pPr>
        <w:spacing w:after="0" w:line="20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court, tribunal, administrative agency or commission or other governmental or regulatory authority, agency, body or instrumentality of any federal, state, local or foreign government or any subdivision thereof.</w:t>
      </w:r>
    </w:p>
    <w:p>
      <w:pPr>
        <w:spacing w:after="0" w:line="168" w:lineRule="exact"/>
        <w:rPr>
          <w:sz w:val="20"/>
          <w:szCs w:val="20"/>
          <w:color w:val="auto"/>
        </w:rPr>
      </w:pPr>
    </w:p>
    <w:p>
      <w:pPr>
        <w:jc w:val="both"/>
        <w:ind w:firstLine="598"/>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Hazardous Materials</w:t>
      </w:r>
      <w:r>
        <w:rPr>
          <w:rFonts w:ascii="Arial" w:cs="Arial" w:eastAsia="Arial" w:hAnsi="Arial"/>
          <w:sz w:val="15"/>
          <w:szCs w:val="15"/>
          <w:color w:val="auto"/>
        </w:rPr>
        <w:t>” means any hazardous or toxic substance, material or waste which is regulated, listed or identified by any Governmental Authority as a “hazardous waste”, “hazardous material”, “hazardous substance”, “extremely hazardous substance”, “restricted hazardous waste”, “contaminant”, “pollutant”, “toxic waste”, or “toxic substance”, under any provision of Environmental Law, and includes, without limitation, petroleum, petroleum products, (including, without limitation, crude oil and any fraction thereof), asbestos, asbestos-containing materials, ionizing and non-iodizing radioactive materials and substances, and polychlorinated biphenyls.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18" w:name="page19"/>
    <w:bookmarkEnd w:id="18"/>
    <w:p>
      <w:pPr>
        <w:jc w:val="both"/>
        <w:ind w:firstLine="59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any of the following: (a) patents and patent applications; (b) trademarks, service marks, trade dress, logos and registrations and applications for registration thereof, together with all of the goodwill associated therewith; (c) copyrights (registered or unregistered) and registrations and applications for registration thereof; (d) internet domain names; and (e) trade secrets and know-how.</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Intended Tax Treatment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5.13(c)</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IPO</w:t>
      </w:r>
      <w:r>
        <w:rPr>
          <w:rFonts w:ascii="Arial" w:cs="Arial" w:eastAsia="Arial" w:hAnsi="Arial"/>
          <w:sz w:val="17"/>
          <w:szCs w:val="17"/>
          <w:color w:val="auto"/>
        </w:rPr>
        <w:t>” means the initial public offering of the Common Stock of Buyer.</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IRS</w:t>
      </w:r>
      <w:r>
        <w:rPr>
          <w:rFonts w:ascii="Arial" w:cs="Arial" w:eastAsia="Arial" w:hAnsi="Arial"/>
          <w:sz w:val="17"/>
          <w:szCs w:val="17"/>
          <w:color w:val="auto"/>
        </w:rPr>
        <w:t>” means the U.S. Internal Revenue Service or any successor agency.</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ISOs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3.13(a)(xi)</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Knowledge of Buyer</w:t>
      </w:r>
      <w:r>
        <w:rPr>
          <w:rFonts w:ascii="Arial" w:cs="Arial" w:eastAsia="Arial" w:hAnsi="Arial"/>
          <w:sz w:val="15"/>
          <w:szCs w:val="15"/>
          <w:color w:val="auto"/>
        </w:rPr>
        <w:t>” or any similar phrase means the actual knowledge of the Persons identified in Section 1 (Knowledge of Buyer) of the Buyer Disclosure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Letter.</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Knowledge of Sellers</w:t>
      </w:r>
      <w:r>
        <w:rPr>
          <w:rFonts w:ascii="Arial" w:cs="Arial" w:eastAsia="Arial" w:hAnsi="Arial"/>
          <w:sz w:val="15"/>
          <w:szCs w:val="15"/>
          <w:color w:val="auto"/>
        </w:rPr>
        <w:t>” or any similar phrase means the actual knowledge of the Persons identified in Section 1 (Knowledge of Sellers) of the Disclosure Letter.</w:t>
      </w:r>
    </w:p>
    <w:p>
      <w:pPr>
        <w:spacing w:after="0" w:line="226"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means any federal, state, local or foreign constitution, treaty, statute, ordinance, code, rule, law or regulation enacted, adopted, promulgated or applied by a Governmental Authority and includes any Orders.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Leases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3.08(b)</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property or asset, any mortgage, lien, pledge, charge, security interest, option, right of first refusal, or other encumbrance of any kind in respect of such property or asset.</w:t>
      </w:r>
    </w:p>
    <w:p>
      <w:pPr>
        <w:spacing w:after="0" w:line="168" w:lineRule="exact"/>
        <w:rPr>
          <w:sz w:val="20"/>
          <w:szCs w:val="20"/>
          <w:color w:val="auto"/>
        </w:rPr>
      </w:pPr>
    </w:p>
    <w:p>
      <w:pPr>
        <w:jc w:val="both"/>
        <w:ind w:firstLine="59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Adverse Effect</w:t>
      </w:r>
      <w:r>
        <w:rPr>
          <w:rFonts w:ascii="Arial" w:cs="Arial" w:eastAsia="Arial" w:hAnsi="Arial"/>
          <w:sz w:val="15"/>
          <w:szCs w:val="15"/>
          <w:color w:val="auto"/>
        </w:rPr>
        <w:t>” means any event, development, or change that (a) has had a material adverse effect on the business, financial condition or results of operations of the Company and its Subsidiaries, taken as a whole, other than any event, development or change relating to or arising out of: (i) general economic or regulatory conditions or conditions in the financial, credit or securities markets (including any disruption thereof, any decline in the price of any security or any market index, or any changes in interest or currency exchange rates); (ii) any acts of God, earthquakes, hurricanes, floods or any other natural disasters; (iii) national or international political or social conditions, including the engagement in or escalation of hostilities, whether or not pursuant to the declaration of a national emergency or war, or the occurrence of any actual or threatened military or terrorist attack; (iv) any event, development or change in any of the industries or markets in which the Company or any of its Subsidiaries operates, so long as such events, developments or changes do not adversely affect the Company and its Subsidiaries, taken as a whole, in a materially disproportionate manner relative to other similarly situated participants in the industries or markets in which they operate; (v) any enactment of, change in, or change in interpretation of applicable Law, Card Association Rules or GAAP or applicable accounting standards, so long as such changes do not adversely affect the Company and its Subsidiaries, taken as a whole, in a materially disproportionate manner relative to other similarly situated participants in the industries or markets in which they operate; (vi) the announcement, pendency or performance of the transactions contemplated hereby, including by reason of the identity of Buyer or any communication by Buyer regarding the plans or intentions of Buyer with respect to the conduct of the business of the Company or any of its Subsidiaries, and including the impact of any of the foregoing on any relationships, contractual or otherwise, with customers, suppliers, distributors, collaboration partners, employees or regulators; (vii) any action or omission taken (or omitted to be taken) pursuant to, or required by, the terms hereof or with the consent or at the direction of Buyer; (viii) any failure by the Company or any of its Subsidiaries to meet any projections, estimates or forecasts (financial, operational or otherwise) for any period (it being understood that the facts or occurrences giving rise or contributing to such failure, to the extent not otherwise excluded by another clause of this definition, may be taken into account in determining whether there has been a Material Adverse Effect); or (ix) any adverse change in or effect on the business of the Company and its Subsidiaries that is cured prior to the Closing; or (b) would reasonably be expected to have a material adverse effect on the ability of any Seller to consummate the Contemplated Transactions.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19" w:name="page20"/>
    <w:bookmarkEnd w:id="19"/>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Contract</w:t>
      </w:r>
      <w:r>
        <w:rPr>
          <w:rFonts w:ascii="Arial" w:cs="Arial" w:eastAsia="Arial" w:hAnsi="Arial"/>
          <w:sz w:val="17"/>
          <w:szCs w:val="17"/>
          <w:color w:val="auto"/>
        </w:rPr>
        <w:t xml:space="preserve">” means those Contracts required to be and set forth on </w:t>
      </w:r>
      <w:r>
        <w:rPr>
          <w:rFonts w:ascii="Arial" w:cs="Arial" w:eastAsia="Arial" w:hAnsi="Arial"/>
          <w:sz w:val="17"/>
          <w:szCs w:val="17"/>
          <w:u w:val="single" w:color="auto"/>
          <w:color w:val="auto"/>
        </w:rPr>
        <w:t>Section 3.13(a)</w:t>
      </w:r>
      <w:r>
        <w:rPr>
          <w:rFonts w:ascii="Arial" w:cs="Arial" w:eastAsia="Arial" w:hAnsi="Arial"/>
          <w:sz w:val="17"/>
          <w:szCs w:val="17"/>
          <w:color w:val="auto"/>
        </w:rPr>
        <w:t xml:space="preserve"> of the Disclosure Letter.</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Agents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3.23(a)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ISOs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3.23(a)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Merchant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3.22(a)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Suppliers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3.21</w:t>
      </w:r>
      <w:r>
        <w:rPr>
          <w:rFonts w:ascii="Arial" w:cs="Arial" w:eastAsia="Arial" w:hAnsi="Arial"/>
          <w:sz w:val="17"/>
          <w:szCs w:val="17"/>
          <w:color w:val="auto"/>
        </w:rPr>
        <w:t>.</w:t>
      </w:r>
    </w:p>
    <w:p>
      <w:pPr>
        <w:spacing w:after="0" w:line="203" w:lineRule="exact"/>
        <w:rPr>
          <w:sz w:val="20"/>
          <w:szCs w:val="20"/>
          <w:color w:val="auto"/>
        </w:rPr>
      </w:pPr>
    </w:p>
    <w:p>
      <w:pPr>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Merchant Account</w:t>
      </w:r>
      <w:r>
        <w:rPr>
          <w:rFonts w:ascii="Arial" w:cs="Arial" w:eastAsia="Arial" w:hAnsi="Arial"/>
          <w:sz w:val="17"/>
          <w:szCs w:val="17"/>
          <w:color w:val="auto"/>
        </w:rPr>
        <w:t>” means the account relationship established among the Company or any of its Subsidiaries, a sponsoring bank and a Merchant pursuant to an agreement to provide processing or other credit or debit card related services to such Merchant.</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Cash Amount</w:t>
      </w:r>
      <w:r>
        <w:rPr>
          <w:rFonts w:ascii="Arial" w:cs="Arial" w:eastAsia="Arial" w:hAnsi="Arial"/>
          <w:sz w:val="17"/>
          <w:szCs w:val="17"/>
          <w:color w:val="auto"/>
        </w:rPr>
        <w:t>” means an amount equal to $20,000,000.</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has the meaning set forth in Section 3(37) of ERISA.</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NASDAQ</w:t>
      </w:r>
      <w:r>
        <w:rPr>
          <w:rFonts w:ascii="Arial" w:cs="Arial" w:eastAsia="Arial" w:hAnsi="Arial"/>
          <w:sz w:val="17"/>
          <w:szCs w:val="17"/>
          <w:color w:val="auto"/>
        </w:rPr>
        <w:t>” means the NASDAQ Capital Market.</w:t>
      </w:r>
    </w:p>
    <w:p>
      <w:pPr>
        <w:spacing w:after="0" w:line="203" w:lineRule="exact"/>
        <w:rPr>
          <w:sz w:val="20"/>
          <w:szCs w:val="20"/>
          <w:color w:val="auto"/>
        </w:rPr>
      </w:pPr>
    </w:p>
    <w:p>
      <w:pPr>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Assumed Debt</w:t>
      </w:r>
      <w:r>
        <w:rPr>
          <w:rFonts w:ascii="Arial" w:cs="Arial" w:eastAsia="Arial" w:hAnsi="Arial"/>
          <w:sz w:val="17"/>
          <w:szCs w:val="17"/>
          <w:color w:val="auto"/>
        </w:rPr>
        <w:t xml:space="preserve">” means (a) any amounts outstanding under the Existing Credit Agreements as of immediately prior to Closing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cash and cash equivalents as of immediately prior to the Closing.</w:t>
      </w:r>
    </w:p>
    <w:p>
      <w:pPr>
        <w:spacing w:after="0" w:line="168" w:lineRule="exact"/>
        <w:rPr>
          <w:sz w:val="20"/>
          <w:szCs w:val="20"/>
          <w:color w:val="auto"/>
        </w:rPr>
      </w:pPr>
    </w:p>
    <w:p>
      <w:pPr>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Order</w:t>
      </w:r>
      <w:r>
        <w:rPr>
          <w:rFonts w:ascii="Arial" w:cs="Arial" w:eastAsia="Arial" w:hAnsi="Arial"/>
          <w:sz w:val="17"/>
          <w:szCs w:val="17"/>
          <w:color w:val="auto"/>
        </w:rPr>
        <w:t>” means any award, decision, injunction, judgment, order, ruling, subpoena, stipulation, writ, decree, assessment, verdict or similar order entered, issued, made, or rendered by any court, administrative agency, or other Governmental Authority that is legally binding.</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20" w:name="page21"/>
    <w:bookmarkEnd w:id="20"/>
    <w:p>
      <w:pPr>
        <w:jc w:val="both"/>
        <w:ind w:firstLine="59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Ordinary Course of Business</w:t>
      </w:r>
      <w:r>
        <w:rPr>
          <w:rFonts w:ascii="Arial" w:cs="Arial" w:eastAsia="Arial" w:hAnsi="Arial"/>
          <w:sz w:val="16"/>
          <w:szCs w:val="16"/>
          <w:color w:val="auto"/>
        </w:rPr>
        <w:t>” means with respect to any Person, the ordinary course of business of such Person. Unless otherwise expressly indicated, the term “Ordinary Course of Business”, when used herein, refers to the Ordinary Course of Business of the Company and its Subsidiaries, taken as a whole.</w:t>
      </w:r>
    </w:p>
    <w:p>
      <w:pPr>
        <w:spacing w:after="0" w:line="144" w:lineRule="exact"/>
        <w:rPr>
          <w:sz w:val="20"/>
          <w:szCs w:val="20"/>
          <w:color w:val="auto"/>
        </w:rPr>
      </w:pPr>
    </w:p>
    <w:p>
      <w:pPr>
        <w:jc w:val="both"/>
        <w:ind w:firstLine="598"/>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Organizational Documents</w:t>
      </w:r>
      <w:r>
        <w:rPr>
          <w:rFonts w:ascii="Arial" w:cs="Arial" w:eastAsia="Arial" w:hAnsi="Arial"/>
          <w:sz w:val="15"/>
          <w:szCs w:val="15"/>
          <w:color w:val="auto"/>
        </w:rPr>
        <w:t>” means (a) the articles or certificate of incorporation and the bylaws of a corporation, (b) the partnership agreement and any statement of partnership of a general partnership, (c) the limited partnership agreement and the certificate of limited partnership of a limited partnership, (d) the limited liability company operating agreement and the certificate of formation of a limited liability company, (e) any charter or similar document adopted or filed in connection with the creation, formation, or organization of any other Person and (f) any amendment, amendment and restatement, modification or supplement to any of the foregoing.</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Filings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5.05(a)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Party</w:t>
      </w:r>
      <w:r>
        <w:rPr>
          <w:rFonts w:ascii="Arial" w:cs="Arial" w:eastAsia="Arial" w:hAnsi="Arial"/>
          <w:sz w:val="17"/>
          <w:szCs w:val="17"/>
          <w:color w:val="auto"/>
        </w:rPr>
        <w:t>” and “</w:t>
      </w:r>
      <w:r>
        <w:rPr>
          <w:rFonts w:ascii="Arial" w:cs="Arial" w:eastAsia="Arial" w:hAnsi="Arial"/>
          <w:sz w:val="17"/>
          <w:szCs w:val="17"/>
          <w:u w:val="single" w:color="auto"/>
          <w:color w:val="auto"/>
        </w:rPr>
        <w:t>Parties</w:t>
      </w:r>
      <w:r>
        <w:rPr>
          <w:rFonts w:ascii="Arial" w:cs="Arial" w:eastAsia="Arial" w:hAnsi="Arial"/>
          <w:sz w:val="17"/>
          <w:szCs w:val="17"/>
          <w:color w:val="auto"/>
        </w:rPr>
        <w:t>” have the meaning set forth in the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PCI-DSS</w:t>
      </w:r>
      <w:r>
        <w:rPr>
          <w:rFonts w:ascii="Arial" w:cs="Arial" w:eastAsia="Arial" w:hAnsi="Arial"/>
          <w:sz w:val="17"/>
          <w:szCs w:val="17"/>
          <w:color w:val="auto"/>
        </w:rPr>
        <w:t>” means the Payment Card Industry Data Security Standard, as amended from time to time.</w:t>
      </w:r>
    </w:p>
    <w:p>
      <w:pPr>
        <w:spacing w:after="0" w:line="203" w:lineRule="exact"/>
        <w:rPr>
          <w:sz w:val="20"/>
          <w:szCs w:val="20"/>
          <w:color w:val="auto"/>
        </w:rPr>
      </w:pPr>
    </w:p>
    <w:p>
      <w:pPr>
        <w:jc w:val="both"/>
        <w:ind w:firstLine="598"/>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Permits</w:t>
      </w:r>
      <w:r>
        <w:rPr>
          <w:rFonts w:ascii="Arial" w:cs="Arial" w:eastAsia="Arial" w:hAnsi="Arial"/>
          <w:sz w:val="17"/>
          <w:szCs w:val="17"/>
          <w:color w:val="auto"/>
        </w:rPr>
        <w:t>” means all licenses, permits, exemptions, consents, authorizations, approvals, waivers, certificates and other authorizations issued, granted, given or otherwise made available by or under the authority of any Governmental Authority and/or Card Association, as applicable, that are material to the current conduct of the business of the Company and its Subsidiaries and that are required under any applicable Law in connection with the current conduct of the business of the Company and its Subsidiaries.</w:t>
      </w:r>
    </w:p>
    <w:p>
      <w:pPr>
        <w:spacing w:after="0" w:line="178" w:lineRule="exact"/>
        <w:rPr>
          <w:sz w:val="20"/>
          <w:szCs w:val="20"/>
          <w:color w:val="auto"/>
        </w:rPr>
      </w:pPr>
    </w:p>
    <w:p>
      <w:pPr>
        <w:jc w:val="both"/>
        <w:ind w:firstLine="598"/>
        <w:spacing w:after="0" w:line="32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Liens</w:t>
      </w:r>
      <w:r>
        <w:rPr>
          <w:rFonts w:ascii="Arial" w:cs="Arial" w:eastAsia="Arial" w:hAnsi="Arial"/>
          <w:sz w:val="13"/>
          <w:szCs w:val="13"/>
          <w:color w:val="auto"/>
        </w:rPr>
        <w:t>” means (a) Liens disclosed on the Current Balance Sheet or reflected in the notes thereto; (b) Liens under the Existing Loan Agreements, (c) Liens for Taxes and other governmental charges not yet delinquent or that are being contested in good faith by appropriate Proceedings; (d) mechanic’s, workmen’s, repairmen’s, materialmen’s, warehousemen’s, carrier’s and other similar statutory Liens arising or incurred in the Ordinary Course of Business not yet due and payable or that are being contested in good faith; (e) deposits or pledges made in connection with, or to secure payment of, worker’s compensation, unemployment insurance, old age pension programs mandated under applicable Law or other social security programs or other similar Law or to secure any public or statutory obligation; (f) Liens on goods in transit incurred pursuant to documentary letters of credit or otherwise securing payments under lease agreements; (g) zoning, entitlement, building and other land use regulations imposed by or on behalf of any Governmental Authority having jurisdiction over any real property; (h) the rights, if any, of suppliers or other vendors that are Third Parties and have possession of any properties or assets; (i) restrictions on the transfer of securities arising under applicable securities Laws; (j) title defects, easements and encroachments and similar Liens that would not, individually or in the aggregate, reasonably be expected to materially detract from the current value of, or materially interfere with any current or continued use of, any material property or material assets encumbered thereby; (k) the terms and conditions contained in the Leases; (l) utility easements for electricity, gas, water, sanitation, sewer, surface water drainage or other general easements granted to any Governmental Authority in the ordinary course of developing or operating real property; (m) any recorded utility company rights, easements or franchises for electricity, water, steam, gas, telephone or other service or the right to use and maintain poles, lines, wires, cables, pipes, boxes and other fixtures and facilities in, over, under and upon any real property; (n) Liens imposed by Law that relate to obligations that are not yet due and have arisen in the Ordinary Course of Business; and (o) the Liens listed in Section 1 (Permitted Liens) of the Disclosure Letter.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21" w:name="page22"/>
    <w:bookmarkEnd w:id="21"/>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corporation (including any non-profit corporation), general or limited partnership, limited liability company, joint venture, estate, trust, association, organization, labor union, or other entity or Governmental Authority.</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Pre-Closing Statement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2.04(b)</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4.05(a)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Premises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3.08(b)</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Press Release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5.04</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means any action, suit or other proceeding (whether civil, criminal, or administrative) commenced, brought, conducted, or heard, by or before any Governmental Authority.</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Prospectus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5.14</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Proxy Statement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5.05(a)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xml:space="preserve">” means the agreement substantially in the form attached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w:t>
      </w:r>
    </w:p>
    <w:p>
      <w:pPr>
        <w:spacing w:after="0" w:line="203"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Party</w:t>
      </w:r>
      <w:r>
        <w:rPr>
          <w:rFonts w:ascii="Arial" w:cs="Arial" w:eastAsia="Arial" w:hAnsi="Arial"/>
          <w:sz w:val="17"/>
          <w:szCs w:val="17"/>
          <w:color w:val="auto"/>
        </w:rPr>
        <w:t>” means, with respect to a Person, such Person and any of its former, current and future Affiliates, and each of their respective former, current and future direct or indirect directors, officers, “principals”, general or limited partners, employees, stockholders, other equityholders, members, managers, agents, successors, assignees, Affiliates, controlling Persons, or other Representatives.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Party Contract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4.10</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Release</w:t>
      </w:r>
      <w:r>
        <w:rPr>
          <w:rFonts w:ascii="Arial" w:cs="Arial" w:eastAsia="Arial" w:hAnsi="Arial"/>
          <w:sz w:val="17"/>
          <w:szCs w:val="17"/>
          <w:color w:val="auto"/>
        </w:rPr>
        <w:t>” means the spilling, leaking, pumping, pouring, emitting, emptying, discharging, injecting, escaping, leaching, dumping, discarding, burying, abandoning or disposing of Hazardous Materials (including the abandonment or discarding of barrels, containers, or other closed receptacles containing Hazardous Materials) into the indoor or outdoor environment.</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Replacement GS Warrant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5.18</w:t>
      </w:r>
      <w:r>
        <w:rPr>
          <w:rFonts w:ascii="Arial" w:cs="Arial" w:eastAsia="Arial" w:hAnsi="Arial"/>
          <w:sz w:val="17"/>
          <w:szCs w:val="17"/>
          <w:color w:val="auto"/>
        </w:rPr>
        <w: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22" w:name="page23"/>
    <w:bookmarkEnd w:id="22"/>
    <w:p>
      <w:pPr>
        <w:jc w:val="both"/>
        <w:ind w:firstLine="59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means, with respect to a particular Person, any Affiliate thereof, and such Person’s and such Person’s Affiliates’ respective controlling shareholders, general partners, managing members, directors, officers, employees, agents, consultants, advisors, agents, and other representatives, including legal counsel, accountants, and financial advisors.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Sarbanes-Oxley Act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4.08(a)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Securities and Exchange Commission.</w:t>
      </w:r>
    </w:p>
    <w:p>
      <w:pPr>
        <w:spacing w:after="0" w:line="203"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 Guidance</w:t>
      </w:r>
      <w:r>
        <w:rPr>
          <w:rFonts w:ascii="Arial" w:cs="Arial" w:eastAsia="Arial" w:hAnsi="Arial"/>
          <w:sz w:val="17"/>
          <w:szCs w:val="17"/>
          <w:color w:val="auto"/>
        </w:rPr>
        <w:t>” means (a) any publicly available written or oral interpretations, questions and answers, guidance and forms of the SEC, (b) any written or oral comments, requirements or requests of the SEC or its staff, (c) the Securities Act and the Exchange Act and (d) any other rules, bulletins, releases, manuals and regulations of the SEC.</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Extension Deadline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5.17(b)</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Securities Act</w:t>
      </w:r>
      <w:r>
        <w:rPr>
          <w:rFonts w:ascii="Arial" w:cs="Arial" w:eastAsia="Arial" w:hAnsi="Arial"/>
          <w:sz w:val="13"/>
          <w:szCs w:val="13"/>
          <w:color w:val="auto"/>
        </w:rPr>
        <w:t>” means the Securities Act of 1933, as amended, or any successor Law, and the regulations and rules issued pursuant to that statute or any successor</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Law.</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Sellers</w:t>
      </w:r>
      <w:r>
        <w:rPr>
          <w:rFonts w:ascii="Arial" w:cs="Arial" w:eastAsia="Arial" w:hAnsi="Arial"/>
          <w:sz w:val="17"/>
          <w:szCs w:val="17"/>
          <w:color w:val="auto"/>
        </w:rPr>
        <w:t>” has the meaning set forth in the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Signing Form 8-K</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5.04</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33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with respect to any Person, any entity of which (a) securities or other ownership interests having ordinary voting power to elect a majority of the board of directors or other persons performing similar functions or (b) 50% or more of the Equity Interests are at the time directly or indirectly owned by such Person.</w:t>
      </w:r>
    </w:p>
    <w:p>
      <w:pPr>
        <w:spacing w:after="0" w:line="122"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Returns</w:t>
      </w:r>
      <w:r>
        <w:rPr>
          <w:rFonts w:ascii="Arial" w:cs="Arial" w:eastAsia="Arial" w:hAnsi="Arial"/>
          <w:sz w:val="17"/>
          <w:szCs w:val="17"/>
          <w:color w:val="auto"/>
        </w:rPr>
        <w:t>” means any return, report, form, information return or other document (including schedules or any related or supporting information) required to be filed with any Governmental Authority relating to any Tax.</w:t>
      </w:r>
    </w:p>
    <w:p>
      <w:pPr>
        <w:spacing w:after="0" w:line="168" w:lineRule="exact"/>
        <w:rPr>
          <w:sz w:val="20"/>
          <w:szCs w:val="20"/>
          <w:color w:val="auto"/>
        </w:rPr>
      </w:pPr>
    </w:p>
    <w:p>
      <w:pPr>
        <w:jc w:val="both"/>
        <w:ind w:firstLine="598"/>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any and all taxes (whether federal, state, local or foreign), including net income, gross income, net receipts, gross receipts, profit, severance, property, production, sales, use, license, excise, occupation, franchise, employment, payroll, withholding, alternative or add-on minimum, ad valorem, value-added, transfer, stamp, estimated or other tax, custom, duty, governmental fee or other similar governmental charge, together with any interest, fine, penalty, addition to tax or additional amount imposed with respect thereto.</w:t>
      </w:r>
    </w:p>
    <w:p>
      <w:pPr>
        <w:spacing w:after="0" w:line="178" w:lineRule="exact"/>
        <w:rPr>
          <w:sz w:val="20"/>
          <w:szCs w:val="20"/>
          <w:color w:val="auto"/>
        </w:rPr>
      </w:pPr>
    </w:p>
    <w:p>
      <w:pPr>
        <w:jc w:val="both"/>
        <w:ind w:firstLine="598"/>
        <w:spacing w:after="0" w:line="33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Termination Date</w:t>
      </w:r>
      <w:r>
        <w:rPr>
          <w:rFonts w:ascii="Arial" w:cs="Arial" w:eastAsia="Arial" w:hAnsi="Arial"/>
          <w:sz w:val="15"/>
          <w:szCs w:val="15"/>
          <w:color w:val="auto"/>
        </w:rPr>
        <w:t xml:space="preserve">” means June 19, 2018;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the deadline for Buyer to consummate a Business Combination is extended pursuant to </w:t>
      </w:r>
      <w:r>
        <w:rPr>
          <w:rFonts w:ascii="Arial" w:cs="Arial" w:eastAsia="Arial" w:hAnsi="Arial"/>
          <w:sz w:val="15"/>
          <w:szCs w:val="15"/>
          <w:u w:val="single" w:color="auto"/>
          <w:color w:val="auto"/>
        </w:rPr>
        <w:t>Section 5.17(c)</w:t>
      </w:r>
      <w:r>
        <w:rPr>
          <w:rFonts w:ascii="Arial" w:cs="Arial" w:eastAsia="Arial" w:hAnsi="Arial"/>
          <w:sz w:val="15"/>
          <w:szCs w:val="15"/>
          <w:color w:val="auto"/>
        </w:rPr>
        <w:t>, the Termination Date shall be automatically extended to the first Business Day immediately following the Additional Extension Deadline.</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Extension Deadline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5.17(b)</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other than the Company, any Subsidiary of the Company, Buyer, or Sellers or any Affiliate of any of the foregoing.</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23" w:name="page24"/>
    <w:bookmarkEnd w:id="23"/>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Title IV Plan</w:t>
      </w:r>
      <w:r>
        <w:rPr>
          <w:rFonts w:ascii="Arial" w:cs="Arial" w:eastAsia="Arial" w:hAnsi="Arial"/>
          <w:sz w:val="17"/>
          <w:szCs w:val="17"/>
          <w:color w:val="auto"/>
        </w:rPr>
        <w:t>” means any employee pension benefit plan (as such term is defined in Section 3(2) of ERISA) that is subject to Title IV of ERISA, other than a Multiemployer Plan.</w:t>
      </w:r>
    </w:p>
    <w:p>
      <w:pPr>
        <w:spacing w:after="0" w:line="168"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means this Agreement, the Registration Rights Agreement, the Amended and Restated Operating Agreement and the Replacement GS Warrant, if applicable.</w:t>
      </w:r>
    </w:p>
    <w:p>
      <w:pPr>
        <w:spacing w:after="0" w:line="168" w:lineRule="exact"/>
        <w:rPr>
          <w:sz w:val="20"/>
          <w:szCs w:val="20"/>
          <w:color w:val="auto"/>
        </w:rPr>
      </w:pPr>
    </w:p>
    <w:p>
      <w:pPr>
        <w:jc w:val="both"/>
        <w:ind w:firstLine="598"/>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Expenses</w:t>
      </w:r>
      <w:r>
        <w:rPr>
          <w:rFonts w:ascii="Arial" w:cs="Arial" w:eastAsia="Arial" w:hAnsi="Arial"/>
          <w:sz w:val="16"/>
          <w:szCs w:val="16"/>
          <w:color w:val="auto"/>
        </w:rPr>
        <w:t>” means the aggregate amount of all reasonable out-of-pocket fees and expenses (whether or not yet invoiced), actually incurred by, or on behalf of, or to be paid by, a Party in connection with the or otherwise relating to the negotiation, preparation or execution hereof or any documents or agreements contemplated hereby or the performance or consummation of the Contemplated Transactions, in each case, to the extent unpaid and incurred by, or on behalf of, or to be paid by such Party as of the Closing, including reasonable fees and expenses of any Representatives engaged by, or on behalf of such Party in connection with the Contemplated Transactions and, with respect to Buyer, the Deferred Underwriting Fees, the D&amp;O Policy and any other amounts referenced as “Accounts Payable” or “Anticipated Liabilities” on Section 4.14 of the Buyer Disclosure Letter.</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Form 8-K</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5.04</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 Taxes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5.13(a)</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 Account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4.06</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 Agreement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4.06</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Trustee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4.06</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Underwriters</w:t>
      </w:r>
      <w:r>
        <w:rPr>
          <w:rFonts w:ascii="Arial" w:cs="Arial" w:eastAsia="Arial" w:hAnsi="Arial"/>
          <w:sz w:val="17"/>
          <w:szCs w:val="17"/>
          <w:color w:val="auto"/>
        </w:rPr>
        <w:t>” means the underwriters of the IPO pursuant to the Prospectus.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II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PURCHASE AND SALE</w:t>
      </w:r>
    </w:p>
    <w:p>
      <w:pPr>
        <w:spacing w:after="0" w:line="203" w:lineRule="exact"/>
        <w:rPr>
          <w:sz w:val="20"/>
          <w:szCs w:val="20"/>
          <w:color w:val="auto"/>
        </w:rPr>
      </w:pPr>
    </w:p>
    <w:p>
      <w:pPr>
        <w:ind w:right="20" w:firstLine="1195"/>
        <w:spacing w:after="0" w:line="254" w:lineRule="auto"/>
        <w:rPr>
          <w:sz w:val="20"/>
          <w:szCs w:val="20"/>
          <w:color w:val="auto"/>
        </w:rPr>
      </w:pPr>
      <w:r>
        <w:rPr>
          <w:rFonts w:ascii="Arial" w:cs="Arial" w:eastAsia="Arial" w:hAnsi="Arial"/>
          <w:sz w:val="17"/>
          <w:szCs w:val="17"/>
          <w:color w:val="010000"/>
        </w:rPr>
        <w:t xml:space="preserve">Section 2.01 </w:t>
      </w:r>
      <w:r>
        <w:rPr>
          <w:rFonts w:ascii="Arial" w:cs="Arial" w:eastAsia="Arial" w:hAnsi="Arial"/>
          <w:sz w:val="17"/>
          <w:szCs w:val="17"/>
          <w:u w:val="single" w:color="auto"/>
          <w:color w:val="000000"/>
        </w:rPr>
        <w:t>Purchase and Sale</w:t>
      </w:r>
      <w:r>
        <w:rPr>
          <w:rFonts w:ascii="Arial" w:cs="Arial" w:eastAsia="Arial" w:hAnsi="Arial"/>
          <w:sz w:val="17"/>
          <w:szCs w:val="17"/>
          <w:color w:val="000000"/>
        </w:rPr>
        <w:t>. Upon the terms and subject to the conditions set forth herein, at the Closing, Sellers shall sell, contribute, assign, transfer,</w:t>
      </w:r>
      <w:r>
        <w:rPr>
          <w:rFonts w:ascii="Arial" w:cs="Arial" w:eastAsia="Arial" w:hAnsi="Arial"/>
          <w:sz w:val="17"/>
          <w:szCs w:val="17"/>
          <w:color w:val="010000"/>
        </w:rPr>
        <w:t xml:space="preserve"> </w:t>
      </w:r>
      <w:r>
        <w:rPr>
          <w:rFonts w:ascii="Arial" w:cs="Arial" w:eastAsia="Arial" w:hAnsi="Arial"/>
          <w:sz w:val="17"/>
          <w:szCs w:val="17"/>
          <w:color w:val="000000"/>
        </w:rPr>
        <w:t>convey and deliver to Buyer, and Buyer shall accept and acquire from Sellers, the Acquired Interests, free and clear of all Liens, other than restrictions on transfer of securities arising under applicable securities Laws or the Organizational Documents of the Company.</w:t>
      </w:r>
    </w:p>
    <w:p>
      <w:pPr>
        <w:spacing w:after="0" w:line="176" w:lineRule="exact"/>
        <w:rPr>
          <w:sz w:val="20"/>
          <w:szCs w:val="20"/>
          <w:color w:val="auto"/>
        </w:rPr>
      </w:pPr>
    </w:p>
    <w:p>
      <w:pPr>
        <w:ind w:right="60" w:firstLine="1195"/>
        <w:spacing w:after="0" w:line="264" w:lineRule="auto"/>
        <w:rPr>
          <w:sz w:val="20"/>
          <w:szCs w:val="20"/>
          <w:color w:val="auto"/>
        </w:rPr>
      </w:pPr>
      <w:r>
        <w:rPr>
          <w:rFonts w:ascii="Arial" w:cs="Arial" w:eastAsia="Arial" w:hAnsi="Arial"/>
          <w:sz w:val="17"/>
          <w:szCs w:val="17"/>
          <w:color w:val="010000"/>
        </w:rPr>
        <w:t xml:space="preserve">Section 2.02 </w:t>
      </w:r>
      <w:r>
        <w:rPr>
          <w:rFonts w:ascii="Arial" w:cs="Arial" w:eastAsia="Arial" w:hAnsi="Arial"/>
          <w:sz w:val="17"/>
          <w:szCs w:val="17"/>
          <w:u w:val="single" w:color="auto"/>
          <w:color w:val="000000"/>
        </w:rPr>
        <w:t>Consideration</w:t>
      </w:r>
      <w:r>
        <w:rPr>
          <w:rFonts w:ascii="Arial" w:cs="Arial" w:eastAsia="Arial" w:hAnsi="Arial"/>
          <w:sz w:val="17"/>
          <w:szCs w:val="17"/>
          <w:color w:val="000000"/>
        </w:rPr>
        <w:t>. The aggregate consideration payable by Buyer for the acquisition of the Acquired Interests shall be the Consideration Shares</w:t>
      </w:r>
      <w:r>
        <w:rPr>
          <w:rFonts w:ascii="Arial" w:cs="Arial" w:eastAsia="Arial" w:hAnsi="Arial"/>
          <w:sz w:val="17"/>
          <w:szCs w:val="17"/>
          <w:color w:val="010000"/>
        </w:rPr>
        <w:t xml:space="preserve"> </w:t>
      </w:r>
      <w:r>
        <w:rPr>
          <w:rFonts w:ascii="Arial" w:cs="Arial" w:eastAsia="Arial" w:hAnsi="Arial"/>
          <w:sz w:val="17"/>
          <w:szCs w:val="17"/>
          <w:color w:val="000000"/>
        </w:rPr>
        <w:t xml:space="preserve">payable pursuant to </w:t>
      </w:r>
      <w:r>
        <w:rPr>
          <w:rFonts w:ascii="Arial" w:cs="Arial" w:eastAsia="Arial" w:hAnsi="Arial"/>
          <w:sz w:val="17"/>
          <w:szCs w:val="17"/>
          <w:u w:val="single" w:color="auto"/>
          <w:color w:val="000000"/>
        </w:rPr>
        <w:t>Section 2.05(a)</w:t>
      </w:r>
      <w:r>
        <w:rPr>
          <w:rFonts w:ascii="Arial" w:cs="Arial" w:eastAsia="Arial" w:hAnsi="Arial"/>
          <w:sz w:val="17"/>
          <w:szCs w:val="17"/>
          <w:color w:val="000000"/>
        </w:rPr>
        <w:t>.</w:t>
      </w:r>
    </w:p>
    <w:p>
      <w:pPr>
        <w:spacing w:after="0" w:line="168" w:lineRule="exact"/>
        <w:rPr>
          <w:sz w:val="20"/>
          <w:szCs w:val="20"/>
          <w:color w:val="auto"/>
        </w:rPr>
      </w:pPr>
    </w:p>
    <w:p>
      <w:pPr>
        <w:jc w:val="both"/>
        <w:ind w:firstLine="1195"/>
        <w:spacing w:after="0" w:line="295" w:lineRule="auto"/>
        <w:rPr>
          <w:sz w:val="20"/>
          <w:szCs w:val="20"/>
          <w:color w:val="auto"/>
        </w:rPr>
      </w:pPr>
      <w:r>
        <w:rPr>
          <w:rFonts w:ascii="Arial" w:cs="Arial" w:eastAsia="Arial" w:hAnsi="Arial"/>
          <w:sz w:val="15"/>
          <w:szCs w:val="15"/>
          <w:color w:val="010000"/>
        </w:rPr>
        <w:t xml:space="preserve">Section 2.03 </w:t>
      </w:r>
      <w:r>
        <w:rPr>
          <w:rFonts w:ascii="Arial" w:cs="Arial" w:eastAsia="Arial" w:hAnsi="Arial"/>
          <w:sz w:val="15"/>
          <w:szCs w:val="15"/>
          <w:u w:val="single" w:color="auto"/>
          <w:color w:val="000000"/>
        </w:rPr>
        <w:t>Closing</w:t>
      </w:r>
      <w:r>
        <w:rPr>
          <w:rFonts w:ascii="Arial" w:cs="Arial" w:eastAsia="Arial" w:hAnsi="Arial"/>
          <w:sz w:val="15"/>
          <w:szCs w:val="15"/>
          <w:color w:val="000000"/>
        </w:rPr>
        <w:t>. The closing (the “</w:t>
      </w:r>
      <w:r>
        <w:rPr>
          <w:rFonts w:ascii="Arial" w:cs="Arial" w:eastAsia="Arial" w:hAnsi="Arial"/>
          <w:sz w:val="15"/>
          <w:szCs w:val="15"/>
          <w:u w:val="single" w:color="auto"/>
          <w:color w:val="000000"/>
        </w:rPr>
        <w:t>Closing</w:t>
      </w:r>
      <w:r>
        <w:rPr>
          <w:rFonts w:ascii="Arial" w:cs="Arial" w:eastAsia="Arial" w:hAnsi="Arial"/>
          <w:sz w:val="15"/>
          <w:szCs w:val="15"/>
          <w:color w:val="000000"/>
        </w:rPr>
        <w:t>”) of the purchase and sale of the Acquired Interests hereunder shall take place on the third Business Day</w:t>
      </w:r>
      <w:r>
        <w:rPr>
          <w:rFonts w:ascii="Arial" w:cs="Arial" w:eastAsia="Arial" w:hAnsi="Arial"/>
          <w:sz w:val="15"/>
          <w:szCs w:val="15"/>
          <w:color w:val="010000"/>
        </w:rPr>
        <w:t xml:space="preserve"> </w:t>
      </w:r>
      <w:r>
        <w:rPr>
          <w:rFonts w:ascii="Arial" w:cs="Arial" w:eastAsia="Arial" w:hAnsi="Arial"/>
          <w:sz w:val="15"/>
          <w:szCs w:val="15"/>
          <w:color w:val="000000"/>
        </w:rPr>
        <w:t xml:space="preserve">following the date on which all of the conditions set forth in </w:t>
      </w:r>
      <w:r>
        <w:rPr>
          <w:rFonts w:ascii="Arial" w:cs="Arial" w:eastAsia="Arial" w:hAnsi="Arial"/>
          <w:sz w:val="15"/>
          <w:szCs w:val="15"/>
          <w:u w:val="single" w:color="auto"/>
          <w:color w:val="000000"/>
        </w:rPr>
        <w:t>Article VI</w:t>
      </w:r>
      <w:r>
        <w:rPr>
          <w:rFonts w:ascii="Arial" w:cs="Arial" w:eastAsia="Arial" w:hAnsi="Arial"/>
          <w:sz w:val="15"/>
          <w:szCs w:val="15"/>
          <w:color w:val="000000"/>
        </w:rPr>
        <w:t xml:space="preserve"> (excluding those conditions that by their nature are to be satisfied as part of the Closing but subject to the satisfaction of such conditions at the Closing) have been satisfied or waived, at the offices of Schulte Roth &amp; Zabel LLP, 919 Third Avenue, New York, New York 10022, or at such other place, time or date as the Parties may agree (the date on which the Closing actually occurs, the “</w:t>
      </w:r>
      <w:r>
        <w:rPr>
          <w:rFonts w:ascii="Arial" w:cs="Arial" w:eastAsia="Arial" w:hAnsi="Arial"/>
          <w:sz w:val="15"/>
          <w:szCs w:val="15"/>
          <w:u w:val="single" w:color="auto"/>
          <w:color w:val="000000"/>
        </w:rPr>
        <w:t>Closing Date</w:t>
      </w:r>
      <w:r>
        <w:rPr>
          <w:rFonts w:ascii="Arial" w:cs="Arial" w:eastAsia="Arial" w:hAnsi="Arial"/>
          <w:sz w:val="15"/>
          <w:szCs w:val="15"/>
          <w:color w:val="000000"/>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24" w:name="page25"/>
    <w:bookmarkEnd w:id="24"/>
    <w:p>
      <w:pPr>
        <w:ind w:left="379"/>
        <w:spacing w:after="0"/>
        <w:rPr>
          <w:sz w:val="20"/>
          <w:szCs w:val="20"/>
          <w:color w:val="auto"/>
        </w:rPr>
      </w:pPr>
      <w:r>
        <w:rPr>
          <w:rFonts w:ascii="Arial" w:cs="Arial" w:eastAsia="Arial" w:hAnsi="Arial"/>
          <w:sz w:val="17"/>
          <w:szCs w:val="17"/>
          <w:color w:val="010000"/>
        </w:rPr>
        <w:t xml:space="preserve">Section 2.04 </w:t>
      </w:r>
      <w:r>
        <w:rPr>
          <w:rFonts w:ascii="Arial" w:cs="Arial" w:eastAsia="Arial" w:hAnsi="Arial"/>
          <w:sz w:val="17"/>
          <w:szCs w:val="17"/>
          <w:u w:val="single" w:color="auto"/>
          <w:color w:val="000000"/>
        </w:rPr>
        <w:t>Pre-Closing Deliveries</w:t>
      </w:r>
      <w:r>
        <w:rPr>
          <w:rFonts w:ascii="Arial" w:cs="Arial" w:eastAsia="Arial" w:hAnsi="Arial"/>
          <w:sz w:val="17"/>
          <w:szCs w:val="17"/>
          <w:color w:val="000000"/>
        </w:rPr>
        <w:t>.</w:t>
      </w:r>
    </w:p>
    <w:p>
      <w:pPr>
        <w:spacing w:after="0" w:line="203" w:lineRule="exact"/>
        <w:rPr>
          <w:sz w:val="20"/>
          <w:szCs w:val="20"/>
          <w:color w:val="auto"/>
        </w:rPr>
      </w:pPr>
    </w:p>
    <w:p>
      <w:pPr>
        <w:ind w:left="1079" w:hanging="481"/>
        <w:spacing w:after="0"/>
        <w:tabs>
          <w:tab w:leader="none" w:pos="1079" w:val="left"/>
        </w:tabs>
        <w:numPr>
          <w:ilvl w:val="1"/>
          <w:numId w:val="9"/>
        </w:numPr>
        <w:rPr>
          <w:rFonts w:ascii="Arial" w:cs="Arial" w:eastAsia="Arial" w:hAnsi="Arial"/>
          <w:sz w:val="15"/>
          <w:szCs w:val="15"/>
          <w:color w:val="010000"/>
        </w:rPr>
      </w:pPr>
      <w:r>
        <w:rPr>
          <w:rFonts w:ascii="Arial" w:cs="Arial" w:eastAsia="Arial" w:hAnsi="Arial"/>
          <w:sz w:val="15"/>
          <w:szCs w:val="15"/>
          <w:color w:val="auto"/>
        </w:rPr>
        <w:t>At least two (2) Business Days prior to the Closing Date, Buyer shall deliver to Sellers a statement setting forth Buyer’s good faith estimate of</w:t>
      </w:r>
    </w:p>
    <w:p>
      <w:pPr>
        <w:spacing w:after="0" w:line="39" w:lineRule="exact"/>
        <w:rPr>
          <w:rFonts w:ascii="Arial" w:cs="Arial" w:eastAsia="Arial" w:hAnsi="Arial"/>
          <w:sz w:val="15"/>
          <w:szCs w:val="15"/>
          <w:color w:val="010000"/>
        </w:rPr>
      </w:pPr>
    </w:p>
    <w:p>
      <w:pPr>
        <w:ind w:left="-1" w:firstLine="1"/>
        <w:spacing w:after="0" w:line="249" w:lineRule="auto"/>
        <w:tabs>
          <w:tab w:leader="none" w:pos="219"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aggregate amount of cash proceeds that will be required to satisfy any exercise of the Buyer Stockholder Redemptions as of immediately prior to Closing and (ii) the resulting amount of Available Cash.</w:t>
      </w:r>
    </w:p>
    <w:p>
      <w:pPr>
        <w:spacing w:after="0" w:line="179" w:lineRule="exact"/>
        <w:rPr>
          <w:rFonts w:ascii="Arial" w:cs="Arial" w:eastAsia="Arial" w:hAnsi="Arial"/>
          <w:sz w:val="17"/>
          <w:szCs w:val="17"/>
          <w:color w:val="auto"/>
        </w:rPr>
      </w:pPr>
    </w:p>
    <w:p>
      <w:pPr>
        <w:ind w:left="1099" w:hanging="501"/>
        <w:spacing w:after="0"/>
        <w:tabs>
          <w:tab w:leader="none" w:pos="1099" w:val="left"/>
        </w:tabs>
        <w:numPr>
          <w:ilvl w:val="1"/>
          <w:numId w:val="10"/>
        </w:numPr>
        <w:rPr>
          <w:rFonts w:ascii="Arial" w:cs="Arial" w:eastAsia="Arial" w:hAnsi="Arial"/>
          <w:sz w:val="15"/>
          <w:szCs w:val="15"/>
          <w:color w:val="010000"/>
        </w:rPr>
      </w:pPr>
      <w:r>
        <w:rPr>
          <w:rFonts w:ascii="Arial" w:cs="Arial" w:eastAsia="Arial" w:hAnsi="Arial"/>
          <w:sz w:val="15"/>
          <w:szCs w:val="15"/>
          <w:color w:val="auto"/>
        </w:rPr>
        <w:t>At least two (2) Business Days prior to the Closing Date, Sellers shall deliver to Buyer a statement (the “</w:t>
      </w:r>
      <w:r>
        <w:rPr>
          <w:rFonts w:ascii="Arial" w:cs="Arial" w:eastAsia="Arial" w:hAnsi="Arial"/>
          <w:sz w:val="15"/>
          <w:szCs w:val="15"/>
          <w:u w:val="single" w:color="auto"/>
          <w:color w:val="auto"/>
        </w:rPr>
        <w:t>Pre-Closing Statement</w:t>
      </w:r>
      <w:r>
        <w:rPr>
          <w:rFonts w:ascii="Arial" w:cs="Arial" w:eastAsia="Arial" w:hAnsi="Arial"/>
          <w:sz w:val="15"/>
          <w:szCs w:val="15"/>
          <w:color w:val="auto"/>
        </w:rPr>
        <w:t>”) setting forth</w:t>
      </w:r>
    </w:p>
    <w:p>
      <w:pPr>
        <w:spacing w:after="0" w:line="39" w:lineRule="exact"/>
        <w:rPr>
          <w:rFonts w:ascii="Arial" w:cs="Arial" w:eastAsia="Arial" w:hAnsi="Arial"/>
          <w:sz w:val="15"/>
          <w:szCs w:val="15"/>
          <w:color w:val="010000"/>
        </w:rPr>
      </w:pPr>
    </w:p>
    <w:p>
      <w:pPr>
        <w:ind w:left="-1" w:firstLine="1"/>
        <w:spacing w:after="0" w:line="249" w:lineRule="auto"/>
        <w:tabs>
          <w:tab w:leader="none" w:pos="2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Sellers’ good faith estimate of (A) the Company Equity Value and (B) all Transaction Expenses incurred by or on behalf of Sellers, and (ii) the number of Consideration Shares to be issued to each Seller pursuant to </w:t>
      </w:r>
      <w:r>
        <w:rPr>
          <w:rFonts w:ascii="Arial" w:cs="Arial" w:eastAsia="Arial" w:hAnsi="Arial"/>
          <w:sz w:val="17"/>
          <w:szCs w:val="17"/>
          <w:u w:val="single" w:color="auto"/>
          <w:color w:val="auto"/>
        </w:rPr>
        <w:t>Section 2.05(a)</w:t>
      </w:r>
      <w:r>
        <w:rPr>
          <w:rFonts w:ascii="Arial" w:cs="Arial" w:eastAsia="Arial" w:hAnsi="Arial"/>
          <w:sz w:val="17"/>
          <w:szCs w:val="17"/>
          <w:color w:val="auto"/>
        </w:rPr>
        <w:t>.</w:t>
      </w:r>
    </w:p>
    <w:p>
      <w:pPr>
        <w:spacing w:after="0" w:line="179" w:lineRule="exact"/>
        <w:rPr>
          <w:sz w:val="20"/>
          <w:szCs w:val="20"/>
          <w:color w:val="auto"/>
        </w:rPr>
      </w:pPr>
    </w:p>
    <w:p>
      <w:pPr>
        <w:ind w:left="379"/>
        <w:spacing w:after="0"/>
        <w:rPr>
          <w:sz w:val="20"/>
          <w:szCs w:val="20"/>
          <w:color w:val="auto"/>
        </w:rPr>
      </w:pPr>
      <w:r>
        <w:rPr>
          <w:rFonts w:ascii="Arial" w:cs="Arial" w:eastAsia="Arial" w:hAnsi="Arial"/>
          <w:sz w:val="17"/>
          <w:szCs w:val="17"/>
          <w:color w:val="010000"/>
        </w:rPr>
        <w:t xml:space="preserve">Section 2.05 </w:t>
      </w:r>
      <w:r>
        <w:rPr>
          <w:rFonts w:ascii="Arial" w:cs="Arial" w:eastAsia="Arial" w:hAnsi="Arial"/>
          <w:sz w:val="17"/>
          <w:szCs w:val="17"/>
          <w:u w:val="single" w:color="auto"/>
          <w:color w:val="000000"/>
        </w:rPr>
        <w:t>Closing Deliveries and Payments by Buyer</w:t>
      </w:r>
      <w:r>
        <w:rPr>
          <w:rFonts w:ascii="Arial" w:cs="Arial" w:eastAsia="Arial" w:hAnsi="Arial"/>
          <w:sz w:val="17"/>
          <w:szCs w:val="17"/>
          <w:color w:val="000000"/>
        </w:rPr>
        <w:t>.</w:t>
      </w:r>
    </w:p>
    <w:p>
      <w:pPr>
        <w:spacing w:after="0" w:line="203" w:lineRule="exact"/>
        <w:rPr>
          <w:sz w:val="20"/>
          <w:szCs w:val="20"/>
          <w:color w:val="auto"/>
        </w:rPr>
      </w:pPr>
    </w:p>
    <w:p>
      <w:pPr>
        <w:ind w:left="-1" w:firstLine="599"/>
        <w:spacing w:after="0" w:line="264" w:lineRule="auto"/>
        <w:tabs>
          <w:tab w:leader="none" w:pos="1133" w:val="left"/>
        </w:tabs>
        <w:numPr>
          <w:ilvl w:val="0"/>
          <w:numId w:val="12"/>
        </w:numPr>
        <w:rPr>
          <w:rFonts w:ascii="Arial" w:cs="Arial" w:eastAsia="Arial" w:hAnsi="Arial"/>
          <w:sz w:val="17"/>
          <w:szCs w:val="17"/>
          <w:color w:val="010000"/>
        </w:rPr>
      </w:pPr>
      <w:r>
        <w:rPr>
          <w:rFonts w:ascii="Arial" w:cs="Arial" w:eastAsia="Arial" w:hAnsi="Arial"/>
          <w:sz w:val="17"/>
          <w:szCs w:val="17"/>
          <w:color w:val="auto"/>
        </w:rPr>
        <w:t>At the Closing, Buyer shall issue and deliver to each Seller the Consideration Shares represented by stock certificates issued in the name of such Seller in accordance with the Pre-Closing Statement.</w:t>
      </w:r>
    </w:p>
    <w:p>
      <w:pPr>
        <w:spacing w:after="0" w:line="167" w:lineRule="exact"/>
        <w:rPr>
          <w:rFonts w:ascii="Arial" w:cs="Arial" w:eastAsia="Arial" w:hAnsi="Arial"/>
          <w:sz w:val="17"/>
          <w:szCs w:val="17"/>
          <w:color w:val="010000"/>
        </w:rPr>
      </w:pPr>
    </w:p>
    <w:p>
      <w:pPr>
        <w:ind w:left="1079" w:hanging="481"/>
        <w:spacing w:after="0"/>
        <w:tabs>
          <w:tab w:leader="none" w:pos="1079" w:val="left"/>
        </w:tabs>
        <w:numPr>
          <w:ilvl w:val="0"/>
          <w:numId w:val="12"/>
        </w:numPr>
        <w:rPr>
          <w:rFonts w:ascii="Arial" w:cs="Arial" w:eastAsia="Arial" w:hAnsi="Arial"/>
          <w:sz w:val="17"/>
          <w:szCs w:val="17"/>
          <w:color w:val="010000"/>
        </w:rPr>
      </w:pPr>
      <w:r>
        <w:rPr>
          <w:rFonts w:ascii="Arial" w:cs="Arial" w:eastAsia="Arial" w:hAnsi="Arial"/>
          <w:sz w:val="17"/>
          <w:szCs w:val="17"/>
          <w:color w:val="auto"/>
        </w:rPr>
        <w:t>At the Closing, Buyer shall deliver, or cause to be delivered, to Sellers the following:</w:t>
      </w:r>
    </w:p>
    <w:p>
      <w:pPr>
        <w:spacing w:after="0" w:line="202" w:lineRule="exact"/>
        <w:rPr>
          <w:rFonts w:ascii="Arial" w:cs="Arial" w:eastAsia="Arial" w:hAnsi="Arial"/>
          <w:sz w:val="17"/>
          <w:szCs w:val="17"/>
          <w:color w:val="010000"/>
        </w:rPr>
      </w:pPr>
    </w:p>
    <w:p>
      <w:pPr>
        <w:ind w:left="1419" w:hanging="448"/>
        <w:spacing w:after="0"/>
        <w:tabs>
          <w:tab w:leader="none" w:pos="1419" w:val="left"/>
        </w:tabs>
        <w:numPr>
          <w:ilvl w:val="1"/>
          <w:numId w:val="12"/>
        </w:numPr>
        <w:rPr>
          <w:rFonts w:ascii="Arial" w:cs="Arial" w:eastAsia="Arial" w:hAnsi="Arial"/>
          <w:sz w:val="15"/>
          <w:szCs w:val="15"/>
          <w:color w:val="010000"/>
        </w:rPr>
      </w:pPr>
      <w:r>
        <w:rPr>
          <w:rFonts w:ascii="Arial" w:cs="Arial" w:eastAsia="Arial" w:hAnsi="Arial"/>
          <w:sz w:val="15"/>
          <w:szCs w:val="15"/>
          <w:color w:val="auto"/>
        </w:rPr>
        <w:t>a counterpart for each Transaction Document to which Buyer is specified to be a party executed by a duly authorized officer of Buyer;</w:t>
      </w:r>
    </w:p>
    <w:p>
      <w:pPr>
        <w:spacing w:after="0" w:line="225" w:lineRule="exact"/>
        <w:rPr>
          <w:rFonts w:ascii="Arial" w:cs="Arial" w:eastAsia="Arial" w:hAnsi="Arial"/>
          <w:sz w:val="15"/>
          <w:szCs w:val="15"/>
          <w:color w:val="010000"/>
        </w:rPr>
      </w:pPr>
    </w:p>
    <w:p>
      <w:pPr>
        <w:ind w:left="379" w:firstLine="592"/>
        <w:spacing w:after="0" w:line="264" w:lineRule="auto"/>
        <w:tabs>
          <w:tab w:leader="none" w:pos="1469" w:val="left"/>
        </w:tabs>
        <w:numPr>
          <w:ilvl w:val="1"/>
          <w:numId w:val="12"/>
        </w:numPr>
        <w:rPr>
          <w:rFonts w:ascii="Arial" w:cs="Arial" w:eastAsia="Arial" w:hAnsi="Arial"/>
          <w:sz w:val="17"/>
          <w:szCs w:val="17"/>
          <w:color w:val="010000"/>
        </w:rPr>
      </w:pPr>
      <w:r>
        <w:rPr>
          <w:rFonts w:ascii="Arial" w:cs="Arial" w:eastAsia="Arial" w:hAnsi="Arial"/>
          <w:sz w:val="17"/>
          <w:szCs w:val="17"/>
          <w:color w:val="auto"/>
        </w:rPr>
        <w:t xml:space="preserve">a certificate executed by a duly authorized officer of Buyer that certifies as to the satisfaction of the conditions set forth in subsections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6.03</w:t>
      </w:r>
      <w:r>
        <w:rPr>
          <w:rFonts w:ascii="Arial" w:cs="Arial" w:eastAsia="Arial" w:hAnsi="Arial"/>
          <w:sz w:val="17"/>
          <w:szCs w:val="17"/>
          <w:color w:val="auto"/>
        </w:rPr>
        <w:t>; and</w:t>
      </w:r>
    </w:p>
    <w:p>
      <w:pPr>
        <w:spacing w:after="0" w:line="167" w:lineRule="exact"/>
        <w:rPr>
          <w:rFonts w:ascii="Arial" w:cs="Arial" w:eastAsia="Arial" w:hAnsi="Arial"/>
          <w:sz w:val="17"/>
          <w:szCs w:val="17"/>
          <w:color w:val="010000"/>
        </w:rPr>
      </w:pPr>
    </w:p>
    <w:p>
      <w:pPr>
        <w:ind w:left="1519" w:hanging="548"/>
        <w:spacing w:after="0"/>
        <w:tabs>
          <w:tab w:leader="none" w:pos="1519" w:val="left"/>
        </w:tabs>
        <w:numPr>
          <w:ilvl w:val="1"/>
          <w:numId w:val="12"/>
        </w:numPr>
        <w:rPr>
          <w:rFonts w:ascii="Arial" w:cs="Arial" w:eastAsia="Arial" w:hAnsi="Arial"/>
          <w:sz w:val="17"/>
          <w:szCs w:val="17"/>
          <w:color w:val="010000"/>
        </w:rPr>
      </w:pPr>
      <w:r>
        <w:rPr>
          <w:rFonts w:ascii="Arial" w:cs="Arial" w:eastAsia="Arial" w:hAnsi="Arial"/>
          <w:sz w:val="17"/>
          <w:szCs w:val="17"/>
          <w:color w:val="auto"/>
        </w:rPr>
        <w:t>resignations of each director and officer of Buyer, effective at the time of Closing.</w:t>
      </w:r>
    </w:p>
    <w:p>
      <w:pPr>
        <w:spacing w:after="0" w:line="202" w:lineRule="exact"/>
        <w:rPr>
          <w:rFonts w:ascii="Arial" w:cs="Arial" w:eastAsia="Arial" w:hAnsi="Arial"/>
          <w:sz w:val="17"/>
          <w:szCs w:val="17"/>
          <w:color w:val="010000"/>
        </w:rPr>
      </w:pPr>
    </w:p>
    <w:p>
      <w:pPr>
        <w:ind w:left="-1" w:firstLine="599"/>
        <w:spacing w:after="0" w:line="264" w:lineRule="auto"/>
        <w:tabs>
          <w:tab w:leader="none" w:pos="1083" w:val="left"/>
        </w:tabs>
        <w:numPr>
          <w:ilvl w:val="0"/>
          <w:numId w:val="12"/>
        </w:numPr>
        <w:rPr>
          <w:rFonts w:ascii="Arial" w:cs="Arial" w:eastAsia="Arial" w:hAnsi="Arial"/>
          <w:sz w:val="17"/>
          <w:szCs w:val="17"/>
          <w:color w:val="010000"/>
        </w:rPr>
      </w:pPr>
      <w:r>
        <w:rPr>
          <w:rFonts w:ascii="Arial" w:cs="Arial" w:eastAsia="Arial" w:hAnsi="Arial"/>
          <w:sz w:val="17"/>
          <w:szCs w:val="17"/>
          <w:color w:val="auto"/>
        </w:rPr>
        <w:t>At the Closing, Buyer shall cause (i) the Buyer Charter to be amended and restated in the form of the Buyer A&amp;R Charter and (ii) the by-laws of Buyer to be amended and restated in the form of the Buyer A&amp;R By-laws.</w:t>
      </w:r>
    </w:p>
    <w:p>
      <w:pPr>
        <w:spacing w:after="0" w:line="167" w:lineRule="exact"/>
        <w:rPr>
          <w:rFonts w:ascii="Arial" w:cs="Arial" w:eastAsia="Arial" w:hAnsi="Arial"/>
          <w:sz w:val="17"/>
          <w:szCs w:val="17"/>
          <w:color w:val="010000"/>
        </w:rPr>
      </w:pPr>
    </w:p>
    <w:p>
      <w:pPr>
        <w:ind w:left="1079" w:hanging="481"/>
        <w:spacing w:after="0"/>
        <w:tabs>
          <w:tab w:leader="none" w:pos="1079" w:val="left"/>
        </w:tabs>
        <w:numPr>
          <w:ilvl w:val="0"/>
          <w:numId w:val="12"/>
        </w:numPr>
        <w:rPr>
          <w:rFonts w:ascii="Arial" w:cs="Arial" w:eastAsia="Arial" w:hAnsi="Arial"/>
          <w:sz w:val="15"/>
          <w:szCs w:val="15"/>
          <w:color w:val="010000"/>
        </w:rPr>
      </w:pPr>
      <w:r>
        <w:rPr>
          <w:rFonts w:ascii="Arial" w:cs="Arial" w:eastAsia="Arial" w:hAnsi="Arial"/>
          <w:sz w:val="15"/>
          <w:szCs w:val="15"/>
          <w:color w:val="auto"/>
        </w:rPr>
        <w:t>At the Closing, Buyer shall pay, or cause to be paid, out of the Available Cash, all Transaction Expenses incurred by or on behalf of the Parties.</w:t>
      </w:r>
    </w:p>
    <w:p>
      <w:pPr>
        <w:spacing w:after="0" w:line="326" w:lineRule="exact"/>
        <w:rPr>
          <w:sz w:val="20"/>
          <w:szCs w:val="20"/>
          <w:color w:val="auto"/>
        </w:rPr>
      </w:pPr>
    </w:p>
    <w:p>
      <w:pPr>
        <w:ind w:left="48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10160</wp:posOffset>
            </wp:positionV>
            <wp:extent cx="7257415"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599"/>
          </w:cols>
          <w:pgMar w:left="1061" w:top="650" w:right="239" w:bottom="1440" w:gutter="0" w:footer="0" w:header="0"/>
        </w:sectPr>
      </w:pPr>
    </w:p>
    <w:bookmarkStart w:id="25" w:name="page26"/>
    <w:bookmarkEnd w:id="25"/>
    <w:p>
      <w:pPr>
        <w:ind w:left="1200"/>
        <w:spacing w:after="0"/>
        <w:rPr>
          <w:sz w:val="20"/>
          <w:szCs w:val="20"/>
          <w:color w:val="auto"/>
        </w:rPr>
      </w:pPr>
      <w:r>
        <w:rPr>
          <w:rFonts w:ascii="Arial" w:cs="Arial" w:eastAsia="Arial" w:hAnsi="Arial"/>
          <w:sz w:val="17"/>
          <w:szCs w:val="17"/>
          <w:color w:val="010000"/>
        </w:rPr>
        <w:t xml:space="preserve">Section 2.06 </w:t>
      </w:r>
      <w:r>
        <w:rPr>
          <w:rFonts w:ascii="Arial" w:cs="Arial" w:eastAsia="Arial" w:hAnsi="Arial"/>
          <w:sz w:val="17"/>
          <w:szCs w:val="17"/>
          <w:u w:val="single" w:color="auto"/>
          <w:color w:val="000000"/>
        </w:rPr>
        <w:t>Closing Deliveries by Sellers</w:t>
      </w:r>
      <w:r>
        <w:rPr>
          <w:rFonts w:ascii="Arial" w:cs="Arial" w:eastAsia="Arial" w:hAnsi="Arial"/>
          <w:sz w:val="17"/>
          <w:szCs w:val="17"/>
          <w:color w:val="000000"/>
        </w:rPr>
        <w:t>. At the Closing, Sellers shall deliver, or cause to be delivered, to Buyer the following:</w:t>
      </w:r>
    </w:p>
    <w:p>
      <w:pPr>
        <w:spacing w:after="0" w:line="203" w:lineRule="exact"/>
        <w:rPr>
          <w:sz w:val="20"/>
          <w:szCs w:val="20"/>
          <w:color w:val="auto"/>
        </w:rPr>
      </w:pPr>
    </w:p>
    <w:p>
      <w:pPr>
        <w:ind w:left="820" w:firstLine="599"/>
        <w:spacing w:after="0" w:line="264" w:lineRule="auto"/>
        <w:tabs>
          <w:tab w:leader="none" w:pos="1917" w:val="left"/>
        </w:tabs>
        <w:numPr>
          <w:ilvl w:val="0"/>
          <w:numId w:val="13"/>
        </w:numPr>
        <w:rPr>
          <w:rFonts w:ascii="Arial" w:cs="Arial" w:eastAsia="Arial" w:hAnsi="Arial"/>
          <w:sz w:val="17"/>
          <w:szCs w:val="17"/>
          <w:color w:val="010000"/>
        </w:rPr>
      </w:pPr>
      <w:r>
        <w:rPr>
          <w:rFonts w:ascii="Arial" w:cs="Arial" w:eastAsia="Arial" w:hAnsi="Arial"/>
          <w:sz w:val="17"/>
          <w:szCs w:val="17"/>
          <w:color w:val="auto"/>
        </w:rPr>
        <w:t>a counterpart for each Transaction Document to which each Seller is specified to be a party duly executed by a duly authorized representative of such Seller; and</w:t>
      </w:r>
    </w:p>
    <w:p>
      <w:pPr>
        <w:spacing w:after="0" w:line="167" w:lineRule="exact"/>
        <w:rPr>
          <w:rFonts w:ascii="Arial" w:cs="Arial" w:eastAsia="Arial" w:hAnsi="Arial"/>
          <w:sz w:val="17"/>
          <w:szCs w:val="17"/>
          <w:color w:val="010000"/>
        </w:rPr>
      </w:pPr>
    </w:p>
    <w:p>
      <w:pPr>
        <w:ind w:left="820" w:firstLine="599"/>
        <w:spacing w:after="0" w:line="264" w:lineRule="auto"/>
        <w:tabs>
          <w:tab w:leader="none" w:pos="1964" w:val="left"/>
        </w:tabs>
        <w:numPr>
          <w:ilvl w:val="0"/>
          <w:numId w:val="13"/>
        </w:numPr>
        <w:rPr>
          <w:rFonts w:ascii="Arial" w:cs="Arial" w:eastAsia="Arial" w:hAnsi="Arial"/>
          <w:sz w:val="17"/>
          <w:szCs w:val="17"/>
          <w:color w:val="010000"/>
        </w:rPr>
      </w:pPr>
      <w:r>
        <w:rPr>
          <w:rFonts w:ascii="Arial" w:cs="Arial" w:eastAsia="Arial" w:hAnsi="Arial"/>
          <w:sz w:val="17"/>
          <w:szCs w:val="17"/>
          <w:color w:val="auto"/>
        </w:rPr>
        <w:t xml:space="preserve">a certificate executed by a duly authorized officer of PIH that certifies (on behalf of both Sellers) as to the satisfaction of the conditions set forth in subsections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168" w:lineRule="exact"/>
        <w:rPr>
          <w:sz w:val="20"/>
          <w:szCs w:val="20"/>
          <w:color w:val="auto"/>
        </w:rPr>
      </w:pPr>
    </w:p>
    <w:p>
      <w:pPr>
        <w:ind w:left="1200"/>
        <w:spacing w:after="0"/>
        <w:rPr>
          <w:sz w:val="20"/>
          <w:szCs w:val="20"/>
          <w:color w:val="auto"/>
        </w:rPr>
      </w:pPr>
      <w:r>
        <w:rPr>
          <w:rFonts w:ascii="Arial" w:cs="Arial" w:eastAsia="Arial" w:hAnsi="Arial"/>
          <w:sz w:val="17"/>
          <w:szCs w:val="17"/>
          <w:color w:val="010000"/>
        </w:rPr>
        <w:t xml:space="preserve">Section 2.07  </w:t>
      </w:r>
      <w:r>
        <w:rPr>
          <w:rFonts w:ascii="Arial" w:cs="Arial" w:eastAsia="Arial" w:hAnsi="Arial"/>
          <w:sz w:val="17"/>
          <w:szCs w:val="17"/>
          <w:u w:val="single" w:color="auto"/>
          <w:color w:val="000000"/>
        </w:rPr>
        <w:t>Board of Directors</w:t>
      </w:r>
      <w:r>
        <w:rPr>
          <w:rFonts w:ascii="Arial" w:cs="Arial" w:eastAsia="Arial" w:hAnsi="Arial"/>
          <w:sz w:val="17"/>
          <w:szCs w:val="17"/>
          <w:color w:val="000000"/>
        </w:rPr>
        <w:t>.</w:t>
      </w:r>
    </w:p>
    <w:p>
      <w:pPr>
        <w:spacing w:after="0" w:line="203" w:lineRule="exact"/>
        <w:rPr>
          <w:sz w:val="20"/>
          <w:szCs w:val="20"/>
          <w:color w:val="auto"/>
        </w:rPr>
      </w:pPr>
    </w:p>
    <w:p>
      <w:pPr>
        <w:ind w:left="1900" w:hanging="481"/>
        <w:spacing w:after="0"/>
        <w:tabs>
          <w:tab w:leader="none" w:pos="1900" w:val="left"/>
        </w:tabs>
        <w:numPr>
          <w:ilvl w:val="1"/>
          <w:numId w:val="14"/>
        </w:numPr>
        <w:rPr>
          <w:rFonts w:ascii="Arial" w:cs="Arial" w:eastAsia="Arial" w:hAnsi="Arial"/>
          <w:sz w:val="15"/>
          <w:szCs w:val="15"/>
          <w:color w:val="010000"/>
        </w:rPr>
      </w:pPr>
      <w:r>
        <w:rPr>
          <w:rFonts w:ascii="Arial" w:cs="Arial" w:eastAsia="Arial" w:hAnsi="Arial"/>
          <w:sz w:val="15"/>
          <w:szCs w:val="15"/>
          <w:color w:val="auto"/>
        </w:rPr>
        <w:t>Buyer shall take all necessary action to cause that, immediately after the Closing, Buyer’s board of directors (the “</w:t>
      </w:r>
      <w:r>
        <w:rPr>
          <w:rFonts w:ascii="Arial" w:cs="Arial" w:eastAsia="Arial" w:hAnsi="Arial"/>
          <w:sz w:val="15"/>
          <w:szCs w:val="15"/>
          <w:u w:val="single" w:color="auto"/>
          <w:color w:val="auto"/>
        </w:rPr>
        <w:t>Board</w:t>
      </w:r>
      <w:r>
        <w:rPr>
          <w:rFonts w:ascii="Arial" w:cs="Arial" w:eastAsia="Arial" w:hAnsi="Arial"/>
          <w:sz w:val="15"/>
          <w:szCs w:val="15"/>
          <w:color w:val="auto"/>
        </w:rPr>
        <w:t>”) will consist of seven</w:t>
      </w:r>
    </w:p>
    <w:p>
      <w:pPr>
        <w:spacing w:after="0" w:line="39" w:lineRule="exact"/>
        <w:rPr>
          <w:rFonts w:ascii="Arial" w:cs="Arial" w:eastAsia="Arial" w:hAnsi="Arial"/>
          <w:sz w:val="15"/>
          <w:szCs w:val="15"/>
          <w:color w:val="010000"/>
        </w:rPr>
      </w:pPr>
    </w:p>
    <w:p>
      <w:pPr>
        <w:jc w:val="both"/>
        <w:ind w:left="820" w:firstLine="1"/>
        <w:spacing w:after="0" w:line="281" w:lineRule="auto"/>
        <w:tabs>
          <w:tab w:leader="none" w:pos="1071" w:val="left"/>
        </w:tabs>
        <w:numPr>
          <w:ilvl w:val="0"/>
          <w:numId w:val="15"/>
        </w:numPr>
        <w:rPr>
          <w:rFonts w:ascii="Arial" w:cs="Arial" w:eastAsia="Arial" w:hAnsi="Arial"/>
          <w:sz w:val="15"/>
          <w:szCs w:val="15"/>
          <w:color w:val="auto"/>
        </w:rPr>
      </w:pPr>
      <w:r>
        <w:rPr>
          <w:rFonts w:ascii="Arial" w:cs="Arial" w:eastAsia="Arial" w:hAnsi="Arial"/>
          <w:sz w:val="15"/>
          <w:szCs w:val="15"/>
          <w:color w:val="auto"/>
        </w:rPr>
        <w:t>directors, all designated by Sellers by written notice to Buyer, immediately prior to the Closing. During the Board Observer Period, the Company shall allow one representative designated by Magna Management, LLC to attend and participate in all meetings and other activities of the Board (a “</w:t>
      </w:r>
      <w:r>
        <w:rPr>
          <w:rFonts w:ascii="Arial" w:cs="Arial" w:eastAsia="Arial" w:hAnsi="Arial"/>
          <w:sz w:val="15"/>
          <w:szCs w:val="15"/>
          <w:u w:val="single" w:color="auto"/>
          <w:color w:val="auto"/>
        </w:rPr>
        <w:t>Board</w:t>
      </w:r>
      <w:r>
        <w:rPr>
          <w:rFonts w:ascii="Arial" w:cs="Arial" w:eastAsia="Arial" w:hAnsi="Arial"/>
          <w:sz w:val="15"/>
          <w:szCs w:val="15"/>
          <w:color w:val="auto"/>
        </w:rPr>
        <w:t xml:space="preserve"> </w:t>
      </w:r>
      <w:r>
        <w:rPr>
          <w:rFonts w:ascii="Arial" w:cs="Arial" w:eastAsia="Arial" w:hAnsi="Arial"/>
          <w:sz w:val="15"/>
          <w:szCs w:val="15"/>
          <w:u w:val="single" w:color="auto"/>
          <w:color w:val="auto"/>
        </w:rPr>
        <w:t>Observer</w:t>
      </w:r>
      <w:r>
        <w:rPr>
          <w:rFonts w:ascii="Arial" w:cs="Arial" w:eastAsia="Arial" w:hAnsi="Arial"/>
          <w:sz w:val="15"/>
          <w:szCs w:val="15"/>
          <w:color w:val="auto"/>
        </w:rPr>
        <w:t xml:space="preserve">”). The Company shall use reasonable efforts to (a) give Magna Management, LLC notice of all such meetings, at the same time as furnished to the directors, (b) provide to such Board Observer all notices, documents and information furnished to the directors, whether at or in anticipation of a meeting, an action by written consent or otherwise, at the same time furnished to such directors, (c) notify the Board Observer and permit such Board Observer to participate by telephone in, emergency meetings of the Board, and (d) provide the Board Observer copies of the minutes of all such meetings at the time such minutes are furnished to the members of the Board;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Board shall be entitled to exclude the Board Observer from (i) all or any portion of any executive session or (ii) all or any portion of any meeting to the extent the failure to exclude would, in the Board’s good faith determination, (A) adversely affect the attorney-client privilege between Buyer, the Company or any of its Subsidiaries and their respective counsel, (B) adversely affect Buyer, the Company or any of its Affiliates under governmental regulations or other applicable Law or Contract, or (C) result in a conflict of interest.</w:t>
      </w:r>
    </w:p>
    <w:p>
      <w:pPr>
        <w:spacing w:after="0" w:line="158" w:lineRule="exact"/>
        <w:rPr>
          <w:rFonts w:ascii="Arial" w:cs="Arial" w:eastAsia="Arial" w:hAnsi="Arial"/>
          <w:sz w:val="15"/>
          <w:szCs w:val="15"/>
          <w:color w:val="auto"/>
        </w:rPr>
      </w:pPr>
    </w:p>
    <w:p>
      <w:pPr>
        <w:jc w:val="both"/>
        <w:ind w:left="820" w:firstLine="599"/>
        <w:spacing w:after="0" w:line="254" w:lineRule="auto"/>
        <w:tabs>
          <w:tab w:leader="none" w:pos="2013" w:val="left"/>
        </w:tabs>
        <w:numPr>
          <w:ilvl w:val="1"/>
          <w:numId w:val="15"/>
        </w:numPr>
        <w:rPr>
          <w:rFonts w:ascii="Arial" w:cs="Arial" w:eastAsia="Arial" w:hAnsi="Arial"/>
          <w:sz w:val="17"/>
          <w:szCs w:val="17"/>
          <w:color w:val="010000"/>
        </w:rPr>
      </w:pPr>
      <w:r>
        <w:rPr>
          <w:rFonts w:ascii="Arial" w:cs="Arial" w:eastAsia="Arial" w:hAnsi="Arial"/>
          <w:sz w:val="17"/>
          <w:szCs w:val="17"/>
          <w:color w:val="auto"/>
        </w:rPr>
        <w:t>From and after the Closing and until such time as PIH or its Affiliates cease to hold at least twenty-five percent (25%) of the issued and outstanding Common Stock in the aggregate, Buyer shall take all necessary action to cause two (2) individuals designated in writing by PIH to be nominated and elected as directors of the Board.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III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REPRESENTATIONS AND WARRANTIES OF SELLERS</w:t>
      </w:r>
    </w:p>
    <w:p>
      <w:pPr>
        <w:spacing w:after="0" w:line="203" w:lineRule="exact"/>
        <w:rPr>
          <w:sz w:val="20"/>
          <w:szCs w:val="20"/>
          <w:color w:val="auto"/>
        </w:rPr>
      </w:pPr>
    </w:p>
    <w:p>
      <w:pPr>
        <w:ind w:firstLine="598"/>
        <w:spacing w:after="0" w:line="264" w:lineRule="auto"/>
        <w:rPr>
          <w:sz w:val="20"/>
          <w:szCs w:val="20"/>
          <w:color w:val="auto"/>
        </w:rPr>
      </w:pPr>
      <w:r>
        <w:rPr>
          <w:rFonts w:ascii="Arial" w:cs="Arial" w:eastAsia="Arial" w:hAnsi="Arial"/>
          <w:sz w:val="17"/>
          <w:szCs w:val="17"/>
          <w:color w:val="auto"/>
        </w:rPr>
        <w:t xml:space="preserve">Except as set forth in the Disclosure Letter, Sellers represent and warrant to Buyer that all of the statements contained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are true as of the date hereof or, if made as of a specified date, as of such date.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26" w:name="page27"/>
    <w:bookmarkEnd w:id="26"/>
    <w:p>
      <w:pPr>
        <w:jc w:val="both"/>
        <w:ind w:firstLine="1195"/>
        <w:spacing w:after="0" w:line="248" w:lineRule="auto"/>
        <w:rPr>
          <w:sz w:val="20"/>
          <w:szCs w:val="20"/>
          <w:color w:val="auto"/>
        </w:rPr>
      </w:pPr>
      <w:r>
        <w:rPr>
          <w:rFonts w:ascii="Arial" w:cs="Arial" w:eastAsia="Arial" w:hAnsi="Arial"/>
          <w:sz w:val="17"/>
          <w:szCs w:val="17"/>
          <w:color w:val="010000"/>
        </w:rPr>
        <w:t xml:space="preserve">Section 3.01 </w:t>
      </w:r>
      <w:r>
        <w:rPr>
          <w:rFonts w:ascii="Arial" w:cs="Arial" w:eastAsia="Arial" w:hAnsi="Arial"/>
          <w:sz w:val="17"/>
          <w:szCs w:val="17"/>
          <w:u w:val="single" w:color="auto"/>
          <w:color w:val="000000"/>
        </w:rPr>
        <w:t>Organization and Good Standing</w:t>
      </w:r>
      <w:r>
        <w:rPr>
          <w:rFonts w:ascii="Arial" w:cs="Arial" w:eastAsia="Arial" w:hAnsi="Arial"/>
          <w:sz w:val="17"/>
          <w:szCs w:val="17"/>
          <w:color w:val="000000"/>
        </w:rPr>
        <w:t>. Each of Sellers, the Company and its Subsidiaries is a legal entity validly existing and in good standing</w:t>
      </w:r>
      <w:r>
        <w:rPr>
          <w:rFonts w:ascii="Arial" w:cs="Arial" w:eastAsia="Arial" w:hAnsi="Arial"/>
          <w:sz w:val="17"/>
          <w:szCs w:val="17"/>
          <w:color w:val="010000"/>
        </w:rPr>
        <w:t xml:space="preserve"> </w:t>
      </w:r>
      <w:r>
        <w:rPr>
          <w:rFonts w:ascii="Arial" w:cs="Arial" w:eastAsia="Arial" w:hAnsi="Arial"/>
          <w:sz w:val="17"/>
          <w:szCs w:val="17"/>
          <w:color w:val="000000"/>
        </w:rPr>
        <w:t>under the laws of the jurisdiction of its formation and has all requisite power and authority to own, lease and operate its properties and to carry on its business in all material respects as is now being conducted. Each of Sellers, the Company and its Subsidiaries is duly qualified or licensed and (if applicable) in good standing to do business in each jurisdiction in which the property owned, leased or operated by it or the nature of the business conducted by it makes such qualification or licensing necessary, except in such jurisdictions where the failure to be so duly qualified or licensed and in good standing would not reasonably be expected to have, individually or in the aggregate, a Material Adverse Effect.</w:t>
      </w:r>
    </w:p>
    <w:p>
      <w:pPr>
        <w:spacing w:after="0" w:line="182" w:lineRule="exact"/>
        <w:rPr>
          <w:sz w:val="20"/>
          <w:szCs w:val="20"/>
          <w:color w:val="auto"/>
        </w:rPr>
      </w:pPr>
    </w:p>
    <w:p>
      <w:pPr>
        <w:jc w:val="both"/>
        <w:ind w:firstLine="1195"/>
        <w:spacing w:after="0" w:line="283" w:lineRule="auto"/>
        <w:rPr>
          <w:sz w:val="20"/>
          <w:szCs w:val="20"/>
          <w:color w:val="auto"/>
        </w:rPr>
      </w:pPr>
      <w:r>
        <w:rPr>
          <w:rFonts w:ascii="Arial" w:cs="Arial" w:eastAsia="Arial" w:hAnsi="Arial"/>
          <w:sz w:val="15"/>
          <w:szCs w:val="15"/>
          <w:color w:val="010000"/>
        </w:rPr>
        <w:t xml:space="preserve">Section 3.02 </w:t>
      </w:r>
      <w:r>
        <w:rPr>
          <w:rFonts w:ascii="Arial" w:cs="Arial" w:eastAsia="Arial" w:hAnsi="Arial"/>
          <w:sz w:val="15"/>
          <w:szCs w:val="15"/>
          <w:u w:val="single" w:color="auto"/>
          <w:color w:val="000000"/>
        </w:rPr>
        <w:t>Authorization; Validity of Agreements</w:t>
      </w:r>
      <w:r>
        <w:rPr>
          <w:rFonts w:ascii="Arial" w:cs="Arial" w:eastAsia="Arial" w:hAnsi="Arial"/>
          <w:sz w:val="15"/>
          <w:szCs w:val="15"/>
          <w:color w:val="000000"/>
        </w:rPr>
        <w:t>. Each Seller has the requisite power and authority to execute and deliver, and perform its obligations</w:t>
      </w:r>
      <w:r>
        <w:rPr>
          <w:rFonts w:ascii="Arial" w:cs="Arial" w:eastAsia="Arial" w:hAnsi="Arial"/>
          <w:sz w:val="15"/>
          <w:szCs w:val="15"/>
          <w:color w:val="010000"/>
        </w:rPr>
        <w:t xml:space="preserve"> </w:t>
      </w:r>
      <w:r>
        <w:rPr>
          <w:rFonts w:ascii="Arial" w:cs="Arial" w:eastAsia="Arial" w:hAnsi="Arial"/>
          <w:sz w:val="15"/>
          <w:szCs w:val="15"/>
          <w:color w:val="000000"/>
        </w:rPr>
        <w:t>under, the Transaction Documents to which it is specified to be a party and to consummate the Contemplated Transactions thereunder. The execution, delivery and performance by such Seller of the Transaction Documents to which it is specified to be a party, and the consummation by such Seller of the Contemplated Transactions thereunder, have been duly authorized by such Seller, and no other company proceedings on the part of such Seller are necessary to authorize such Seller’s execution, delivery and performance of any Transaction Document to which it is specified to be a party or the consummation by such Seller of the Contemplated Transactions thereunder. This Agreement has been duly executed and delivered by each Seller. Assuming the due and valid authorization, execution and delivery of this Agreement by the other Parties hereto, this Agreement constitutes a legal, valid and binding obligation of each Seller, enforceable against such Seller in accordance with its terms, subject to the Bankruptcy and Equity Exclusion. Assuming the due and valid authorization, execution and delivery thereof by each other party thereto, each other Transaction Document to which each Seller is specified to be a party (when executed and delivered by such Seller) shall constitute a legal, valid and binding obligation of such Seller, enforceable against such Seller in accordance with its terms, subject to the Bankruptcy and Equity Exclusion.</w:t>
      </w:r>
    </w:p>
    <w:p>
      <w:pPr>
        <w:spacing w:after="0" w:line="157" w:lineRule="exact"/>
        <w:rPr>
          <w:sz w:val="20"/>
          <w:szCs w:val="20"/>
          <w:color w:val="auto"/>
        </w:rPr>
      </w:pPr>
    </w:p>
    <w:p>
      <w:pPr>
        <w:ind w:right="100" w:firstLine="1195"/>
        <w:spacing w:after="0" w:line="284" w:lineRule="auto"/>
        <w:rPr>
          <w:sz w:val="20"/>
          <w:szCs w:val="20"/>
          <w:color w:val="auto"/>
        </w:rPr>
      </w:pPr>
      <w:r>
        <w:rPr>
          <w:rFonts w:ascii="Arial" w:cs="Arial" w:eastAsia="Arial" w:hAnsi="Arial"/>
          <w:sz w:val="15"/>
          <w:szCs w:val="15"/>
          <w:color w:val="010000"/>
        </w:rPr>
        <w:t xml:space="preserve">Section 3.03 </w:t>
      </w:r>
      <w:r>
        <w:rPr>
          <w:rFonts w:ascii="Arial" w:cs="Arial" w:eastAsia="Arial" w:hAnsi="Arial"/>
          <w:sz w:val="15"/>
          <w:szCs w:val="15"/>
          <w:u w:val="single" w:color="auto"/>
          <w:color w:val="000000"/>
        </w:rPr>
        <w:t>Consents and Approvals; No Violations</w:t>
      </w:r>
      <w:r>
        <w:rPr>
          <w:rFonts w:ascii="Arial" w:cs="Arial" w:eastAsia="Arial" w:hAnsi="Arial"/>
          <w:sz w:val="15"/>
          <w:szCs w:val="15"/>
          <w:color w:val="000000"/>
        </w:rPr>
        <w:t>. Except as listed on Section 3.03 of the Disclosure Letter, neither the execution, delivery or</w:t>
      </w:r>
      <w:r>
        <w:rPr>
          <w:rFonts w:ascii="Arial" w:cs="Arial" w:eastAsia="Arial" w:hAnsi="Arial"/>
          <w:sz w:val="15"/>
          <w:szCs w:val="15"/>
          <w:color w:val="010000"/>
        </w:rPr>
        <w:t xml:space="preserve"> </w:t>
      </w:r>
      <w:r>
        <w:rPr>
          <w:rFonts w:ascii="Arial" w:cs="Arial" w:eastAsia="Arial" w:hAnsi="Arial"/>
          <w:sz w:val="15"/>
          <w:szCs w:val="15"/>
          <w:color w:val="000000"/>
        </w:rPr>
        <w:t xml:space="preserve">performance by each Seller of any Transaction Document to which it is specified to be a party, nor the consummation by such Seller of the Contemplated Transactions thereunder, will (a) conflict with or violate any provision of any Organizational Documents of any Seller, the Company or any of its Subsidiaries; (b) result in a breach of, or constitute (with or without due notice or lapse of time or both) a default or give rise to any right of termination, cancellation or acceleration under, any of the terms, conditions or provisions of any Material Contract; (c) violate any material Laws applicable to any Seller, the Company or any of its Subsidiaries or any of the material properties or assets of the Company or any of its Subsidiaries; (d) require on the part of any Seller, the Company or any of its Subsidiaries any filing or registration with, notification to, or authorization, consent or approval of, any Governmental Authority or Card Association; or (e)result in the creation or imposition of any Lien (other than Permitted Liens) on any assets or properties of any Seller, the Company or any of its Subsidiaries, except, in the cases of clauses (b) through (e) of this </w:t>
      </w:r>
      <w:r>
        <w:rPr>
          <w:rFonts w:ascii="Arial" w:cs="Arial" w:eastAsia="Arial" w:hAnsi="Arial"/>
          <w:sz w:val="15"/>
          <w:szCs w:val="15"/>
          <w:u w:val="single" w:color="auto"/>
          <w:color w:val="000000"/>
        </w:rPr>
        <w:t>Section 3.03</w:t>
      </w:r>
      <w:r>
        <w:rPr>
          <w:rFonts w:ascii="Arial" w:cs="Arial" w:eastAsia="Arial" w:hAnsi="Arial"/>
          <w:sz w:val="15"/>
          <w:szCs w:val="15"/>
          <w:color w:val="000000"/>
        </w:rPr>
        <w:t>, as would not reasonably be expected to have, individually or in the aggregate, a Material Adverse Effect.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27" w:name="page28"/>
    <w:bookmarkEnd w:id="27"/>
    <w:p>
      <w:pPr>
        <w:ind w:left="1200"/>
        <w:spacing w:after="0"/>
        <w:rPr>
          <w:sz w:val="20"/>
          <w:szCs w:val="20"/>
          <w:color w:val="auto"/>
        </w:rPr>
      </w:pPr>
      <w:r>
        <w:rPr>
          <w:rFonts w:ascii="Arial" w:cs="Arial" w:eastAsia="Arial" w:hAnsi="Arial"/>
          <w:sz w:val="17"/>
          <w:szCs w:val="17"/>
          <w:color w:val="010000"/>
        </w:rPr>
        <w:t xml:space="preserve">Section 3.04 </w:t>
      </w:r>
      <w:r>
        <w:rPr>
          <w:rFonts w:ascii="Arial" w:cs="Arial" w:eastAsia="Arial" w:hAnsi="Arial"/>
          <w:sz w:val="17"/>
          <w:szCs w:val="17"/>
          <w:u w:val="single" w:color="auto"/>
          <w:color w:val="000000"/>
        </w:rPr>
        <w:t>Capitalization and Ownership</w:t>
      </w:r>
      <w:r>
        <w:rPr>
          <w:rFonts w:ascii="Arial" w:cs="Arial" w:eastAsia="Arial" w:hAnsi="Arial"/>
          <w:sz w:val="17"/>
          <w:szCs w:val="17"/>
          <w:color w:val="000000"/>
        </w:rPr>
        <w:t>.</w:t>
      </w:r>
    </w:p>
    <w:p>
      <w:pPr>
        <w:spacing w:after="0" w:line="203" w:lineRule="exact"/>
        <w:rPr>
          <w:sz w:val="20"/>
          <w:szCs w:val="20"/>
          <w:color w:val="auto"/>
        </w:rPr>
      </w:pPr>
    </w:p>
    <w:p>
      <w:pPr>
        <w:jc w:val="both"/>
        <w:ind w:left="820" w:firstLine="599"/>
        <w:spacing w:after="0" w:line="281" w:lineRule="auto"/>
        <w:tabs>
          <w:tab w:leader="none" w:pos="2029" w:val="left"/>
        </w:tabs>
        <w:numPr>
          <w:ilvl w:val="1"/>
          <w:numId w:val="16"/>
        </w:numPr>
        <w:rPr>
          <w:rFonts w:ascii="Arial" w:cs="Arial" w:eastAsia="Arial" w:hAnsi="Arial"/>
          <w:sz w:val="15"/>
          <w:szCs w:val="15"/>
          <w:color w:val="010000"/>
        </w:rPr>
      </w:pPr>
      <w:r>
        <w:rPr>
          <w:rFonts w:ascii="Arial" w:cs="Arial" w:eastAsia="Arial" w:hAnsi="Arial"/>
          <w:sz w:val="15"/>
          <w:szCs w:val="15"/>
          <w:color w:val="auto"/>
        </w:rPr>
        <w:t>Section 3.04(a) of the Disclosure Letter sets forth the following: the total number of issued and outstanding Equity Interests of the Company, the names of the holders of such issued and outstanding Equity Interests, and the number or percentage interests of such Equity Interests held by each such holder (the “</w:t>
      </w:r>
      <w:r>
        <w:rPr>
          <w:rFonts w:ascii="Arial" w:cs="Arial" w:eastAsia="Arial" w:hAnsi="Arial"/>
          <w:sz w:val="15"/>
          <w:szCs w:val="15"/>
          <w:u w:val="single" w:color="auto"/>
          <w:color w:val="auto"/>
        </w:rPr>
        <w:t>Company Interests</w:t>
      </w:r>
      <w:r>
        <w:rPr>
          <w:rFonts w:ascii="Arial" w:cs="Arial" w:eastAsia="Arial" w:hAnsi="Arial"/>
          <w:sz w:val="15"/>
          <w:szCs w:val="15"/>
          <w:color w:val="auto"/>
        </w:rPr>
        <w:t>”). Except for (i) this Agreement and (ii) the Organizational Documents of Sellers and the Company, the Company has not (A) granted any outstanding options, warrants, rights or other securities convertible into, or exchangeable or exercisable for, any Equity Interests of the Company;</w:t>
      </w:r>
    </w:p>
    <w:p>
      <w:pPr>
        <w:spacing w:after="0" w:line="1" w:lineRule="exact"/>
        <w:rPr>
          <w:rFonts w:ascii="Arial" w:cs="Arial" w:eastAsia="Arial" w:hAnsi="Arial"/>
          <w:sz w:val="15"/>
          <w:szCs w:val="15"/>
          <w:color w:val="010000"/>
        </w:rPr>
      </w:pPr>
    </w:p>
    <w:p>
      <w:pPr>
        <w:jc w:val="both"/>
        <w:ind w:left="820" w:firstLine="1"/>
        <w:spacing w:after="0" w:line="269" w:lineRule="auto"/>
        <w:tabs>
          <w:tab w:leader="none" w:pos="1087"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entered into any Contracts relating to the issuance, sale, transfer, voting or registration of any Equity Interests of the Company, or options, warrants, rights or other securities convertible into, or exchangeable or exercisable for, any of the foregoing; or (C) granted or authorized any stock appreciation, phantom stock, profit participation or similar rights (in each case as to which the Company has any outstanding liabilities or obligations).</w:t>
      </w:r>
    </w:p>
    <w:p>
      <w:pPr>
        <w:spacing w:after="0" w:line="165" w:lineRule="exact"/>
        <w:rPr>
          <w:rFonts w:ascii="Arial" w:cs="Arial" w:eastAsia="Arial" w:hAnsi="Arial"/>
          <w:sz w:val="16"/>
          <w:szCs w:val="16"/>
          <w:color w:val="auto"/>
        </w:rPr>
      </w:pPr>
    </w:p>
    <w:p>
      <w:pPr>
        <w:jc w:val="both"/>
        <w:ind w:left="820" w:firstLine="599"/>
        <w:spacing w:after="0" w:line="281" w:lineRule="auto"/>
        <w:tabs>
          <w:tab w:leader="none" w:pos="2038" w:val="left"/>
        </w:tabs>
        <w:numPr>
          <w:ilvl w:val="1"/>
          <w:numId w:val="17"/>
        </w:numPr>
        <w:rPr>
          <w:rFonts w:ascii="Arial" w:cs="Arial" w:eastAsia="Arial" w:hAnsi="Arial"/>
          <w:sz w:val="15"/>
          <w:szCs w:val="15"/>
          <w:color w:val="010000"/>
        </w:rPr>
      </w:pPr>
      <w:r>
        <w:rPr>
          <w:rFonts w:ascii="Arial" w:cs="Arial" w:eastAsia="Arial" w:hAnsi="Arial"/>
          <w:sz w:val="15"/>
          <w:szCs w:val="15"/>
          <w:color w:val="auto"/>
        </w:rPr>
        <w:t>Section 3.04(b) of the Disclosure Letter sets forth, as of the date hereof, all of the Company’s Subsidiaries, and, for each such Subsidiary, the jurisdiction of incorporation or formation and the number or percentage interests of all of the issued and outstanding Equity Interests thereof. All outstanding Equity Interests of each of the Company’s Subsidiaries are duly authorized and validly issued and, if such Subsidiary is a corporation, are fully paid and non-assessable. Except for (i) this Agreement and (ii) the Organizational Documents of the Company’s Subsidiaries, none of the Subsidiaries of the Company has</w:t>
      </w:r>
    </w:p>
    <w:p>
      <w:pPr>
        <w:spacing w:after="0" w:line="1" w:lineRule="exact"/>
        <w:rPr>
          <w:rFonts w:ascii="Arial" w:cs="Arial" w:eastAsia="Arial" w:hAnsi="Arial"/>
          <w:sz w:val="15"/>
          <w:szCs w:val="15"/>
          <w:color w:val="010000"/>
        </w:rPr>
      </w:pPr>
    </w:p>
    <w:p>
      <w:pPr>
        <w:jc w:val="both"/>
        <w:ind w:left="820" w:firstLine="1"/>
        <w:spacing w:after="0" w:line="245" w:lineRule="auto"/>
        <w:tabs>
          <w:tab w:leader="none" w:pos="1094" w:val="left"/>
        </w:tabs>
        <w:numPr>
          <w:ilvl w:val="0"/>
          <w:numId w:val="18"/>
        </w:numPr>
        <w:rPr>
          <w:rFonts w:ascii="Arial" w:cs="Arial" w:eastAsia="Arial" w:hAnsi="Arial"/>
          <w:sz w:val="17"/>
          <w:szCs w:val="17"/>
          <w:color w:val="auto"/>
        </w:rPr>
      </w:pPr>
      <w:r>
        <w:rPr>
          <w:rFonts w:ascii="Arial" w:cs="Arial" w:eastAsia="Arial" w:hAnsi="Arial"/>
          <w:sz w:val="17"/>
          <w:szCs w:val="17"/>
          <w:color w:val="auto"/>
        </w:rPr>
        <w:t>granted any outstanding options, warrants, rights or other securities convertible into, or exchangeable or exercisable for, Equity Interests of a Subsidiary of the Company; (B) entered into any Contracts relating to the issuance, sale, transfer, voting or registration of Equity Interests of a Subsidiary of the Company, or options, warrants, rights or other securities convertible into, or exchangeable or exercisable for, any of the foregoing; or (C) granted or authorized any stock appreciation, phantom stock, profit participation or similar rights (in each case, as to which the Company or any of its Subsidiaries has any outstanding liabilities or obligations).</w:t>
      </w:r>
    </w:p>
    <w:p>
      <w:pPr>
        <w:spacing w:after="0" w:line="184" w:lineRule="exact"/>
        <w:rPr>
          <w:rFonts w:ascii="Arial" w:cs="Arial" w:eastAsia="Arial" w:hAnsi="Arial"/>
          <w:sz w:val="17"/>
          <w:szCs w:val="17"/>
          <w:color w:val="auto"/>
        </w:rPr>
      </w:pPr>
    </w:p>
    <w:p>
      <w:pPr>
        <w:jc w:val="both"/>
        <w:ind w:left="820" w:firstLine="599"/>
        <w:spacing w:after="0" w:line="254" w:lineRule="auto"/>
        <w:tabs>
          <w:tab w:leader="none" w:pos="2042" w:val="left"/>
        </w:tabs>
        <w:numPr>
          <w:ilvl w:val="1"/>
          <w:numId w:val="18"/>
        </w:numPr>
        <w:rPr>
          <w:rFonts w:ascii="Arial" w:cs="Arial" w:eastAsia="Arial" w:hAnsi="Arial"/>
          <w:sz w:val="17"/>
          <w:szCs w:val="17"/>
          <w:color w:val="010000"/>
        </w:rPr>
      </w:pPr>
      <w:r>
        <w:rPr>
          <w:rFonts w:ascii="Arial" w:cs="Arial" w:eastAsia="Arial" w:hAnsi="Arial"/>
          <w:sz w:val="17"/>
          <w:szCs w:val="17"/>
          <w:color w:val="auto"/>
        </w:rPr>
        <w:t xml:space="preserve">Each Seller is the holder of the Acquired Interests set forth across such Seller’s name on Section 3.04(a) of the Disclosure Letter, and, at the Closing, assuming the performance by Buyer of its obligations under </w:t>
      </w:r>
      <w:r>
        <w:rPr>
          <w:rFonts w:ascii="Arial" w:cs="Arial" w:eastAsia="Arial" w:hAnsi="Arial"/>
          <w:sz w:val="17"/>
          <w:szCs w:val="17"/>
          <w:u w:val="single" w:color="auto"/>
          <w:color w:val="auto"/>
        </w:rPr>
        <w:t>Section 2.05</w:t>
      </w:r>
      <w:r>
        <w:rPr>
          <w:rFonts w:ascii="Arial" w:cs="Arial" w:eastAsia="Arial" w:hAnsi="Arial"/>
          <w:sz w:val="17"/>
          <w:szCs w:val="17"/>
          <w:color w:val="auto"/>
        </w:rPr>
        <w:t>, the Acquired Interests will be free and clear of all Liens (other than Permitted Liens).</w:t>
      </w:r>
    </w:p>
    <w:p>
      <w:pPr>
        <w:spacing w:after="0" w:line="176" w:lineRule="exact"/>
        <w:rPr>
          <w:sz w:val="20"/>
          <w:szCs w:val="20"/>
          <w:color w:val="auto"/>
        </w:rPr>
      </w:pPr>
    </w:p>
    <w:p>
      <w:pPr>
        <w:jc w:val="both"/>
        <w:ind w:firstLine="1195"/>
        <w:spacing w:after="0" w:line="282" w:lineRule="auto"/>
        <w:rPr>
          <w:sz w:val="20"/>
          <w:szCs w:val="20"/>
          <w:color w:val="auto"/>
        </w:rPr>
      </w:pPr>
      <w:r>
        <w:rPr>
          <w:rFonts w:ascii="Arial" w:cs="Arial" w:eastAsia="Arial" w:hAnsi="Arial"/>
          <w:sz w:val="15"/>
          <w:szCs w:val="15"/>
          <w:color w:val="010000"/>
        </w:rPr>
        <w:t xml:space="preserve">Section 3.05 </w:t>
      </w:r>
      <w:r>
        <w:rPr>
          <w:rFonts w:ascii="Arial" w:cs="Arial" w:eastAsia="Arial" w:hAnsi="Arial"/>
          <w:sz w:val="15"/>
          <w:szCs w:val="15"/>
          <w:u w:val="single" w:color="auto"/>
          <w:color w:val="000000"/>
        </w:rPr>
        <w:t>Financial Statements</w:t>
      </w:r>
      <w:r>
        <w:rPr>
          <w:rFonts w:ascii="Arial" w:cs="Arial" w:eastAsia="Arial" w:hAnsi="Arial"/>
          <w:sz w:val="15"/>
          <w:szCs w:val="15"/>
          <w:color w:val="000000"/>
        </w:rPr>
        <w:t>. Section 3.05 of the Disclosure Letter sets forth the following financial statements (the “</w:t>
      </w:r>
      <w:r>
        <w:rPr>
          <w:rFonts w:ascii="Arial" w:cs="Arial" w:eastAsia="Arial" w:hAnsi="Arial"/>
          <w:sz w:val="15"/>
          <w:szCs w:val="15"/>
          <w:u w:val="single" w:color="auto"/>
          <w:color w:val="000000"/>
        </w:rPr>
        <w:t>Financial Statements</w:t>
      </w:r>
      <w:r>
        <w:rPr>
          <w:rFonts w:ascii="Arial" w:cs="Arial" w:eastAsia="Arial" w:hAnsi="Arial"/>
          <w:sz w:val="15"/>
          <w:szCs w:val="15"/>
          <w:color w:val="000000"/>
        </w:rPr>
        <w:t>”): (a) the</w:t>
      </w:r>
      <w:r>
        <w:rPr>
          <w:rFonts w:ascii="Arial" w:cs="Arial" w:eastAsia="Arial" w:hAnsi="Arial"/>
          <w:sz w:val="15"/>
          <w:szCs w:val="15"/>
          <w:color w:val="010000"/>
        </w:rPr>
        <w:t xml:space="preserve"> </w:t>
      </w:r>
      <w:r>
        <w:rPr>
          <w:rFonts w:ascii="Arial" w:cs="Arial" w:eastAsia="Arial" w:hAnsi="Arial"/>
          <w:sz w:val="15"/>
          <w:szCs w:val="15"/>
          <w:color w:val="000000"/>
        </w:rPr>
        <w:t>consolidated audited consolidated balance sheet of the Company and its Subsidiaries as of December 31, 2016 and the related statements of operations, stockholder’s equity and cash flows of the Company for the year then ended, including any related notes, schedules and other supplementary information attached thereto, (b) the consolidated audited consolidated balance sheet of the Company and its Subsidiaries as of December 31, 2015 and the related statements of operations, stockholder’s equity and cash flows of the Company for the year then ended, including any related notes, schedules and other supplementary information attached thereto, and (c) the consolidated unaudited balance sheet of the Company and its Subsidiaries as of September 30, 2017 (such balance sheet, the “</w:t>
      </w:r>
      <w:r>
        <w:rPr>
          <w:rFonts w:ascii="Arial" w:cs="Arial" w:eastAsia="Arial" w:hAnsi="Arial"/>
          <w:sz w:val="15"/>
          <w:szCs w:val="15"/>
          <w:u w:val="single" w:color="auto"/>
          <w:color w:val="000000"/>
        </w:rPr>
        <w:t>Current Balance Sheet</w:t>
      </w:r>
      <w:r>
        <w:rPr>
          <w:rFonts w:ascii="Arial" w:cs="Arial" w:eastAsia="Arial" w:hAnsi="Arial"/>
          <w:sz w:val="15"/>
          <w:szCs w:val="15"/>
          <w:color w:val="000000"/>
        </w:rPr>
        <w:t>”; and such date, the “</w:t>
      </w:r>
      <w:r>
        <w:rPr>
          <w:rFonts w:ascii="Arial" w:cs="Arial" w:eastAsia="Arial" w:hAnsi="Arial"/>
          <w:sz w:val="15"/>
          <w:szCs w:val="15"/>
          <w:u w:val="single" w:color="auto"/>
          <w:color w:val="000000"/>
        </w:rPr>
        <w:t>Balance Sheet Date</w:t>
      </w:r>
      <w:r>
        <w:rPr>
          <w:rFonts w:ascii="Arial" w:cs="Arial" w:eastAsia="Arial" w:hAnsi="Arial"/>
          <w:sz w:val="15"/>
          <w:szCs w:val="15"/>
          <w:color w:val="000000"/>
        </w:rPr>
        <w:t>”) and the related statements of operations, stockholder’s equity and cash flows of the Company for the period covered thereby. Except as set forth in the notes (if any) thereto, the Financial Statements present fairly, in all material respects, the consolidated financial position of the Company as of the respective dates referred to therein, and the consolidated results of operations and cash flows of the Company, and, the consolidated stockholder’s equity of the Company, for the respective periods referred to therein, in accordance with GAAP consistently applied in the periods covered thereby, except, in the case of the interim and/or unaudited Financial Statements, for the absence of footnotes and subject to normal year-end adjustments.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28" w:name="page29"/>
    <w:bookmarkEnd w:id="28"/>
    <w:p>
      <w:pPr>
        <w:jc w:val="both"/>
        <w:ind w:firstLine="1195"/>
        <w:spacing w:after="0" w:line="286" w:lineRule="auto"/>
        <w:rPr>
          <w:sz w:val="20"/>
          <w:szCs w:val="20"/>
          <w:color w:val="auto"/>
        </w:rPr>
      </w:pPr>
      <w:r>
        <w:rPr>
          <w:rFonts w:ascii="Arial" w:cs="Arial" w:eastAsia="Arial" w:hAnsi="Arial"/>
          <w:sz w:val="15"/>
          <w:szCs w:val="15"/>
          <w:color w:val="010000"/>
        </w:rPr>
        <w:t xml:space="preserve">Section 3.06 </w:t>
      </w:r>
      <w:r>
        <w:rPr>
          <w:rFonts w:ascii="Arial" w:cs="Arial" w:eastAsia="Arial" w:hAnsi="Arial"/>
          <w:sz w:val="15"/>
          <w:szCs w:val="15"/>
          <w:u w:val="single" w:color="auto"/>
          <w:color w:val="000000"/>
        </w:rPr>
        <w:t>No Undisclosed Liabilities</w:t>
      </w:r>
      <w:r>
        <w:rPr>
          <w:rFonts w:ascii="Arial" w:cs="Arial" w:eastAsia="Arial" w:hAnsi="Arial"/>
          <w:sz w:val="15"/>
          <w:szCs w:val="15"/>
          <w:color w:val="000000"/>
        </w:rPr>
        <w:t>. Except (a) as set forth in the Current Balance Sheet; (b) for liabilities and obligations incurred by the Company</w:t>
      </w:r>
      <w:r>
        <w:rPr>
          <w:rFonts w:ascii="Arial" w:cs="Arial" w:eastAsia="Arial" w:hAnsi="Arial"/>
          <w:sz w:val="15"/>
          <w:szCs w:val="15"/>
          <w:color w:val="010000"/>
        </w:rPr>
        <w:t xml:space="preserve"> </w:t>
      </w:r>
      <w:r>
        <w:rPr>
          <w:rFonts w:ascii="Arial" w:cs="Arial" w:eastAsia="Arial" w:hAnsi="Arial"/>
          <w:sz w:val="15"/>
          <w:szCs w:val="15"/>
          <w:color w:val="000000"/>
        </w:rPr>
        <w:t xml:space="preserve">or any of its Subsidiaries in the Ordinary Course of Business consistent with past practices, judgments and estimation methodologies of the Company since the Balance Sheet Date; (c) for liabilities incurred in connection with this Agreement, the other Transaction Documents or the Contemplated Transactions; (d) for liabilities and obligations that would not be reasonably expected to have, individually or in the aggregate, a Material Adverse Effect; and (e) for liabilities and obligations incurred at the request or with the consent of Buyer, neither the Company nor any of its Subsidiaries has any liabilities of the kind required to be disclosed on a balance sheet prepared in accordance with GAAP. Notwithstanding anything to the contrary in this </w:t>
      </w:r>
      <w:r>
        <w:rPr>
          <w:rFonts w:ascii="Arial" w:cs="Arial" w:eastAsia="Arial" w:hAnsi="Arial"/>
          <w:sz w:val="15"/>
          <w:szCs w:val="15"/>
          <w:u w:val="single" w:color="auto"/>
          <w:color w:val="000000"/>
        </w:rPr>
        <w:t>Article III</w:t>
      </w:r>
      <w:r>
        <w:rPr>
          <w:rFonts w:ascii="Arial" w:cs="Arial" w:eastAsia="Arial" w:hAnsi="Arial"/>
          <w:sz w:val="15"/>
          <w:szCs w:val="15"/>
          <w:color w:val="000000"/>
        </w:rPr>
        <w:t xml:space="preserve">, this </w:t>
      </w:r>
      <w:r>
        <w:rPr>
          <w:rFonts w:ascii="Arial" w:cs="Arial" w:eastAsia="Arial" w:hAnsi="Arial"/>
          <w:sz w:val="15"/>
          <w:szCs w:val="15"/>
          <w:u w:val="single" w:color="auto"/>
          <w:color w:val="000000"/>
        </w:rPr>
        <w:t>Section 3.06</w:t>
      </w:r>
      <w:r>
        <w:rPr>
          <w:rFonts w:ascii="Arial" w:cs="Arial" w:eastAsia="Arial" w:hAnsi="Arial"/>
          <w:sz w:val="15"/>
          <w:szCs w:val="15"/>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5"/>
          <w:szCs w:val="15"/>
          <w:u w:val="single" w:color="auto"/>
          <w:color w:val="000000"/>
        </w:rPr>
        <w:t>Section 3.06</w:t>
      </w:r>
      <w:r>
        <w:rPr>
          <w:rFonts w:ascii="Arial" w:cs="Arial" w:eastAsia="Arial" w:hAnsi="Arial"/>
          <w:sz w:val="15"/>
          <w:szCs w:val="15"/>
          <w:color w:val="000000"/>
        </w:rPr>
        <w:t>.</w:t>
      </w:r>
    </w:p>
    <w:p>
      <w:pPr>
        <w:spacing w:after="0" w:line="155" w:lineRule="exact"/>
        <w:rPr>
          <w:sz w:val="20"/>
          <w:szCs w:val="20"/>
          <w:color w:val="auto"/>
        </w:rPr>
      </w:pPr>
    </w:p>
    <w:p>
      <w:pPr>
        <w:jc w:val="both"/>
        <w:ind w:firstLine="1195"/>
        <w:spacing w:after="0" w:line="251" w:lineRule="auto"/>
        <w:rPr>
          <w:sz w:val="20"/>
          <w:szCs w:val="20"/>
          <w:color w:val="auto"/>
        </w:rPr>
      </w:pPr>
      <w:r>
        <w:rPr>
          <w:rFonts w:ascii="Arial" w:cs="Arial" w:eastAsia="Arial" w:hAnsi="Arial"/>
          <w:sz w:val="17"/>
          <w:szCs w:val="17"/>
          <w:color w:val="010000"/>
        </w:rPr>
        <w:t xml:space="preserve">Section 3.07 </w:t>
      </w:r>
      <w:r>
        <w:rPr>
          <w:rFonts w:ascii="Arial" w:cs="Arial" w:eastAsia="Arial" w:hAnsi="Arial"/>
          <w:sz w:val="17"/>
          <w:szCs w:val="17"/>
          <w:u w:val="single" w:color="auto"/>
          <w:color w:val="000000"/>
        </w:rPr>
        <w:t>Absence of Certain Changes</w:t>
      </w:r>
      <w:r>
        <w:rPr>
          <w:rFonts w:ascii="Arial" w:cs="Arial" w:eastAsia="Arial" w:hAnsi="Arial"/>
          <w:sz w:val="17"/>
          <w:szCs w:val="17"/>
          <w:color w:val="000000"/>
        </w:rPr>
        <w:t>. Except in connection with the Contemplated Transactions, since the Balance Sheet Date through the date</w:t>
      </w:r>
      <w:r>
        <w:rPr>
          <w:rFonts w:ascii="Arial" w:cs="Arial" w:eastAsia="Arial" w:hAnsi="Arial"/>
          <w:sz w:val="17"/>
          <w:szCs w:val="17"/>
          <w:color w:val="010000"/>
        </w:rPr>
        <w:t xml:space="preserve"> </w:t>
      </w:r>
      <w:r>
        <w:rPr>
          <w:rFonts w:ascii="Arial" w:cs="Arial" w:eastAsia="Arial" w:hAnsi="Arial"/>
          <w:sz w:val="17"/>
          <w:szCs w:val="17"/>
          <w:color w:val="000000"/>
        </w:rPr>
        <w:t xml:space="preserve">hereof, (a) the business of the Company and its Subsidiaries has been conducted, in all material respects, in the Ordinary Course of Business; (b) there has not been a Material Adverse Effect; and (c) since the Balance Sheet Date through the date hereof, neither the Company nor any of its Subsidiaries has taken any action that if taken after the date hereof would constitute a violation of </w:t>
      </w:r>
      <w:r>
        <w:rPr>
          <w:rFonts w:ascii="Arial" w:cs="Arial" w:eastAsia="Arial" w:hAnsi="Arial"/>
          <w:sz w:val="17"/>
          <w:szCs w:val="17"/>
          <w:u w:val="single" w:color="auto"/>
          <w:color w:val="000000"/>
        </w:rPr>
        <w:t>Section 5.01</w:t>
      </w:r>
      <w:r>
        <w:rPr>
          <w:rFonts w:ascii="Arial" w:cs="Arial" w:eastAsia="Arial" w:hAnsi="Arial"/>
          <w:sz w:val="17"/>
          <w:szCs w:val="17"/>
          <w:color w:val="000000"/>
        </w:rPr>
        <w:t>.</w:t>
      </w:r>
    </w:p>
    <w:p>
      <w:pPr>
        <w:spacing w:after="0" w:line="178" w:lineRule="exact"/>
        <w:rPr>
          <w:sz w:val="20"/>
          <w:szCs w:val="20"/>
          <w:color w:val="auto"/>
        </w:rPr>
      </w:pPr>
    </w:p>
    <w:p>
      <w:pPr>
        <w:ind w:left="1200"/>
        <w:spacing w:after="0"/>
        <w:rPr>
          <w:sz w:val="20"/>
          <w:szCs w:val="20"/>
          <w:color w:val="auto"/>
        </w:rPr>
      </w:pPr>
      <w:r>
        <w:rPr>
          <w:rFonts w:ascii="Arial" w:cs="Arial" w:eastAsia="Arial" w:hAnsi="Arial"/>
          <w:sz w:val="17"/>
          <w:szCs w:val="17"/>
          <w:color w:val="010000"/>
        </w:rPr>
        <w:t xml:space="preserve">Section 3.08 </w:t>
      </w:r>
      <w:r>
        <w:rPr>
          <w:rFonts w:ascii="Arial" w:cs="Arial" w:eastAsia="Arial" w:hAnsi="Arial"/>
          <w:sz w:val="17"/>
          <w:szCs w:val="17"/>
          <w:u w:val="single" w:color="auto"/>
          <w:color w:val="000000"/>
        </w:rPr>
        <w:t>Real Property</w:t>
      </w:r>
      <w:r>
        <w:rPr>
          <w:rFonts w:ascii="Arial" w:cs="Arial" w:eastAsia="Arial" w:hAnsi="Arial"/>
          <w:sz w:val="17"/>
          <w:szCs w:val="17"/>
          <w:color w:val="000000"/>
        </w:rPr>
        <w:t>.</w:t>
      </w:r>
    </w:p>
    <w:p>
      <w:pPr>
        <w:spacing w:after="0" w:line="203" w:lineRule="exact"/>
        <w:rPr>
          <w:sz w:val="20"/>
          <w:szCs w:val="20"/>
          <w:color w:val="auto"/>
        </w:rPr>
      </w:pPr>
    </w:p>
    <w:p>
      <w:pPr>
        <w:ind w:left="2020" w:hanging="601"/>
        <w:spacing w:after="0"/>
        <w:tabs>
          <w:tab w:leader="none" w:pos="2020" w:val="left"/>
        </w:tabs>
        <w:numPr>
          <w:ilvl w:val="0"/>
          <w:numId w:val="19"/>
        </w:numPr>
        <w:rPr>
          <w:rFonts w:ascii="Arial" w:cs="Arial" w:eastAsia="Arial" w:hAnsi="Arial"/>
          <w:sz w:val="17"/>
          <w:szCs w:val="17"/>
          <w:color w:val="010000"/>
        </w:rPr>
      </w:pPr>
      <w:r>
        <w:rPr>
          <w:rFonts w:ascii="Arial" w:cs="Arial" w:eastAsia="Arial" w:hAnsi="Arial"/>
          <w:sz w:val="17"/>
          <w:szCs w:val="17"/>
          <w:color w:val="auto"/>
        </w:rPr>
        <w:t>Neither the Company nor any of its Subsidiaries owns any real property.</w:t>
      </w:r>
    </w:p>
    <w:p>
      <w:pPr>
        <w:spacing w:after="0" w:line="202" w:lineRule="exact"/>
        <w:rPr>
          <w:rFonts w:ascii="Arial" w:cs="Arial" w:eastAsia="Arial" w:hAnsi="Arial"/>
          <w:sz w:val="17"/>
          <w:szCs w:val="17"/>
          <w:color w:val="010000"/>
        </w:rPr>
      </w:pPr>
    </w:p>
    <w:p>
      <w:pPr>
        <w:jc w:val="both"/>
        <w:ind w:left="820" w:firstLine="599"/>
        <w:spacing w:after="0" w:line="281" w:lineRule="auto"/>
        <w:tabs>
          <w:tab w:leader="none" w:pos="2051" w:val="left"/>
        </w:tabs>
        <w:numPr>
          <w:ilvl w:val="0"/>
          <w:numId w:val="19"/>
        </w:numPr>
        <w:rPr>
          <w:rFonts w:ascii="Arial" w:cs="Arial" w:eastAsia="Arial" w:hAnsi="Arial"/>
          <w:sz w:val="15"/>
          <w:szCs w:val="15"/>
          <w:color w:val="010000"/>
        </w:rPr>
      </w:pPr>
      <w:r>
        <w:rPr>
          <w:rFonts w:ascii="Arial" w:cs="Arial" w:eastAsia="Arial" w:hAnsi="Arial"/>
          <w:sz w:val="15"/>
          <w:szCs w:val="15"/>
          <w:color w:val="auto"/>
        </w:rPr>
        <w:t>Section 3.08(b) of the Disclosure Letter sets forth all material real property leased or subleased by the Company or any of its Subsidiaries as lessee or lessor as of the date hereof (the “</w:t>
      </w:r>
      <w:r>
        <w:rPr>
          <w:rFonts w:ascii="Arial" w:cs="Arial" w:eastAsia="Arial" w:hAnsi="Arial"/>
          <w:sz w:val="15"/>
          <w:szCs w:val="15"/>
          <w:u w:val="single" w:color="auto"/>
          <w:color w:val="auto"/>
        </w:rPr>
        <w:t>Premises</w:t>
      </w:r>
      <w:r>
        <w:rPr>
          <w:rFonts w:ascii="Arial" w:cs="Arial" w:eastAsia="Arial" w:hAnsi="Arial"/>
          <w:sz w:val="15"/>
          <w:szCs w:val="15"/>
          <w:color w:val="auto"/>
        </w:rPr>
        <w:t>”). Sellers have made available to Buyer true, correct and complete copies of all leases relating to the Premises (the “</w:t>
      </w:r>
      <w:r>
        <w:rPr>
          <w:rFonts w:ascii="Arial" w:cs="Arial" w:eastAsia="Arial" w:hAnsi="Arial"/>
          <w:sz w:val="15"/>
          <w:szCs w:val="15"/>
          <w:u w:val="single" w:color="auto"/>
          <w:color w:val="auto"/>
        </w:rPr>
        <w:t>Leases</w:t>
      </w:r>
      <w:r>
        <w:rPr>
          <w:rFonts w:ascii="Arial" w:cs="Arial" w:eastAsia="Arial" w:hAnsi="Arial"/>
          <w:sz w:val="15"/>
          <w:szCs w:val="15"/>
          <w:color w:val="auto"/>
        </w:rPr>
        <w:t>”). Neither the Company nor any of its Subsidiaries has entered into any material sublease or material option granting to any Person (other than the Company or any of its Subsidiaries, as applicable) the right to use or occupy the Premises or any portion thereof or interest therein, other than those entered into in the Ordinary Course of Business or that do not materially or adversely impact the current use of the Premises by the Company or any of its Subsidiaries, as applicable. With respect to each Lease, (i) such Lease is a valid and binding obligation of the Company and its Subsidiaries, in each case, to the extent such Person is a party thereto (collectively, the Company and its Subsidiaries that are a party thereto, the “</w:t>
      </w:r>
      <w:r>
        <w:rPr>
          <w:rFonts w:ascii="Arial" w:cs="Arial" w:eastAsia="Arial" w:hAnsi="Arial"/>
          <w:sz w:val="15"/>
          <w:szCs w:val="15"/>
          <w:u w:val="single" w:color="auto"/>
          <w:color w:val="auto"/>
        </w:rPr>
        <w:t>Company Lease Party</w:t>
      </w:r>
      <w:r>
        <w:rPr>
          <w:rFonts w:ascii="Arial" w:cs="Arial" w:eastAsia="Arial" w:hAnsi="Arial"/>
          <w:sz w:val="15"/>
          <w:szCs w:val="15"/>
          <w:color w:val="auto"/>
        </w:rPr>
        <w:t>”), and, to the Knowledge of Sellers, each other party thereto, and is in full force and effect; (ii) the Company Lease Party is not, and, to the Knowledge of Sellers, all other parties thereto are not, in material breach or material default in any respect under the terms thereof and, to the Knowledge of Sellers, no event has occurred that, with notice or lapse of time or both, would constitute a material breach or material default or permit termination, modification or acceleration thereunder; and (iii) the Company Lease Party has not assigned, transferred, conveyed, mortgaged, or deeded in trust any interest in the leasehold or sub-leasehold of any Lease. None of the Company or any of its Subsidiaries has received any written notice that any Premises is subject to any Order to be sold, condemned, expropriated or otherwise taken by any Governmental Authority, with or without payment of compensation therefor.</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29" w:name="page30"/>
    <w:bookmarkEnd w:id="29"/>
    <w:p>
      <w:pPr>
        <w:jc w:val="both"/>
        <w:ind w:firstLine="1195"/>
        <w:spacing w:after="0" w:line="288" w:lineRule="auto"/>
        <w:rPr>
          <w:sz w:val="20"/>
          <w:szCs w:val="20"/>
          <w:color w:val="auto"/>
        </w:rPr>
      </w:pPr>
      <w:r>
        <w:rPr>
          <w:rFonts w:ascii="Arial" w:cs="Arial" w:eastAsia="Arial" w:hAnsi="Arial"/>
          <w:sz w:val="15"/>
          <w:szCs w:val="15"/>
          <w:color w:val="010000"/>
        </w:rPr>
        <w:t xml:space="preserve">Section 3.09 </w:t>
      </w:r>
      <w:r>
        <w:rPr>
          <w:rFonts w:ascii="Arial" w:cs="Arial" w:eastAsia="Arial" w:hAnsi="Arial"/>
          <w:sz w:val="15"/>
          <w:szCs w:val="15"/>
          <w:u w:val="single" w:color="auto"/>
          <w:color w:val="000000"/>
        </w:rPr>
        <w:t>Proceedings; Orders</w:t>
      </w:r>
      <w:r>
        <w:rPr>
          <w:rFonts w:ascii="Arial" w:cs="Arial" w:eastAsia="Arial" w:hAnsi="Arial"/>
          <w:sz w:val="15"/>
          <w:szCs w:val="15"/>
          <w:color w:val="000000"/>
        </w:rPr>
        <w:t>. As of the date hereof, (a) there are no Proceedings pending or, to the Knowledge of Sellers, threatened, against any</w:t>
      </w:r>
      <w:r>
        <w:rPr>
          <w:rFonts w:ascii="Arial" w:cs="Arial" w:eastAsia="Arial" w:hAnsi="Arial"/>
          <w:sz w:val="15"/>
          <w:szCs w:val="15"/>
          <w:color w:val="010000"/>
        </w:rPr>
        <w:t xml:space="preserve"> </w:t>
      </w:r>
      <w:r>
        <w:rPr>
          <w:rFonts w:ascii="Arial" w:cs="Arial" w:eastAsia="Arial" w:hAnsi="Arial"/>
          <w:sz w:val="15"/>
          <w:szCs w:val="15"/>
          <w:color w:val="000000"/>
        </w:rPr>
        <w:t xml:space="preserve">Seller, the Company or any of its Subsidiaries, nor are there any Orders naming any Seller, the Company or any of its Subsidiaries, except as would not reasonably be expected to have, individually or in the aggregate, a Material Adverse Effect; and (b) there are no material Orders naming any Seller, the Company or any of its Subsidiaries, or by which any Seller, the Company or any of its Subsidiaries is bound, which remain outstanding or unsatisfied, except as would not reasonably be expected to have, individually or in the aggregate, a Material Adverse Effect. Notwithstanding anything to the contrary in this </w:t>
      </w:r>
      <w:r>
        <w:rPr>
          <w:rFonts w:ascii="Arial" w:cs="Arial" w:eastAsia="Arial" w:hAnsi="Arial"/>
          <w:sz w:val="15"/>
          <w:szCs w:val="15"/>
          <w:u w:val="single" w:color="auto"/>
          <w:color w:val="000000"/>
        </w:rPr>
        <w:t>Article III</w:t>
      </w:r>
      <w:r>
        <w:rPr>
          <w:rFonts w:ascii="Arial" w:cs="Arial" w:eastAsia="Arial" w:hAnsi="Arial"/>
          <w:sz w:val="15"/>
          <w:szCs w:val="15"/>
          <w:color w:val="000000"/>
        </w:rPr>
        <w:t xml:space="preserve">, this </w:t>
      </w:r>
      <w:r>
        <w:rPr>
          <w:rFonts w:ascii="Arial" w:cs="Arial" w:eastAsia="Arial" w:hAnsi="Arial"/>
          <w:sz w:val="15"/>
          <w:szCs w:val="15"/>
          <w:u w:val="single" w:color="auto"/>
          <w:color w:val="000000"/>
        </w:rPr>
        <w:t>Section 3.09</w:t>
      </w:r>
      <w:r>
        <w:rPr>
          <w:rFonts w:ascii="Arial" w:cs="Arial" w:eastAsia="Arial" w:hAnsi="Arial"/>
          <w:sz w:val="15"/>
          <w:szCs w:val="15"/>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5"/>
          <w:szCs w:val="15"/>
          <w:u w:val="single" w:color="auto"/>
          <w:color w:val="000000"/>
        </w:rPr>
        <w:t>Section 3.09</w:t>
      </w:r>
      <w:r>
        <w:rPr>
          <w:rFonts w:ascii="Arial" w:cs="Arial" w:eastAsia="Arial" w:hAnsi="Arial"/>
          <w:sz w:val="15"/>
          <w:szCs w:val="15"/>
          <w:color w:val="000000"/>
        </w:rPr>
        <w:t>.</w:t>
      </w:r>
    </w:p>
    <w:p>
      <w:pPr>
        <w:spacing w:after="0" w:line="152" w:lineRule="exact"/>
        <w:rPr>
          <w:sz w:val="20"/>
          <w:szCs w:val="20"/>
          <w:color w:val="auto"/>
        </w:rPr>
      </w:pPr>
    </w:p>
    <w:p>
      <w:pPr>
        <w:jc w:val="both"/>
        <w:ind w:firstLine="1195"/>
        <w:spacing w:after="0" w:line="284" w:lineRule="auto"/>
        <w:rPr>
          <w:sz w:val="20"/>
          <w:szCs w:val="20"/>
          <w:color w:val="auto"/>
        </w:rPr>
      </w:pPr>
      <w:r>
        <w:rPr>
          <w:rFonts w:ascii="Arial" w:cs="Arial" w:eastAsia="Arial" w:hAnsi="Arial"/>
          <w:sz w:val="15"/>
          <w:szCs w:val="15"/>
          <w:color w:val="010000"/>
        </w:rPr>
        <w:t xml:space="preserve">Section 3.10 </w:t>
      </w:r>
      <w:r>
        <w:rPr>
          <w:rFonts w:ascii="Arial" w:cs="Arial" w:eastAsia="Arial" w:hAnsi="Arial"/>
          <w:sz w:val="15"/>
          <w:szCs w:val="15"/>
          <w:u w:val="single" w:color="auto"/>
          <w:color w:val="000000"/>
        </w:rPr>
        <w:t>Compliance with Laws; Permits</w:t>
      </w:r>
      <w:r>
        <w:rPr>
          <w:rFonts w:ascii="Arial" w:cs="Arial" w:eastAsia="Arial" w:hAnsi="Arial"/>
          <w:sz w:val="15"/>
          <w:szCs w:val="15"/>
          <w:color w:val="000000"/>
        </w:rPr>
        <w:t>. Except for such matters as would not reasonably be expected to have, individually or in the aggregate, a</w:t>
      </w:r>
      <w:r>
        <w:rPr>
          <w:rFonts w:ascii="Arial" w:cs="Arial" w:eastAsia="Arial" w:hAnsi="Arial"/>
          <w:sz w:val="15"/>
          <w:szCs w:val="15"/>
          <w:color w:val="010000"/>
        </w:rPr>
        <w:t xml:space="preserve"> </w:t>
      </w:r>
      <w:r>
        <w:rPr>
          <w:rFonts w:ascii="Arial" w:cs="Arial" w:eastAsia="Arial" w:hAnsi="Arial"/>
          <w:sz w:val="15"/>
          <w:szCs w:val="15"/>
          <w:color w:val="000000"/>
        </w:rPr>
        <w:t xml:space="preserve">Material Adverse Effect, (a) the Company and its Subsidiaries are in material compliance with, and during the past 12 months have been in material compliance with, all applicable Laws; (b) the Company and its Subsidiaries have in force, and their business is being conducted in compliance with the terms and conditions of, all Permits; (c) neither the Company nor any of its Subsidiaries is in violation or breach of, no event has occurred that would constitute (with or without due notice or lapse of time or both) a default (or give rise to any right of termination, cancellation, modification or acceleration) of, and no Proceedings are pending or, to the Knowledge of Sellers, threatened, relating to the Company’s or any of its Subsidiaries’ compliance with, any Permit; (d) none of the Permits will be terminated or impaired or become terminable, in whole or in part, as a result of the occurrence of the Contemplated Transactions; and (e) the Company and its Subsidiaries are, and have been since January 1, 2017, in compliance, in all material respects, with all applicable Card Association Rules. Notwithstanding anything to the contrary in this </w:t>
      </w:r>
      <w:r>
        <w:rPr>
          <w:rFonts w:ascii="Arial" w:cs="Arial" w:eastAsia="Arial" w:hAnsi="Arial"/>
          <w:sz w:val="15"/>
          <w:szCs w:val="15"/>
          <w:u w:val="single" w:color="auto"/>
          <w:color w:val="000000"/>
        </w:rPr>
        <w:t>Article III</w:t>
      </w:r>
      <w:r>
        <w:rPr>
          <w:rFonts w:ascii="Arial" w:cs="Arial" w:eastAsia="Arial" w:hAnsi="Arial"/>
          <w:sz w:val="15"/>
          <w:szCs w:val="15"/>
          <w:color w:val="000000"/>
        </w:rPr>
        <w:t xml:space="preserve">, this </w:t>
      </w:r>
      <w:r>
        <w:rPr>
          <w:rFonts w:ascii="Arial" w:cs="Arial" w:eastAsia="Arial" w:hAnsi="Arial"/>
          <w:sz w:val="15"/>
          <w:szCs w:val="15"/>
          <w:u w:val="single" w:color="auto"/>
          <w:color w:val="000000"/>
        </w:rPr>
        <w:t>Section 3.10</w:t>
      </w:r>
      <w:r>
        <w:rPr>
          <w:rFonts w:ascii="Arial" w:cs="Arial" w:eastAsia="Arial" w:hAnsi="Arial"/>
          <w:sz w:val="15"/>
          <w:szCs w:val="15"/>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5"/>
          <w:szCs w:val="15"/>
          <w:u w:val="single" w:color="auto"/>
          <w:color w:val="000000"/>
        </w:rPr>
        <w:t>Section 3.10</w:t>
      </w:r>
      <w:r>
        <w:rPr>
          <w:rFonts w:ascii="Arial" w:cs="Arial" w:eastAsia="Arial" w:hAnsi="Arial"/>
          <w:sz w:val="15"/>
          <w:szCs w:val="15"/>
          <w:color w:val="000000"/>
        </w:rPr>
        <w:t>.</w:t>
      </w:r>
    </w:p>
    <w:p>
      <w:pPr>
        <w:spacing w:after="0" w:line="155" w:lineRule="exact"/>
        <w:rPr>
          <w:sz w:val="20"/>
          <w:szCs w:val="20"/>
          <w:color w:val="auto"/>
        </w:rPr>
      </w:pPr>
    </w:p>
    <w:p>
      <w:pPr>
        <w:jc w:val="both"/>
        <w:ind w:firstLine="1195"/>
        <w:spacing w:after="0" w:line="284" w:lineRule="auto"/>
        <w:rPr>
          <w:sz w:val="20"/>
          <w:szCs w:val="20"/>
          <w:color w:val="auto"/>
        </w:rPr>
      </w:pPr>
      <w:r>
        <w:rPr>
          <w:rFonts w:ascii="Arial" w:cs="Arial" w:eastAsia="Arial" w:hAnsi="Arial"/>
          <w:sz w:val="15"/>
          <w:szCs w:val="15"/>
          <w:color w:val="010000"/>
        </w:rPr>
        <w:t xml:space="preserve">Section 3.11 </w:t>
      </w:r>
      <w:r>
        <w:rPr>
          <w:rFonts w:ascii="Arial" w:cs="Arial" w:eastAsia="Arial" w:hAnsi="Arial"/>
          <w:sz w:val="15"/>
          <w:szCs w:val="15"/>
          <w:u w:val="single" w:color="auto"/>
          <w:color w:val="000000"/>
        </w:rPr>
        <w:t>Intellectual Property</w:t>
      </w:r>
      <w:r>
        <w:rPr>
          <w:rFonts w:ascii="Arial" w:cs="Arial" w:eastAsia="Arial" w:hAnsi="Arial"/>
          <w:sz w:val="15"/>
          <w:szCs w:val="15"/>
          <w:color w:val="000000"/>
        </w:rPr>
        <w:t>. Section 3.11 of the Disclosure Letter sets forth all material patents, trademarks and copyrights owned by the Company</w:t>
      </w:r>
      <w:r>
        <w:rPr>
          <w:rFonts w:ascii="Arial" w:cs="Arial" w:eastAsia="Arial" w:hAnsi="Arial"/>
          <w:sz w:val="15"/>
          <w:szCs w:val="15"/>
          <w:color w:val="010000"/>
        </w:rPr>
        <w:t xml:space="preserve"> </w:t>
      </w:r>
      <w:r>
        <w:rPr>
          <w:rFonts w:ascii="Arial" w:cs="Arial" w:eastAsia="Arial" w:hAnsi="Arial"/>
          <w:sz w:val="15"/>
          <w:szCs w:val="15"/>
          <w:color w:val="000000"/>
        </w:rPr>
        <w:t xml:space="preserve">and its Subsidiaries and for which applications for registration have been filed or registrations have been obtained, whether in the United States or internationally, as of the date hereof. To the Knowledge of Sellers, the Company and its Subsidiaries own or have the right to use (but not necessarily the exclusive right to use) pursuant to license, sublicense, agreement or permission, all Intellectual Property used in the Company’s and its Subsidiaries’ operation of their respective business, as presently conducted, except where the failure to have such right would not be reasonably expected to have, individually or in the aggregate, a Material Adverse Effect. To the Knowledge of Sellers, the Company’s and its Subsidiaries’ operation of their respective business, as presently conducted, does not infringe or otherwise violate the Intellectual Property of any other Person, except for such infringement as would not be reasonably expected to have, individually or in the aggregate, a Material Adverse Effect. Notwithstanding anything to the contrary in this </w:t>
      </w:r>
      <w:r>
        <w:rPr>
          <w:rFonts w:ascii="Arial" w:cs="Arial" w:eastAsia="Arial" w:hAnsi="Arial"/>
          <w:sz w:val="15"/>
          <w:szCs w:val="15"/>
          <w:u w:val="single" w:color="auto"/>
          <w:color w:val="000000"/>
        </w:rPr>
        <w:t>Article III</w:t>
      </w:r>
      <w:r>
        <w:rPr>
          <w:rFonts w:ascii="Arial" w:cs="Arial" w:eastAsia="Arial" w:hAnsi="Arial"/>
          <w:sz w:val="15"/>
          <w:szCs w:val="15"/>
          <w:color w:val="000000"/>
        </w:rPr>
        <w:t xml:space="preserve">, this </w:t>
      </w:r>
      <w:r>
        <w:rPr>
          <w:rFonts w:ascii="Arial" w:cs="Arial" w:eastAsia="Arial" w:hAnsi="Arial"/>
          <w:sz w:val="15"/>
          <w:szCs w:val="15"/>
          <w:u w:val="single" w:color="auto"/>
          <w:color w:val="000000"/>
        </w:rPr>
        <w:t>Section 3.11</w:t>
      </w:r>
      <w:r>
        <w:rPr>
          <w:rFonts w:ascii="Arial" w:cs="Arial" w:eastAsia="Arial" w:hAnsi="Arial"/>
          <w:sz w:val="15"/>
          <w:szCs w:val="15"/>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5"/>
          <w:szCs w:val="15"/>
          <w:u w:val="single" w:color="auto"/>
          <w:color w:val="000000"/>
        </w:rPr>
        <w:t>Section 3.11</w:t>
      </w:r>
      <w:r>
        <w:rPr>
          <w:rFonts w:ascii="Arial" w:cs="Arial" w:eastAsia="Arial" w:hAnsi="Arial"/>
          <w:sz w:val="15"/>
          <w:szCs w:val="15"/>
          <w:color w:val="000000"/>
        </w:rPr>
        <w: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30" w:name="page31"/>
    <w:bookmarkEnd w:id="30"/>
    <w:p>
      <w:pPr>
        <w:ind w:firstLine="1195"/>
        <w:spacing w:after="0" w:line="264" w:lineRule="auto"/>
        <w:rPr>
          <w:sz w:val="20"/>
          <w:szCs w:val="20"/>
          <w:color w:val="auto"/>
        </w:rPr>
      </w:pPr>
      <w:r>
        <w:rPr>
          <w:rFonts w:ascii="Arial" w:cs="Arial" w:eastAsia="Arial" w:hAnsi="Arial"/>
          <w:sz w:val="17"/>
          <w:szCs w:val="17"/>
          <w:color w:val="010000"/>
        </w:rPr>
        <w:t xml:space="preserve">Section 3.12 </w:t>
      </w:r>
      <w:r>
        <w:rPr>
          <w:rFonts w:ascii="Arial" w:cs="Arial" w:eastAsia="Arial" w:hAnsi="Arial"/>
          <w:sz w:val="17"/>
          <w:szCs w:val="17"/>
          <w:u w:val="single" w:color="auto"/>
          <w:color w:val="000000"/>
        </w:rPr>
        <w:t>Title to Assets</w:t>
      </w:r>
      <w:r>
        <w:rPr>
          <w:rFonts w:ascii="Arial" w:cs="Arial" w:eastAsia="Arial" w:hAnsi="Arial"/>
          <w:sz w:val="17"/>
          <w:szCs w:val="17"/>
          <w:color w:val="000000"/>
        </w:rPr>
        <w:t>. The Company and its Subsidiaries have good and valid title to their material tangible properties and assets, free and clear of</w:t>
      </w:r>
      <w:r>
        <w:rPr>
          <w:rFonts w:ascii="Arial" w:cs="Arial" w:eastAsia="Arial" w:hAnsi="Arial"/>
          <w:sz w:val="17"/>
          <w:szCs w:val="17"/>
          <w:color w:val="010000"/>
        </w:rPr>
        <w:t xml:space="preserve"> </w:t>
      </w:r>
      <w:r>
        <w:rPr>
          <w:rFonts w:ascii="Arial" w:cs="Arial" w:eastAsia="Arial" w:hAnsi="Arial"/>
          <w:sz w:val="17"/>
          <w:szCs w:val="17"/>
          <w:color w:val="000000"/>
        </w:rPr>
        <w:t>all Liens, except for Permitted Liens.</w:t>
      </w:r>
    </w:p>
    <w:p>
      <w:pPr>
        <w:spacing w:after="0" w:line="168" w:lineRule="exact"/>
        <w:rPr>
          <w:sz w:val="20"/>
          <w:szCs w:val="20"/>
          <w:color w:val="auto"/>
        </w:rPr>
      </w:pPr>
    </w:p>
    <w:p>
      <w:pPr>
        <w:ind w:left="1200"/>
        <w:spacing w:after="0"/>
        <w:rPr>
          <w:sz w:val="20"/>
          <w:szCs w:val="20"/>
          <w:color w:val="auto"/>
        </w:rPr>
      </w:pPr>
      <w:r>
        <w:rPr>
          <w:rFonts w:ascii="Arial" w:cs="Arial" w:eastAsia="Arial" w:hAnsi="Arial"/>
          <w:sz w:val="17"/>
          <w:szCs w:val="17"/>
          <w:color w:val="010000"/>
        </w:rPr>
        <w:t xml:space="preserve">Section 3.13 </w:t>
      </w:r>
      <w:r>
        <w:rPr>
          <w:rFonts w:ascii="Arial" w:cs="Arial" w:eastAsia="Arial" w:hAnsi="Arial"/>
          <w:sz w:val="17"/>
          <w:szCs w:val="17"/>
          <w:u w:val="single" w:color="auto"/>
          <w:color w:val="000000"/>
        </w:rPr>
        <w:t>Material Contracts</w:t>
      </w:r>
      <w:r>
        <w:rPr>
          <w:rFonts w:ascii="Arial" w:cs="Arial" w:eastAsia="Arial" w:hAnsi="Arial"/>
          <w:sz w:val="17"/>
          <w:szCs w:val="17"/>
          <w:color w:val="000000"/>
        </w:rPr>
        <w:t>.</w:t>
      </w:r>
    </w:p>
    <w:p>
      <w:pPr>
        <w:spacing w:after="0" w:line="203" w:lineRule="exact"/>
        <w:rPr>
          <w:sz w:val="20"/>
          <w:szCs w:val="20"/>
          <w:color w:val="auto"/>
        </w:rPr>
      </w:pPr>
    </w:p>
    <w:p>
      <w:pPr>
        <w:ind w:left="820" w:firstLine="599"/>
        <w:spacing w:after="0" w:line="331" w:lineRule="auto"/>
        <w:tabs>
          <w:tab w:leader="none" w:pos="2091" w:val="left"/>
        </w:tabs>
        <w:numPr>
          <w:ilvl w:val="0"/>
          <w:numId w:val="20"/>
        </w:numPr>
        <w:rPr>
          <w:rFonts w:ascii="Arial" w:cs="Arial" w:eastAsia="Arial" w:hAnsi="Arial"/>
          <w:sz w:val="15"/>
          <w:szCs w:val="15"/>
          <w:color w:val="010000"/>
        </w:rPr>
      </w:pPr>
      <w:r>
        <w:rPr>
          <w:rFonts w:ascii="Arial" w:cs="Arial" w:eastAsia="Arial" w:hAnsi="Arial"/>
          <w:sz w:val="15"/>
          <w:szCs w:val="15"/>
          <w:color w:val="auto"/>
        </w:rPr>
        <w:t>Section 3.13(a) of the Disclosure Letter includes the following Contracts to which the Company or any of its Subsidiaries is a party, or by which the Company or any of its Subsidiaries or the Company’s or any of its Subsidiaries’ assets are bound, in each case, as in effect as of the date hereof:</w:t>
      </w:r>
    </w:p>
    <w:p>
      <w:pPr>
        <w:spacing w:after="0" w:line="117" w:lineRule="exact"/>
        <w:rPr>
          <w:rFonts w:ascii="Arial" w:cs="Arial" w:eastAsia="Arial" w:hAnsi="Arial"/>
          <w:sz w:val="15"/>
          <w:szCs w:val="15"/>
          <w:color w:val="010000"/>
        </w:rPr>
      </w:pPr>
    </w:p>
    <w:p>
      <w:pPr>
        <w:ind w:left="1200" w:firstLine="592"/>
        <w:spacing w:after="0" w:line="269" w:lineRule="auto"/>
        <w:tabs>
          <w:tab w:leader="none" w:pos="2369" w:val="left"/>
        </w:tabs>
        <w:numPr>
          <w:ilvl w:val="1"/>
          <w:numId w:val="20"/>
        </w:numPr>
        <w:rPr>
          <w:rFonts w:ascii="Arial" w:cs="Arial" w:eastAsia="Arial" w:hAnsi="Arial"/>
          <w:sz w:val="17"/>
          <w:szCs w:val="17"/>
          <w:color w:val="010000"/>
        </w:rPr>
      </w:pPr>
      <w:r>
        <w:rPr>
          <w:rFonts w:ascii="Arial" w:cs="Arial" w:eastAsia="Arial" w:hAnsi="Arial"/>
          <w:sz w:val="17"/>
          <w:szCs w:val="17"/>
          <w:color w:val="auto"/>
        </w:rPr>
        <w:t>each Contract for the employment of any officer, individual employee or other person on a full</w:t>
      </w:r>
      <w:r>
        <w:rPr>
          <w:rFonts w:ascii="Arial" w:cs="Arial" w:eastAsia="Arial" w:hAnsi="Arial"/>
          <w:sz w:val="17"/>
          <w:szCs w:val="17"/>
          <w:b w:val="1"/>
          <w:bCs w:val="1"/>
          <w:color w:val="auto"/>
        </w:rPr>
        <w:t>-</w:t>
      </w:r>
      <w:r>
        <w:rPr>
          <w:rFonts w:ascii="Arial" w:cs="Arial" w:eastAsia="Arial" w:hAnsi="Arial"/>
          <w:sz w:val="17"/>
          <w:szCs w:val="17"/>
          <w:color w:val="auto"/>
        </w:rPr>
        <w:t>time, part</w:t>
      </w:r>
      <w:r>
        <w:rPr>
          <w:rFonts w:ascii="Arial" w:cs="Arial" w:eastAsia="Arial" w:hAnsi="Arial"/>
          <w:sz w:val="17"/>
          <w:szCs w:val="17"/>
          <w:b w:val="1"/>
          <w:bCs w:val="1"/>
          <w:color w:val="auto"/>
        </w:rPr>
        <w:t>-</w:t>
      </w:r>
      <w:r>
        <w:rPr>
          <w:rFonts w:ascii="Arial" w:cs="Arial" w:eastAsia="Arial" w:hAnsi="Arial"/>
          <w:sz w:val="17"/>
          <w:szCs w:val="17"/>
          <w:color w:val="auto"/>
        </w:rPr>
        <w:t>time, consulting or other basis providing annual compensation in excess of $200,000;</w:t>
      </w:r>
    </w:p>
    <w:p>
      <w:pPr>
        <w:spacing w:after="0" w:line="163" w:lineRule="exact"/>
        <w:rPr>
          <w:rFonts w:ascii="Arial" w:cs="Arial" w:eastAsia="Arial" w:hAnsi="Arial"/>
          <w:sz w:val="17"/>
          <w:szCs w:val="17"/>
          <w:color w:val="010000"/>
        </w:rPr>
      </w:pPr>
    </w:p>
    <w:p>
      <w:pPr>
        <w:ind w:left="2360" w:hanging="568"/>
        <w:spacing w:after="0"/>
        <w:tabs>
          <w:tab w:leader="none" w:pos="2360" w:val="left"/>
        </w:tabs>
        <w:numPr>
          <w:ilvl w:val="1"/>
          <w:numId w:val="20"/>
        </w:numPr>
        <w:rPr>
          <w:rFonts w:ascii="Arial" w:cs="Arial" w:eastAsia="Arial" w:hAnsi="Arial"/>
          <w:sz w:val="17"/>
          <w:szCs w:val="17"/>
          <w:color w:val="010000"/>
        </w:rPr>
      </w:pPr>
      <w:r>
        <w:rPr>
          <w:rFonts w:ascii="Arial" w:cs="Arial" w:eastAsia="Arial" w:hAnsi="Arial"/>
          <w:sz w:val="17"/>
          <w:szCs w:val="17"/>
          <w:color w:val="auto"/>
        </w:rPr>
        <w:t>each Contract that constitutes a partnership agreement or joint venture agreement;</w:t>
      </w:r>
    </w:p>
    <w:p>
      <w:pPr>
        <w:spacing w:after="0" w:line="202" w:lineRule="exact"/>
        <w:rPr>
          <w:rFonts w:ascii="Arial" w:cs="Arial" w:eastAsia="Arial" w:hAnsi="Arial"/>
          <w:sz w:val="17"/>
          <w:szCs w:val="17"/>
          <w:color w:val="010000"/>
        </w:rPr>
      </w:pPr>
    </w:p>
    <w:p>
      <w:pPr>
        <w:jc w:val="both"/>
        <w:ind w:left="1200" w:firstLine="592"/>
        <w:spacing w:after="0" w:line="254" w:lineRule="auto"/>
        <w:tabs>
          <w:tab w:leader="none" w:pos="2378" w:val="left"/>
        </w:tabs>
        <w:numPr>
          <w:ilvl w:val="1"/>
          <w:numId w:val="20"/>
        </w:numPr>
        <w:rPr>
          <w:rFonts w:ascii="Arial" w:cs="Arial" w:eastAsia="Arial" w:hAnsi="Arial"/>
          <w:sz w:val="17"/>
          <w:szCs w:val="17"/>
          <w:color w:val="010000"/>
        </w:rPr>
      </w:pPr>
      <w:r>
        <w:rPr>
          <w:rFonts w:ascii="Arial" w:cs="Arial" w:eastAsia="Arial" w:hAnsi="Arial"/>
          <w:sz w:val="17"/>
          <w:szCs w:val="17"/>
          <w:color w:val="auto"/>
        </w:rPr>
        <w:t>each Contract which: (A) restricts the ability of the Company or any of its Subsidiaries to engage in any line or type of business or from competing with any Person or in any geographical area, or (B) commits the Company or any of its Subsidiaries to an exclusive arrangement or relationship with any Person;</w:t>
      </w:r>
    </w:p>
    <w:p>
      <w:pPr>
        <w:spacing w:after="0" w:line="176" w:lineRule="exact"/>
        <w:rPr>
          <w:rFonts w:ascii="Arial" w:cs="Arial" w:eastAsia="Arial" w:hAnsi="Arial"/>
          <w:sz w:val="17"/>
          <w:szCs w:val="17"/>
          <w:color w:val="010000"/>
        </w:rPr>
      </w:pPr>
    </w:p>
    <w:p>
      <w:pPr>
        <w:jc w:val="both"/>
        <w:ind w:left="1200" w:firstLine="592"/>
        <w:spacing w:after="0" w:line="254" w:lineRule="auto"/>
        <w:tabs>
          <w:tab w:leader="none" w:pos="2518" w:val="left"/>
        </w:tabs>
        <w:numPr>
          <w:ilvl w:val="1"/>
          <w:numId w:val="20"/>
        </w:numPr>
        <w:rPr>
          <w:rFonts w:ascii="Arial" w:cs="Arial" w:eastAsia="Arial" w:hAnsi="Arial"/>
          <w:sz w:val="17"/>
          <w:szCs w:val="17"/>
          <w:color w:val="010000"/>
        </w:rPr>
      </w:pPr>
      <w:r>
        <w:rPr>
          <w:rFonts w:ascii="Arial" w:cs="Arial" w:eastAsia="Arial" w:hAnsi="Arial"/>
          <w:sz w:val="17"/>
          <w:szCs w:val="17"/>
          <w:color w:val="auto"/>
        </w:rPr>
        <w:t>each Contract which obligates the Company or any of its Subsidiaries to provide for any right of first refusal, right of first offer, preferred pricing (including “most favored nation”) or similar provisions, performance guarantees, minimum referral volumes, rebates, discounts, or incentive or volume purchase credits;</w:t>
      </w:r>
    </w:p>
    <w:p>
      <w:pPr>
        <w:spacing w:after="0" w:line="176" w:lineRule="exact"/>
        <w:rPr>
          <w:rFonts w:ascii="Arial" w:cs="Arial" w:eastAsia="Arial" w:hAnsi="Arial"/>
          <w:sz w:val="17"/>
          <w:szCs w:val="17"/>
          <w:color w:val="010000"/>
        </w:rPr>
      </w:pPr>
    </w:p>
    <w:p>
      <w:pPr>
        <w:ind w:left="2360" w:hanging="568"/>
        <w:spacing w:after="0"/>
        <w:tabs>
          <w:tab w:leader="none" w:pos="2360" w:val="left"/>
        </w:tabs>
        <w:numPr>
          <w:ilvl w:val="1"/>
          <w:numId w:val="20"/>
        </w:numPr>
        <w:rPr>
          <w:rFonts w:ascii="Arial" w:cs="Arial" w:eastAsia="Arial" w:hAnsi="Arial"/>
          <w:sz w:val="17"/>
          <w:szCs w:val="17"/>
          <w:color w:val="010000"/>
        </w:rPr>
      </w:pPr>
      <w:r>
        <w:rPr>
          <w:rFonts w:ascii="Arial" w:cs="Arial" w:eastAsia="Arial" w:hAnsi="Arial"/>
          <w:sz w:val="17"/>
          <w:szCs w:val="17"/>
          <w:color w:val="auto"/>
        </w:rPr>
        <w:t>each Contract with any Governmental Authority;</w:t>
      </w:r>
    </w:p>
    <w:p>
      <w:pPr>
        <w:spacing w:after="0" w:line="202" w:lineRule="exact"/>
        <w:rPr>
          <w:rFonts w:ascii="Arial" w:cs="Arial" w:eastAsia="Arial" w:hAnsi="Arial"/>
          <w:sz w:val="17"/>
          <w:szCs w:val="17"/>
          <w:color w:val="010000"/>
        </w:rPr>
      </w:pPr>
    </w:p>
    <w:p>
      <w:pPr>
        <w:ind w:left="2360" w:hanging="568"/>
        <w:spacing w:after="0"/>
        <w:tabs>
          <w:tab w:leader="none" w:pos="2360" w:val="left"/>
        </w:tabs>
        <w:numPr>
          <w:ilvl w:val="1"/>
          <w:numId w:val="20"/>
        </w:numPr>
        <w:rPr>
          <w:rFonts w:ascii="Arial" w:cs="Arial" w:eastAsia="Arial" w:hAnsi="Arial"/>
          <w:sz w:val="17"/>
          <w:szCs w:val="17"/>
          <w:color w:val="010000"/>
        </w:rPr>
      </w:pPr>
      <w:r>
        <w:rPr>
          <w:rFonts w:ascii="Arial" w:cs="Arial" w:eastAsia="Arial" w:hAnsi="Arial"/>
          <w:sz w:val="17"/>
          <w:szCs w:val="17"/>
          <w:color w:val="auto"/>
        </w:rPr>
        <w:t>each Contract relating to indebtedness of the Company or any of its Subsidiaries;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31" w:name="page32"/>
    <w:bookmarkEnd w:id="31"/>
    <w:p>
      <w:pPr>
        <w:jc w:val="both"/>
        <w:ind w:firstLine="592"/>
        <w:spacing w:after="0" w:line="254" w:lineRule="auto"/>
        <w:tabs>
          <w:tab w:leader="none" w:pos="1236" w:val="left"/>
        </w:tabs>
        <w:numPr>
          <w:ilvl w:val="0"/>
          <w:numId w:val="21"/>
        </w:numPr>
        <w:rPr>
          <w:rFonts w:ascii="Arial" w:cs="Arial" w:eastAsia="Arial" w:hAnsi="Arial"/>
          <w:sz w:val="17"/>
          <w:szCs w:val="17"/>
          <w:color w:val="010000"/>
        </w:rPr>
      </w:pPr>
      <w:r>
        <w:rPr>
          <w:rFonts w:ascii="Arial" w:cs="Arial" w:eastAsia="Arial" w:hAnsi="Arial"/>
          <w:sz w:val="17"/>
          <w:szCs w:val="17"/>
          <w:color w:val="auto"/>
        </w:rPr>
        <w:t>each lease or other Contract under which the Company or any of its Subsidiaries is lessee of or holds or operates any property (other than real property), owned by any other party, except for any lease or agreement under which the aggregate annual rental payments do not exceed $50,000;</w:t>
      </w:r>
    </w:p>
    <w:p>
      <w:pPr>
        <w:spacing w:after="0" w:line="176" w:lineRule="exact"/>
        <w:rPr>
          <w:rFonts w:ascii="Arial" w:cs="Arial" w:eastAsia="Arial" w:hAnsi="Arial"/>
          <w:sz w:val="17"/>
          <w:szCs w:val="17"/>
          <w:color w:val="010000"/>
        </w:rPr>
      </w:pPr>
    </w:p>
    <w:p>
      <w:pPr>
        <w:jc w:val="both"/>
        <w:ind w:firstLine="592"/>
        <w:spacing w:after="0" w:line="254" w:lineRule="auto"/>
        <w:tabs>
          <w:tab w:leader="none" w:pos="1178" w:val="left"/>
        </w:tabs>
        <w:numPr>
          <w:ilvl w:val="0"/>
          <w:numId w:val="21"/>
        </w:numPr>
        <w:rPr>
          <w:rFonts w:ascii="Arial" w:cs="Arial" w:eastAsia="Arial" w:hAnsi="Arial"/>
          <w:sz w:val="17"/>
          <w:szCs w:val="17"/>
          <w:color w:val="010000"/>
        </w:rPr>
      </w:pPr>
      <w:r>
        <w:rPr>
          <w:rFonts w:ascii="Arial" w:cs="Arial" w:eastAsia="Arial" w:hAnsi="Arial"/>
          <w:sz w:val="17"/>
          <w:szCs w:val="17"/>
          <w:color w:val="auto"/>
        </w:rPr>
        <w:t>each lease or other Contract under which the Company or any of its Subsidiaries is lessor of or permits any third party to hold or operate any property (other than real property), owned or controlled by the Company or any of its Subsidiaries, except for any lease or agreement under which the aggregate annual rental payments do not exceed $50,000;</w:t>
      </w:r>
    </w:p>
    <w:p>
      <w:pPr>
        <w:spacing w:after="0" w:line="176" w:lineRule="exact"/>
        <w:rPr>
          <w:rFonts w:ascii="Arial" w:cs="Arial" w:eastAsia="Arial" w:hAnsi="Arial"/>
          <w:sz w:val="17"/>
          <w:szCs w:val="17"/>
          <w:color w:val="010000"/>
        </w:rPr>
      </w:pPr>
    </w:p>
    <w:p>
      <w:pPr>
        <w:jc w:val="both"/>
        <w:ind w:firstLine="592"/>
        <w:spacing w:after="0" w:line="254" w:lineRule="auto"/>
        <w:tabs>
          <w:tab w:leader="none" w:pos="1235" w:val="left"/>
        </w:tabs>
        <w:numPr>
          <w:ilvl w:val="0"/>
          <w:numId w:val="21"/>
        </w:numPr>
        <w:rPr>
          <w:rFonts w:ascii="Arial" w:cs="Arial" w:eastAsia="Arial" w:hAnsi="Arial"/>
          <w:sz w:val="17"/>
          <w:szCs w:val="17"/>
          <w:color w:val="010000"/>
        </w:rPr>
      </w:pPr>
      <w:r>
        <w:rPr>
          <w:rFonts w:ascii="Arial" w:cs="Arial" w:eastAsia="Arial" w:hAnsi="Arial"/>
          <w:sz w:val="17"/>
          <w:szCs w:val="17"/>
          <w:color w:val="auto"/>
        </w:rPr>
        <w:t>each Contract or group of related Contracts with the same Third Party or group of Affiliates of such Third Party, pursuant to which the Company or any of its Subsidiaries, individually or in the aggregate, received or agreed to receive, or paid or agreed to pay, in excess of $1,000,000, in cash, in the fiscal year ended December 31, 2017;</w:t>
      </w:r>
    </w:p>
    <w:p>
      <w:pPr>
        <w:spacing w:after="0" w:line="176" w:lineRule="exact"/>
        <w:rPr>
          <w:rFonts w:ascii="Arial" w:cs="Arial" w:eastAsia="Arial" w:hAnsi="Arial"/>
          <w:sz w:val="17"/>
          <w:szCs w:val="17"/>
          <w:color w:val="010000"/>
        </w:rPr>
      </w:pPr>
    </w:p>
    <w:p>
      <w:pPr>
        <w:ind w:firstLine="592"/>
        <w:spacing w:after="0" w:line="296" w:lineRule="auto"/>
        <w:tabs>
          <w:tab w:leader="none" w:pos="1256" w:val="left"/>
        </w:tabs>
        <w:numPr>
          <w:ilvl w:val="0"/>
          <w:numId w:val="21"/>
        </w:numPr>
        <w:rPr>
          <w:rFonts w:ascii="Arial" w:cs="Arial" w:eastAsia="Arial" w:hAnsi="Arial"/>
          <w:sz w:val="16"/>
          <w:szCs w:val="16"/>
          <w:color w:val="010000"/>
        </w:rPr>
      </w:pPr>
      <w:r>
        <w:rPr>
          <w:rFonts w:ascii="Arial" w:cs="Arial" w:eastAsia="Arial" w:hAnsi="Arial"/>
          <w:sz w:val="16"/>
          <w:szCs w:val="16"/>
          <w:color w:val="auto"/>
        </w:rPr>
        <w:t>BIN sponsorship agreement, processing agreement or similar or related agreement that provides access to banking systems or enables the Company or any of its Subsidiaries to participate in or provide services under or with respect to any Card Association;</w:t>
      </w:r>
    </w:p>
    <w:p>
      <w:pPr>
        <w:spacing w:after="0" w:line="143" w:lineRule="exact"/>
        <w:rPr>
          <w:rFonts w:ascii="Arial" w:cs="Arial" w:eastAsia="Arial" w:hAnsi="Arial"/>
          <w:sz w:val="16"/>
          <w:szCs w:val="16"/>
          <w:color w:val="010000"/>
        </w:rPr>
      </w:pPr>
    </w:p>
    <w:p>
      <w:pPr>
        <w:jc w:val="both"/>
        <w:ind w:firstLine="592"/>
        <w:spacing w:after="0" w:line="267" w:lineRule="auto"/>
        <w:tabs>
          <w:tab w:leader="none" w:pos="1285" w:val="left"/>
        </w:tabs>
        <w:numPr>
          <w:ilvl w:val="0"/>
          <w:numId w:val="21"/>
        </w:numPr>
        <w:rPr>
          <w:rFonts w:ascii="Arial" w:cs="Arial" w:eastAsia="Arial" w:hAnsi="Arial"/>
          <w:sz w:val="16"/>
          <w:szCs w:val="16"/>
          <w:color w:val="010000"/>
        </w:rPr>
      </w:pPr>
      <w:r>
        <w:rPr>
          <w:rFonts w:ascii="Arial" w:cs="Arial" w:eastAsia="Arial" w:hAnsi="Arial"/>
          <w:sz w:val="16"/>
          <w:szCs w:val="16"/>
          <w:color w:val="auto"/>
        </w:rPr>
        <w:t>any Contract with any independent sales organizations (“</w:t>
      </w:r>
      <w:r>
        <w:rPr>
          <w:rFonts w:ascii="Arial" w:cs="Arial" w:eastAsia="Arial" w:hAnsi="Arial"/>
          <w:sz w:val="16"/>
          <w:szCs w:val="16"/>
          <w:u w:val="single" w:color="auto"/>
          <w:color w:val="auto"/>
        </w:rPr>
        <w:t>ISOs</w:t>
      </w:r>
      <w:r>
        <w:rPr>
          <w:rFonts w:ascii="Arial" w:cs="Arial" w:eastAsia="Arial" w:hAnsi="Arial"/>
          <w:sz w:val="16"/>
          <w:szCs w:val="16"/>
          <w:color w:val="auto"/>
        </w:rPr>
        <w:t>”) or sales agents of the Company or any of its Subsidiaries (A) under which the Company and/or any of its Subsidiaries made residual or other payments to or on behalf of (or otherwise directly or indirectly conveyed value to) such ISO or sales agent, in each case, in excess of $500,000 in the aggregate during the fiscal year ended December 31, 2017 or reasonably expects to incur annual expenses in excess of $500,000 in the aggregate during the fiscal year ending December 31, 2018 or during any fiscal year thereafter or (B) under which the Company or any of its Subsidiaries made annual payments in excess of $500,000 thereunder in connection with any loan or residual buyout payment to any such ISO;</w:t>
      </w:r>
    </w:p>
    <w:p>
      <w:pPr>
        <w:spacing w:after="0" w:line="166" w:lineRule="exact"/>
        <w:rPr>
          <w:rFonts w:ascii="Arial" w:cs="Arial" w:eastAsia="Arial" w:hAnsi="Arial"/>
          <w:sz w:val="16"/>
          <w:szCs w:val="16"/>
          <w:color w:val="010000"/>
        </w:rPr>
      </w:pPr>
    </w:p>
    <w:p>
      <w:pPr>
        <w:ind w:left="1160" w:hanging="568"/>
        <w:spacing w:after="0"/>
        <w:tabs>
          <w:tab w:leader="none" w:pos="1160" w:val="left"/>
        </w:tabs>
        <w:numPr>
          <w:ilvl w:val="0"/>
          <w:numId w:val="21"/>
        </w:numPr>
        <w:rPr>
          <w:rFonts w:ascii="Arial" w:cs="Arial" w:eastAsia="Arial" w:hAnsi="Arial"/>
          <w:sz w:val="16"/>
          <w:szCs w:val="16"/>
          <w:color w:val="010000"/>
        </w:rPr>
      </w:pPr>
      <w:r>
        <w:rPr>
          <w:rFonts w:ascii="Arial" w:cs="Arial" w:eastAsia="Arial" w:hAnsi="Arial"/>
          <w:sz w:val="16"/>
          <w:szCs w:val="16"/>
          <w:color w:val="auto"/>
        </w:rPr>
        <w:t>any collective bargaining agreement, labor Contract or other Contract with any labor union or any employee organization;</w:t>
      </w:r>
    </w:p>
    <w:p>
      <w:pPr>
        <w:spacing w:after="0" w:line="214" w:lineRule="exact"/>
        <w:rPr>
          <w:rFonts w:ascii="Arial" w:cs="Arial" w:eastAsia="Arial" w:hAnsi="Arial"/>
          <w:sz w:val="16"/>
          <w:szCs w:val="16"/>
          <w:color w:val="010000"/>
        </w:rPr>
      </w:pPr>
    </w:p>
    <w:p>
      <w:pPr>
        <w:ind w:firstLine="592"/>
        <w:spacing w:after="0" w:line="264" w:lineRule="auto"/>
        <w:tabs>
          <w:tab w:leader="none" w:pos="1178" w:val="left"/>
        </w:tabs>
        <w:numPr>
          <w:ilvl w:val="0"/>
          <w:numId w:val="21"/>
        </w:numPr>
        <w:rPr>
          <w:rFonts w:ascii="Arial" w:cs="Arial" w:eastAsia="Arial" w:hAnsi="Arial"/>
          <w:sz w:val="17"/>
          <w:szCs w:val="17"/>
          <w:color w:val="010000"/>
        </w:rPr>
      </w:pPr>
      <w:r>
        <w:rPr>
          <w:rFonts w:ascii="Arial" w:cs="Arial" w:eastAsia="Arial" w:hAnsi="Arial"/>
          <w:sz w:val="17"/>
          <w:szCs w:val="17"/>
          <w:color w:val="auto"/>
        </w:rPr>
        <w:t xml:space="preserve">any agreement not disclosed pursuant to any other clause of this </w:t>
      </w:r>
      <w:r>
        <w:rPr>
          <w:rFonts w:ascii="Arial" w:cs="Arial" w:eastAsia="Arial" w:hAnsi="Arial"/>
          <w:sz w:val="17"/>
          <w:szCs w:val="17"/>
          <w:u w:val="single" w:color="auto"/>
          <w:color w:val="auto"/>
        </w:rPr>
        <w:t>Section 3.13(a)</w:t>
      </w:r>
      <w:r>
        <w:rPr>
          <w:rFonts w:ascii="Arial" w:cs="Arial" w:eastAsia="Arial" w:hAnsi="Arial"/>
          <w:sz w:val="17"/>
          <w:szCs w:val="17"/>
          <w:color w:val="auto"/>
        </w:rPr>
        <w:t xml:space="preserve"> that would constitute a “material contract” as defined in Item 601(b)(10) of Regulation S-K of the SEC; and</w:t>
      </w:r>
    </w:p>
    <w:p>
      <w:pPr>
        <w:spacing w:after="0" w:line="167" w:lineRule="exact"/>
        <w:rPr>
          <w:rFonts w:ascii="Arial" w:cs="Arial" w:eastAsia="Arial" w:hAnsi="Arial"/>
          <w:sz w:val="17"/>
          <w:szCs w:val="17"/>
          <w:color w:val="010000"/>
        </w:rPr>
      </w:pPr>
    </w:p>
    <w:p>
      <w:pPr>
        <w:jc w:val="both"/>
        <w:ind w:firstLine="592"/>
        <w:spacing w:after="0" w:line="268" w:lineRule="auto"/>
        <w:tabs>
          <w:tab w:leader="none" w:pos="1169" w:val="left"/>
        </w:tabs>
        <w:numPr>
          <w:ilvl w:val="0"/>
          <w:numId w:val="21"/>
        </w:numPr>
        <w:rPr>
          <w:rFonts w:ascii="Arial" w:cs="Arial" w:eastAsia="Arial" w:hAnsi="Arial"/>
          <w:sz w:val="16"/>
          <w:szCs w:val="16"/>
          <w:color w:val="010000"/>
        </w:rPr>
      </w:pPr>
      <w:r>
        <w:rPr>
          <w:rFonts w:ascii="Arial" w:cs="Arial" w:eastAsia="Arial" w:hAnsi="Arial"/>
          <w:sz w:val="16"/>
          <w:szCs w:val="16"/>
          <w:color w:val="auto"/>
        </w:rPr>
        <w:t>any agreement (A) by which the Company or any of its Subsidiaries licenses or permits any other Person to use, or covenants not to sue with respect to the use by such Person of, any Intellectual Property owned by the Company or its Subsidiaries (other than non-exclusive software licenses granted by the Company or any of its Subsidiaries with respect to such Intellectual Property in the Ordinary Course of Business); or (B) by which the Company or any of its Subsidiaries licenses or is otherwise granted the right to use the Intellectual Property of any other Person, (other than licenses for commercial off-the-shelf software, the total fees associated with which are less than $50,000).</w:t>
      </w:r>
    </w:p>
    <w:p>
      <w:pPr>
        <w:spacing w:after="0" w:line="268"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7257415"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650" w:right="239" w:bottom="1440" w:gutter="0" w:footer="0" w:header="0"/>
        </w:sectPr>
      </w:pPr>
    </w:p>
    <w:bookmarkStart w:id="32" w:name="page33"/>
    <w:bookmarkEnd w:id="32"/>
    <w:p>
      <w:pPr>
        <w:jc w:val="both"/>
        <w:ind w:left="820" w:firstLine="599"/>
        <w:spacing w:after="0" w:line="267" w:lineRule="auto"/>
        <w:tabs>
          <w:tab w:leader="none" w:pos="2113" w:val="left"/>
        </w:tabs>
        <w:numPr>
          <w:ilvl w:val="0"/>
          <w:numId w:val="22"/>
        </w:numPr>
        <w:rPr>
          <w:rFonts w:ascii="Arial" w:cs="Arial" w:eastAsia="Arial" w:hAnsi="Arial"/>
          <w:sz w:val="16"/>
          <w:szCs w:val="16"/>
          <w:color w:val="010000"/>
        </w:rPr>
      </w:pPr>
      <w:r>
        <w:rPr>
          <w:rFonts w:ascii="Arial" w:cs="Arial" w:eastAsia="Arial" w:hAnsi="Arial"/>
          <w:sz w:val="16"/>
          <w:szCs w:val="16"/>
          <w:color w:val="auto"/>
        </w:rPr>
        <w:t>Except for the Material Contracts that expire by their terms on or prior to the Closing Date, each Material Contract is a valid and binding obligation of the Company and its Subsidiaries, as applicable, that is a party thereto and, to the Knowledge of Sellers, of each other party thereto, and, to the Knowledge of Sellers, is in full force and effect and enforceable in accordance with its terms (subject to the Bankruptcy and Equity Exclusion), and neither the Company nor any of its Subsidiaries, in each case, that is a party thereto, and to the Knowledge of Sellers, no other party thereto is (with or without the lapse of time or the giving of notice, or both) in material breach or material default thereunder, except for such breaches or defaults as would not reasonably be expected to have, individually or in the aggregate, a Material Adverse Effect.</w:t>
      </w:r>
    </w:p>
    <w:p>
      <w:pPr>
        <w:spacing w:after="0" w:line="166" w:lineRule="exact"/>
        <w:rPr>
          <w:sz w:val="20"/>
          <w:szCs w:val="20"/>
          <w:color w:val="auto"/>
        </w:rPr>
      </w:pPr>
    </w:p>
    <w:p>
      <w:pPr>
        <w:jc w:val="both"/>
        <w:ind w:firstLine="1195"/>
        <w:spacing w:after="0" w:line="248" w:lineRule="auto"/>
        <w:rPr>
          <w:sz w:val="20"/>
          <w:szCs w:val="20"/>
          <w:color w:val="auto"/>
        </w:rPr>
      </w:pPr>
      <w:r>
        <w:rPr>
          <w:rFonts w:ascii="Arial" w:cs="Arial" w:eastAsia="Arial" w:hAnsi="Arial"/>
          <w:sz w:val="17"/>
          <w:szCs w:val="17"/>
          <w:color w:val="010000"/>
        </w:rPr>
        <w:t xml:space="preserve">Section 3.14 </w:t>
      </w:r>
      <w:r>
        <w:rPr>
          <w:rFonts w:ascii="Arial" w:cs="Arial" w:eastAsia="Arial" w:hAnsi="Arial"/>
          <w:sz w:val="17"/>
          <w:szCs w:val="17"/>
          <w:u w:val="single" w:color="auto"/>
          <w:color w:val="000000"/>
        </w:rPr>
        <w:t>Insurance Coverage</w:t>
      </w:r>
      <w:r>
        <w:rPr>
          <w:rFonts w:ascii="Arial" w:cs="Arial" w:eastAsia="Arial" w:hAnsi="Arial"/>
          <w:sz w:val="17"/>
          <w:szCs w:val="17"/>
          <w:color w:val="000000"/>
        </w:rPr>
        <w:t>. Section 3.14 of the Disclosure Letter sets forth, as of the date hereof, all material insurance policies and fidelity bonds</w:t>
      </w:r>
      <w:r>
        <w:rPr>
          <w:rFonts w:ascii="Arial" w:cs="Arial" w:eastAsia="Arial" w:hAnsi="Arial"/>
          <w:sz w:val="17"/>
          <w:szCs w:val="17"/>
          <w:color w:val="010000"/>
        </w:rPr>
        <w:t xml:space="preserve"> </w:t>
      </w:r>
      <w:r>
        <w:rPr>
          <w:rFonts w:ascii="Arial" w:cs="Arial" w:eastAsia="Arial" w:hAnsi="Arial"/>
          <w:sz w:val="17"/>
          <w:szCs w:val="17"/>
          <w:color w:val="000000"/>
        </w:rPr>
        <w:t>maintained by the Company or any of its Subsidiaries. Except as would not reasonably be expected to have a Material Adverse Effect, all such insurance policies are in full force and effect, all premiums due and payable thereon have been paid, and no written notice of cancellation or termination has been received by the Company or any of its Subsidiaries, as applicable, with respect to any such policy. To the Knowledge of Sellers, such insurance policies, in light of the nature of the Company’s business, assets and properties, are in amounts and have coverage that are reasonable and customary for similarly-situated Persons engaged in such business and having such assets and properties.</w:t>
      </w:r>
    </w:p>
    <w:p>
      <w:pPr>
        <w:spacing w:after="0" w:line="182" w:lineRule="exact"/>
        <w:rPr>
          <w:sz w:val="20"/>
          <w:szCs w:val="20"/>
          <w:color w:val="auto"/>
        </w:rPr>
      </w:pPr>
    </w:p>
    <w:p>
      <w:pPr>
        <w:jc w:val="both"/>
        <w:ind w:firstLine="1195"/>
        <w:spacing w:after="0" w:line="286" w:lineRule="auto"/>
        <w:rPr>
          <w:sz w:val="20"/>
          <w:szCs w:val="20"/>
          <w:color w:val="auto"/>
        </w:rPr>
      </w:pPr>
      <w:r>
        <w:rPr>
          <w:rFonts w:ascii="Arial" w:cs="Arial" w:eastAsia="Arial" w:hAnsi="Arial"/>
          <w:sz w:val="15"/>
          <w:szCs w:val="15"/>
          <w:color w:val="010000"/>
        </w:rPr>
        <w:t xml:space="preserve">Section 3.15 </w:t>
      </w:r>
      <w:r>
        <w:rPr>
          <w:rFonts w:ascii="Arial" w:cs="Arial" w:eastAsia="Arial" w:hAnsi="Arial"/>
          <w:sz w:val="15"/>
          <w:szCs w:val="15"/>
          <w:u w:val="single" w:color="auto"/>
          <w:color w:val="000000"/>
        </w:rPr>
        <w:t>Environmental Matters</w:t>
      </w:r>
      <w:r>
        <w:rPr>
          <w:rFonts w:ascii="Arial" w:cs="Arial" w:eastAsia="Arial" w:hAnsi="Arial"/>
          <w:sz w:val="15"/>
          <w:szCs w:val="15"/>
          <w:color w:val="000000"/>
        </w:rPr>
        <w:t>. Except as would not reasonably be expected to have, individually or in the aggregate, a Material Adverse Effect, (a)</w:t>
      </w:r>
      <w:r>
        <w:rPr>
          <w:rFonts w:ascii="Arial" w:cs="Arial" w:eastAsia="Arial" w:hAnsi="Arial"/>
          <w:sz w:val="15"/>
          <w:szCs w:val="15"/>
          <w:color w:val="010000"/>
        </w:rPr>
        <w:t xml:space="preserve"> </w:t>
      </w:r>
      <w:r>
        <w:rPr>
          <w:rFonts w:ascii="Arial" w:cs="Arial" w:eastAsia="Arial" w:hAnsi="Arial"/>
          <w:sz w:val="15"/>
          <w:szCs w:val="15"/>
          <w:color w:val="000000"/>
        </w:rPr>
        <w:t xml:space="preserve">the Company and its Subsidiaries are in compliance with all Environmental Laws, (b) the Company and its Subsidiaries have obtained or caused to be obtained all Permits necessary for their business and operations as required to comply with all applicable Environmental Laws, and the Company and its Subsidiaries are in compliance with the terms and conditions of such Permits, (c) to the Knowledge of Sellers, there has been no Release or threatened Release at any of the Leased Premises that would reasonably be expected to result in Environmental Liabilities or an Environmental Claim, and (d) there are no Environmental Claims pending against the Company or its Subsidiaries. Notwithstanding anything to the contrary in this </w:t>
      </w:r>
      <w:r>
        <w:rPr>
          <w:rFonts w:ascii="Arial" w:cs="Arial" w:eastAsia="Arial" w:hAnsi="Arial"/>
          <w:sz w:val="15"/>
          <w:szCs w:val="15"/>
          <w:u w:val="single" w:color="auto"/>
          <w:color w:val="000000"/>
        </w:rPr>
        <w:t>Article III</w:t>
      </w:r>
      <w:r>
        <w:rPr>
          <w:rFonts w:ascii="Arial" w:cs="Arial" w:eastAsia="Arial" w:hAnsi="Arial"/>
          <w:sz w:val="15"/>
          <w:szCs w:val="15"/>
          <w:color w:val="000000"/>
        </w:rPr>
        <w:t xml:space="preserve">, this </w:t>
      </w:r>
      <w:r>
        <w:rPr>
          <w:rFonts w:ascii="Arial" w:cs="Arial" w:eastAsia="Arial" w:hAnsi="Arial"/>
          <w:sz w:val="15"/>
          <w:szCs w:val="15"/>
          <w:u w:val="single" w:color="auto"/>
          <w:color w:val="000000"/>
        </w:rPr>
        <w:t>Section 3.15</w:t>
      </w:r>
      <w:r>
        <w:rPr>
          <w:rFonts w:ascii="Arial" w:cs="Arial" w:eastAsia="Arial" w:hAnsi="Arial"/>
          <w:sz w:val="15"/>
          <w:szCs w:val="15"/>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5"/>
          <w:szCs w:val="15"/>
          <w:u w:val="single" w:color="auto"/>
          <w:color w:val="000000"/>
        </w:rPr>
        <w:t>Section 3.15</w:t>
      </w:r>
      <w:r>
        <w:rPr>
          <w:rFonts w:ascii="Arial" w:cs="Arial" w:eastAsia="Arial" w:hAnsi="Arial"/>
          <w:sz w:val="15"/>
          <w:szCs w:val="15"/>
          <w:color w:val="000000"/>
        </w:rPr>
        <w:t>.</w:t>
      </w:r>
    </w:p>
    <w:p>
      <w:pPr>
        <w:spacing w:after="0" w:line="155" w:lineRule="exact"/>
        <w:rPr>
          <w:sz w:val="20"/>
          <w:szCs w:val="20"/>
          <w:color w:val="auto"/>
        </w:rPr>
      </w:pPr>
    </w:p>
    <w:p>
      <w:pPr>
        <w:ind w:left="1200"/>
        <w:spacing w:after="0"/>
        <w:rPr>
          <w:sz w:val="20"/>
          <w:szCs w:val="20"/>
          <w:color w:val="auto"/>
        </w:rPr>
      </w:pPr>
      <w:r>
        <w:rPr>
          <w:rFonts w:ascii="Arial" w:cs="Arial" w:eastAsia="Arial" w:hAnsi="Arial"/>
          <w:sz w:val="17"/>
          <w:szCs w:val="17"/>
          <w:color w:val="010000"/>
        </w:rPr>
        <w:t xml:space="preserve">Section 3.16 </w:t>
      </w:r>
      <w:r>
        <w:rPr>
          <w:rFonts w:ascii="Arial" w:cs="Arial" w:eastAsia="Arial" w:hAnsi="Arial"/>
          <w:sz w:val="17"/>
          <w:szCs w:val="17"/>
          <w:u w:val="single" w:color="auto"/>
          <w:color w:val="000000"/>
        </w:rPr>
        <w:t>Employee Benefit Plans</w:t>
      </w:r>
      <w:r>
        <w:rPr>
          <w:rFonts w:ascii="Arial" w:cs="Arial" w:eastAsia="Arial" w:hAnsi="Arial"/>
          <w:sz w:val="17"/>
          <w:szCs w:val="17"/>
          <w:color w:val="000000"/>
        </w:rPr>
        <w:t>.</w:t>
      </w:r>
    </w:p>
    <w:p>
      <w:pPr>
        <w:spacing w:after="0" w:line="203" w:lineRule="exact"/>
        <w:rPr>
          <w:sz w:val="20"/>
          <w:szCs w:val="20"/>
          <w:color w:val="auto"/>
        </w:rPr>
      </w:pPr>
    </w:p>
    <w:p>
      <w:pPr>
        <w:jc w:val="both"/>
        <w:ind w:left="820" w:firstLine="599"/>
        <w:spacing w:after="0" w:line="281" w:lineRule="auto"/>
        <w:tabs>
          <w:tab w:leader="none" w:pos="2029" w:val="left"/>
        </w:tabs>
        <w:numPr>
          <w:ilvl w:val="0"/>
          <w:numId w:val="23"/>
        </w:numPr>
        <w:rPr>
          <w:rFonts w:ascii="Arial" w:cs="Arial" w:eastAsia="Arial" w:hAnsi="Arial"/>
          <w:sz w:val="15"/>
          <w:szCs w:val="15"/>
          <w:color w:val="010000"/>
        </w:rPr>
      </w:pPr>
      <w:r>
        <w:rPr>
          <w:rFonts w:ascii="Arial" w:cs="Arial" w:eastAsia="Arial" w:hAnsi="Arial"/>
          <w:sz w:val="15"/>
          <w:szCs w:val="15"/>
          <w:color w:val="auto"/>
        </w:rPr>
        <w:t>Section 3.16(a) of the Disclosure Letter sets forth, as of the date hereof, a complete and accurate list of each material Employee Benefit Plan. Each Employee Benefit Plan has been maintained, funded and administered in all material respects in accordance with its terms and in compliance in all material respects with the applicable requirements of ERISA, the Code and other applicable Laws, in each case, except for such instances of non-compliance as would not reasonably be expected to have, individually or in the aggregate, a Material Adverse Effect. Except for routine claims for benefits, there is no Proceeding pending or, to the Knowledge of Sellers, threatened against or arising out of an Employee Benefit Plan, except for those Proceedings that would not reasonably be expected to have, individually or in the aggregate, a Material Adverse Effect. Each Employee Benefit Plan that is intended to meet the requirements of Section 401(a) of the Code has received a favorable determination letter or favorable opinion letter from the IRS and, to the Knowledge of the Sellers, no fact or event has occurred since the date of such letter that would reasonably be expected to materially and adversely affect the qualified status of such Employee Benefit Plan. Except as would not reasonably be expected to have, individually or in the aggregate, a Material Adverse Effect, all contributions and premiums required by applicable Law or by the terms of any Employee Benefit Plan or any agreement relating thereto have been timely made to any funds or trusts established thereunder or in connection therewith. Neither the Company nor any of its Subsidiaries, or any other entity which, together with the Company or any of its Subsidiaries, would be treated as a single employer under Section 4001 of ERISA or Section 414 of the Code contributes to, or has any obligation to contribute to, or has any material liability with respect to, any Title IV Plan or any Multiemployer Plan.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33" w:name="page34"/>
    <w:bookmarkEnd w:id="33"/>
    <w:p>
      <w:pPr>
        <w:jc w:val="both"/>
        <w:ind w:left="-380" w:firstLine="599"/>
        <w:spacing w:after="0" w:line="248" w:lineRule="auto"/>
        <w:tabs>
          <w:tab w:leader="none" w:pos="975" w:val="left"/>
        </w:tabs>
        <w:numPr>
          <w:ilvl w:val="0"/>
          <w:numId w:val="24"/>
        </w:numPr>
        <w:rPr>
          <w:rFonts w:ascii="Arial" w:cs="Arial" w:eastAsia="Arial" w:hAnsi="Arial"/>
          <w:sz w:val="17"/>
          <w:szCs w:val="17"/>
          <w:color w:val="010000"/>
        </w:rPr>
      </w:pPr>
      <w:r>
        <w:rPr>
          <w:rFonts w:ascii="Arial" w:cs="Arial" w:eastAsia="Arial" w:hAnsi="Arial"/>
          <w:sz w:val="17"/>
          <w:szCs w:val="17"/>
          <w:color w:val="auto"/>
        </w:rPr>
        <w:t>Sellers have furnished or made available to Buyer a true and complete copy of each material Employee Benefit Plan and, to the extent applicable, a true and complete copy of (i) each trust or other funding arrangement in connection with each such Employee Benefit Plan, (ii) the current summary plan description and summary of material modifications for each such Employee Benefit Plan, (iii) the most recent annual report (Form 5500s) in connection with each Employee Benefit Plan, (iv) the most recently received determination letter or opinion letter from the IRS for each Employee Benefit Plan intended to qualify under ERISA or the Code, and (v) the most recently prepared actuarial report and financial statement in connection with each such Employee Benefit Plan.</w:t>
      </w:r>
    </w:p>
    <w:p>
      <w:pPr>
        <w:spacing w:after="0" w:line="182" w:lineRule="exact"/>
        <w:rPr>
          <w:rFonts w:ascii="Arial" w:cs="Arial" w:eastAsia="Arial" w:hAnsi="Arial"/>
          <w:sz w:val="17"/>
          <w:szCs w:val="17"/>
          <w:color w:val="010000"/>
        </w:rPr>
      </w:pPr>
    </w:p>
    <w:p>
      <w:pPr>
        <w:jc w:val="both"/>
        <w:ind w:left="-380" w:firstLine="599"/>
        <w:spacing w:after="0" w:line="249" w:lineRule="auto"/>
        <w:tabs>
          <w:tab w:leader="none" w:pos="1003" w:val="left"/>
        </w:tabs>
        <w:numPr>
          <w:ilvl w:val="0"/>
          <w:numId w:val="24"/>
        </w:numPr>
        <w:rPr>
          <w:rFonts w:ascii="Arial" w:cs="Arial" w:eastAsia="Arial" w:hAnsi="Arial"/>
          <w:sz w:val="17"/>
          <w:szCs w:val="17"/>
          <w:color w:val="010000"/>
        </w:rPr>
      </w:pPr>
      <w:r>
        <w:rPr>
          <w:rFonts w:ascii="Arial" w:cs="Arial" w:eastAsia="Arial" w:hAnsi="Arial"/>
          <w:sz w:val="17"/>
          <w:szCs w:val="17"/>
          <w:color w:val="auto"/>
        </w:rPr>
        <w:t>Neither the execution and delivery of this Agreement nor the consummation of the Contemplated Transactions will (either alone or in conjunction with any other event) (i) result in, cause the accelerated vesting, funding or delivery of, or materially increase the amount or value of, any payment or benefit from the Company or any of its Subsidiaries to any employee, officer or director of the Company or any of its Subsidiaries, or (ii) result in the payment of any amount or benefit that could, individually or in combination with any other payment or benefit, constitute an “excess parachute payment” as defined in Section 280G(b)(1) of the Code.</w:t>
      </w:r>
    </w:p>
    <w:p>
      <w:pPr>
        <w:spacing w:after="0" w:line="181" w:lineRule="exact"/>
        <w:rPr>
          <w:rFonts w:ascii="Arial" w:cs="Arial" w:eastAsia="Arial" w:hAnsi="Arial"/>
          <w:sz w:val="17"/>
          <w:szCs w:val="17"/>
          <w:color w:val="010000"/>
        </w:rPr>
      </w:pPr>
    </w:p>
    <w:p>
      <w:pPr>
        <w:ind w:left="-380" w:firstLine="599"/>
        <w:spacing w:after="0" w:line="264" w:lineRule="auto"/>
        <w:tabs>
          <w:tab w:leader="none" w:pos="876" w:val="left"/>
        </w:tabs>
        <w:numPr>
          <w:ilvl w:val="0"/>
          <w:numId w:val="24"/>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3.16</w:t>
      </w:r>
      <w:r>
        <w:rPr>
          <w:rFonts w:ascii="Arial" w:cs="Arial" w:eastAsia="Arial" w:hAnsi="Arial"/>
          <w:sz w:val="17"/>
          <w:szCs w:val="17"/>
          <w:color w:val="auto"/>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auto"/>
        </w:rPr>
        <w:t>Section 3.16</w:t>
      </w:r>
      <w:r>
        <w:rPr>
          <w:rFonts w:ascii="Arial" w:cs="Arial" w:eastAsia="Arial" w:hAnsi="Arial"/>
          <w:sz w:val="17"/>
          <w:szCs w:val="17"/>
          <w:color w:val="auto"/>
        </w:rPr>
        <w:t>.</w:t>
      </w:r>
    </w:p>
    <w:p>
      <w:pPr>
        <w:spacing w:after="0" w:line="267"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7257415"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650"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010000"/>
        </w:rPr>
        <w:t xml:space="preserve">Section 3.17 </w:t>
      </w:r>
      <w:r>
        <w:rPr>
          <w:rFonts w:ascii="Arial" w:cs="Arial" w:eastAsia="Arial" w:hAnsi="Arial"/>
          <w:sz w:val="17"/>
          <w:szCs w:val="17"/>
          <w:u w:val="single" w:color="auto"/>
          <w:color w:val="000000"/>
        </w:rPr>
        <w:t>Labor Matters</w:t>
      </w:r>
      <w:r>
        <w:rPr>
          <w:rFonts w:ascii="Arial" w:cs="Arial" w:eastAsia="Arial" w:hAnsi="Arial"/>
          <w:sz w:val="17"/>
          <w:szCs w:val="17"/>
          <w:color w:val="000000"/>
        </w:rPr>
        <w:t>.</w:t>
      </w:r>
    </w:p>
    <w:p>
      <w:pPr>
        <w:spacing w:after="0" w:line="203" w:lineRule="exact"/>
        <w:rPr>
          <w:sz w:val="20"/>
          <w:szCs w:val="20"/>
          <w:color w:val="auto"/>
        </w:rPr>
      </w:pPr>
    </w:p>
    <w:p>
      <w:pPr>
        <w:jc w:val="both"/>
        <w:ind w:left="-380" w:firstLine="599"/>
        <w:spacing w:after="0" w:line="267" w:lineRule="auto"/>
        <w:tabs>
          <w:tab w:leader="none" w:pos="829" w:val="left"/>
        </w:tabs>
        <w:numPr>
          <w:ilvl w:val="0"/>
          <w:numId w:val="25"/>
        </w:numPr>
        <w:rPr>
          <w:rFonts w:ascii="Arial" w:cs="Arial" w:eastAsia="Arial" w:hAnsi="Arial"/>
          <w:sz w:val="16"/>
          <w:szCs w:val="16"/>
          <w:color w:val="010000"/>
        </w:rPr>
      </w:pPr>
      <w:r>
        <w:rPr>
          <w:rFonts w:ascii="Arial" w:cs="Arial" w:eastAsia="Arial" w:hAnsi="Arial"/>
          <w:sz w:val="16"/>
          <w:szCs w:val="16"/>
          <w:color w:val="auto"/>
        </w:rPr>
        <w:t>Neither the Company nor any of its Subsidiaries is a party to or otherwise bound by or currently negotiating any collective bargaining or any other type of collective labor or union agreement, and there is no labor union or other organization representing employees of the Company and its Subsidiaries. No strike, labor suit or proceeding or labor administrative proceeding is pending or, to the Knowledge of Sellers, threatened regarding employees of the Company and its Subsidiaries (in such employees’ capacities as such) that would reasonably be expected to have, individually or in the aggregate, a Material Adverse Effect, and, to the Knowledge of Sellers, no such matter has been threatened by employees of the Company and its Subsidiaries (in such employees’ capacities as such) within the 12-month period prior to the date hereof.</w:t>
      </w:r>
    </w:p>
    <w:p>
      <w:pPr>
        <w:spacing w:after="0" w:line="166" w:lineRule="exact"/>
        <w:rPr>
          <w:rFonts w:ascii="Arial" w:cs="Arial" w:eastAsia="Arial" w:hAnsi="Arial"/>
          <w:sz w:val="16"/>
          <w:szCs w:val="16"/>
          <w:color w:val="010000"/>
        </w:rPr>
      </w:pPr>
    </w:p>
    <w:p>
      <w:pPr>
        <w:jc w:val="both"/>
        <w:ind w:left="-380" w:firstLine="599"/>
        <w:spacing w:after="0" w:line="284" w:lineRule="auto"/>
        <w:tabs>
          <w:tab w:leader="none" w:pos="938" w:val="left"/>
        </w:tabs>
        <w:numPr>
          <w:ilvl w:val="0"/>
          <w:numId w:val="25"/>
        </w:numPr>
        <w:rPr>
          <w:rFonts w:ascii="Arial" w:cs="Arial" w:eastAsia="Arial" w:hAnsi="Arial"/>
          <w:sz w:val="15"/>
          <w:szCs w:val="15"/>
          <w:color w:val="010000"/>
        </w:rPr>
      </w:pPr>
      <w:r>
        <w:rPr>
          <w:rFonts w:ascii="Arial" w:cs="Arial" w:eastAsia="Arial" w:hAnsi="Arial"/>
          <w:sz w:val="15"/>
          <w:szCs w:val="15"/>
          <w:color w:val="auto"/>
        </w:rPr>
        <w:t>In the 12 months prior to the date hereof, neither the Company nor any of its Subsidiaries has been a party to a Proceeding in which the Company and its Subsidiaries, as applicable, was or is alleged to have violated in any material respect any material applicable Laws, or any material Orders of any Governmental Authority, or any material arbitration awards, relating to employment, equal opportunity, nondiscrimination, immigration, wages, hours, benefits, collective bargaining, the payment of social security or similar Taxes, and/or income Tax withholding, that would reasonably be expected to have, individually or in the aggregate, a Material Adverse Effect. Except as would not reasonably be expected to have, individually or in the aggregate, a Material Adverse Effect, each of the Company and its Subsidiaries is, and for the past 12 months has been, in compliance in all material respects with all applicable Laws and collective bargaining agreements regarding employment and employment practices, terms and conditions of employment, immigration, wages and hours, occupational safety and health, equal opportunity, leave of absence, eligibility for and payment of overtime, classification of independent contractors and employees, safety and health, unemployment insurance and workers’ compensation.</w:t>
      </w:r>
    </w:p>
    <w:p>
      <w:pPr>
        <w:spacing w:after="0" w:line="155" w:lineRule="exact"/>
        <w:rPr>
          <w:rFonts w:ascii="Arial" w:cs="Arial" w:eastAsia="Arial" w:hAnsi="Arial"/>
          <w:sz w:val="15"/>
          <w:szCs w:val="15"/>
          <w:color w:val="010000"/>
        </w:rPr>
      </w:pPr>
    </w:p>
    <w:p>
      <w:pPr>
        <w:ind w:left="-380" w:firstLine="599"/>
        <w:spacing w:after="0" w:line="264" w:lineRule="auto"/>
        <w:tabs>
          <w:tab w:leader="none" w:pos="866" w:val="left"/>
        </w:tabs>
        <w:numPr>
          <w:ilvl w:val="0"/>
          <w:numId w:val="25"/>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auto"/>
        </w:rPr>
        <w:t>Section 3.17</w:t>
      </w:r>
      <w:r>
        <w:rPr>
          <w:rFonts w:ascii="Arial" w:cs="Arial" w:eastAsia="Arial" w:hAnsi="Arial"/>
          <w:sz w:val="17"/>
          <w:szCs w:val="17"/>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010000"/>
        </w:rPr>
        <w:t xml:space="preserve">Section 3.18  </w:t>
      </w:r>
      <w:r>
        <w:rPr>
          <w:rFonts w:ascii="Arial" w:cs="Arial" w:eastAsia="Arial" w:hAnsi="Arial"/>
          <w:sz w:val="17"/>
          <w:szCs w:val="17"/>
          <w:u w:val="single" w:color="auto"/>
          <w:color w:val="000000"/>
        </w:rPr>
        <w:t>Taxes</w:t>
      </w:r>
      <w:r>
        <w:rPr>
          <w:rFonts w:ascii="Arial" w:cs="Arial" w:eastAsia="Arial" w:hAnsi="Arial"/>
          <w:sz w:val="17"/>
          <w:szCs w:val="17"/>
          <w:color w:val="000000"/>
        </w:rPr>
        <w:t>. Except as would not be reasonably expected to have, individually or in the aggregate, a Material Adverse Effect:</w:t>
      </w:r>
    </w:p>
    <w:p>
      <w:pPr>
        <w:spacing w:after="0" w:line="203" w:lineRule="exact"/>
        <w:rPr>
          <w:sz w:val="20"/>
          <w:szCs w:val="20"/>
          <w:color w:val="auto"/>
        </w:rPr>
      </w:pPr>
    </w:p>
    <w:p>
      <w:pPr>
        <w:jc w:val="both"/>
        <w:ind w:left="-380" w:firstLine="599"/>
        <w:spacing w:after="0" w:line="251" w:lineRule="auto"/>
        <w:tabs>
          <w:tab w:leader="none" w:pos="854" w:val="left"/>
        </w:tabs>
        <w:numPr>
          <w:ilvl w:val="0"/>
          <w:numId w:val="26"/>
        </w:numPr>
        <w:rPr>
          <w:rFonts w:ascii="Arial" w:cs="Arial" w:eastAsia="Arial" w:hAnsi="Arial"/>
          <w:sz w:val="17"/>
          <w:szCs w:val="17"/>
          <w:color w:val="010000"/>
        </w:rPr>
      </w:pPr>
      <w:r>
        <w:rPr>
          <w:rFonts w:ascii="Arial" w:cs="Arial" w:eastAsia="Arial" w:hAnsi="Arial"/>
          <w:sz w:val="17"/>
          <w:szCs w:val="17"/>
          <w:color w:val="auto"/>
        </w:rPr>
        <w:t>All Tax Returns required to be filed by or with respect to the Company or any of its Subsidiaries have been timely filed (taking into account applicable extensions), and all Taxes reported as due on such Tax Returns have been paid. Neither the Company nor any of its Subsidiaries has granted any extension or waiver of the statute of limitations period, or of the time for assessment or collection, applicable to any Tax or Tax Return, which period (after giving effect to such extension or waiver) has not yet expired.</w:t>
      </w:r>
    </w:p>
    <w:p>
      <w:pPr>
        <w:spacing w:after="0" w:line="278"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7257415"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650" w:right="239" w:bottom="1440" w:gutter="0" w:footer="0" w:header="0"/>
        </w:sectPr>
      </w:pPr>
    </w:p>
    <w:bookmarkStart w:id="35" w:name="page36"/>
    <w:bookmarkEnd w:id="35"/>
    <w:p>
      <w:pPr>
        <w:jc w:val="both"/>
        <w:ind w:left="820" w:firstLine="599"/>
        <w:spacing w:after="0" w:line="249" w:lineRule="auto"/>
        <w:tabs>
          <w:tab w:leader="none" w:pos="2038" w:val="left"/>
        </w:tabs>
        <w:numPr>
          <w:ilvl w:val="0"/>
          <w:numId w:val="27"/>
        </w:numPr>
        <w:rPr>
          <w:rFonts w:ascii="Arial" w:cs="Arial" w:eastAsia="Arial" w:hAnsi="Arial"/>
          <w:sz w:val="17"/>
          <w:szCs w:val="17"/>
          <w:color w:val="010000"/>
        </w:rPr>
      </w:pPr>
      <w:r>
        <w:rPr>
          <w:rFonts w:ascii="Arial" w:cs="Arial" w:eastAsia="Arial" w:hAnsi="Arial"/>
          <w:sz w:val="17"/>
          <w:szCs w:val="17"/>
          <w:color w:val="auto"/>
        </w:rPr>
        <w:t>To the Knowledge of Sellers, there is no Proceeding pending with respect to any Tax Return filed by the Company or any of its Subsidiaries. Other than Permitted Liens, there are no Liens for Taxes upon any of the assets of the Company and its Subsidiaries. There are no requests for rulings or determinations in respect of any Tax pending between the Company or any of its Subsidiaries, on the one hand, and any Governmental Authority, on the other hand. There are no closing agreements or similar arrangements with any Governmental Authority with regard to the determination of the Tax liability of the Company or any of its Subsidiaries.</w:t>
      </w:r>
    </w:p>
    <w:p>
      <w:pPr>
        <w:spacing w:after="0" w:line="181" w:lineRule="exact"/>
        <w:rPr>
          <w:rFonts w:ascii="Arial" w:cs="Arial" w:eastAsia="Arial" w:hAnsi="Arial"/>
          <w:sz w:val="17"/>
          <w:szCs w:val="17"/>
          <w:color w:val="010000"/>
        </w:rPr>
      </w:pPr>
    </w:p>
    <w:p>
      <w:pPr>
        <w:ind w:left="820" w:firstLine="599"/>
        <w:spacing w:after="0" w:line="264" w:lineRule="auto"/>
        <w:tabs>
          <w:tab w:leader="none" w:pos="2104" w:val="left"/>
        </w:tabs>
        <w:numPr>
          <w:ilvl w:val="0"/>
          <w:numId w:val="27"/>
        </w:numPr>
        <w:rPr>
          <w:rFonts w:ascii="Arial" w:cs="Arial" w:eastAsia="Arial" w:hAnsi="Arial"/>
          <w:sz w:val="17"/>
          <w:szCs w:val="17"/>
          <w:color w:val="010000"/>
        </w:rPr>
      </w:pPr>
      <w:r>
        <w:rPr>
          <w:rFonts w:ascii="Arial" w:cs="Arial" w:eastAsia="Arial" w:hAnsi="Arial"/>
          <w:sz w:val="17"/>
          <w:szCs w:val="17"/>
          <w:color w:val="auto"/>
        </w:rPr>
        <w:t>To the Knowledge of Sellers, neither the Company nor any of its Subsidiaries has engaged in a “listed transaction” within the meaning of Treasury Regulation Section 1.6011-4(b)(2).</w:t>
      </w:r>
    </w:p>
    <w:p>
      <w:pPr>
        <w:spacing w:after="0" w:line="167" w:lineRule="exact"/>
        <w:rPr>
          <w:rFonts w:ascii="Arial" w:cs="Arial" w:eastAsia="Arial" w:hAnsi="Arial"/>
          <w:sz w:val="17"/>
          <w:szCs w:val="17"/>
          <w:color w:val="010000"/>
        </w:rPr>
      </w:pPr>
    </w:p>
    <w:p>
      <w:pPr>
        <w:ind w:left="820" w:firstLine="599"/>
        <w:spacing w:after="0" w:line="264" w:lineRule="auto"/>
        <w:tabs>
          <w:tab w:leader="none" w:pos="2076" w:val="left"/>
        </w:tabs>
        <w:numPr>
          <w:ilvl w:val="0"/>
          <w:numId w:val="27"/>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3.18</w:t>
      </w:r>
      <w:r>
        <w:rPr>
          <w:rFonts w:ascii="Arial" w:cs="Arial" w:eastAsia="Arial" w:hAnsi="Arial"/>
          <w:sz w:val="17"/>
          <w:szCs w:val="17"/>
          <w:color w:val="auto"/>
        </w:rPr>
        <w:t xml:space="preserve"> contains the sole and exclusive representations and warranties of Sellers relating Taxes.</w:t>
      </w:r>
    </w:p>
    <w:p>
      <w:pPr>
        <w:spacing w:after="0" w:line="168"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3.19 </w:t>
      </w:r>
      <w:r>
        <w:rPr>
          <w:rFonts w:ascii="Arial" w:cs="Arial" w:eastAsia="Arial" w:hAnsi="Arial"/>
          <w:sz w:val="17"/>
          <w:szCs w:val="17"/>
          <w:u w:val="single" w:color="auto"/>
          <w:color w:val="000000"/>
        </w:rPr>
        <w:t>Brokers or Finders</w:t>
      </w:r>
      <w:r>
        <w:rPr>
          <w:rFonts w:ascii="Arial" w:cs="Arial" w:eastAsia="Arial" w:hAnsi="Arial"/>
          <w:sz w:val="17"/>
          <w:szCs w:val="17"/>
          <w:color w:val="000000"/>
        </w:rPr>
        <w:t>. Other than the Financial Advisor , there is no investment banker, broker, finder or other intermediary that has been</w:t>
      </w:r>
      <w:r>
        <w:rPr>
          <w:rFonts w:ascii="Arial" w:cs="Arial" w:eastAsia="Arial" w:hAnsi="Arial"/>
          <w:sz w:val="17"/>
          <w:szCs w:val="17"/>
          <w:color w:val="010000"/>
        </w:rPr>
        <w:t xml:space="preserve"> </w:t>
      </w:r>
      <w:r>
        <w:rPr>
          <w:rFonts w:ascii="Arial" w:cs="Arial" w:eastAsia="Arial" w:hAnsi="Arial"/>
          <w:sz w:val="17"/>
          <w:szCs w:val="17"/>
          <w:color w:val="000000"/>
        </w:rPr>
        <w:t>retained by or is authorized to act on behalf of Sellers, the Company or any of its Subsidiaries who might be entitled to any fee or commission in connection with the Contemplated Transactions.</w:t>
      </w:r>
    </w:p>
    <w:p>
      <w:pPr>
        <w:spacing w:after="0" w:line="176"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3.20 </w:t>
      </w:r>
      <w:r>
        <w:rPr>
          <w:rFonts w:ascii="Arial" w:cs="Arial" w:eastAsia="Arial" w:hAnsi="Arial"/>
          <w:sz w:val="17"/>
          <w:szCs w:val="17"/>
          <w:u w:val="single" w:color="auto"/>
          <w:color w:val="000000"/>
        </w:rPr>
        <w:t>Affiliate Transactions</w:t>
      </w:r>
      <w:r>
        <w:rPr>
          <w:rFonts w:ascii="Arial" w:cs="Arial" w:eastAsia="Arial" w:hAnsi="Arial"/>
          <w:sz w:val="17"/>
          <w:szCs w:val="17"/>
          <w:color w:val="000000"/>
        </w:rPr>
        <w:t>. Except as listed on Section 3.20 of the Disclosure Letter, there are no material Contracts (including management</w:t>
      </w:r>
      <w:r>
        <w:rPr>
          <w:rFonts w:ascii="Arial" w:cs="Arial" w:eastAsia="Arial" w:hAnsi="Arial"/>
          <w:sz w:val="17"/>
          <w:szCs w:val="17"/>
          <w:color w:val="010000"/>
        </w:rPr>
        <w:t xml:space="preserve"> </w:t>
      </w:r>
      <w:r>
        <w:rPr>
          <w:rFonts w:ascii="Arial" w:cs="Arial" w:eastAsia="Arial" w:hAnsi="Arial"/>
          <w:sz w:val="17"/>
          <w:szCs w:val="17"/>
          <w:color w:val="000000"/>
        </w:rPr>
        <w:t>agreements) that shall survive the Closing between the Company or any of its Subsidiaries, on the one hand, and Sellers or any Affiliate thereof (excluding the Company and its Subsidiaries), on the other hand.</w:t>
      </w:r>
    </w:p>
    <w:p>
      <w:pPr>
        <w:spacing w:after="0" w:line="176" w:lineRule="exact"/>
        <w:rPr>
          <w:sz w:val="20"/>
          <w:szCs w:val="20"/>
          <w:color w:val="auto"/>
        </w:rPr>
      </w:pPr>
    </w:p>
    <w:p>
      <w:pPr>
        <w:jc w:val="both"/>
        <w:ind w:firstLine="1195"/>
        <w:spacing w:after="0" w:line="295" w:lineRule="auto"/>
        <w:rPr>
          <w:sz w:val="20"/>
          <w:szCs w:val="20"/>
          <w:color w:val="auto"/>
        </w:rPr>
      </w:pPr>
      <w:r>
        <w:rPr>
          <w:rFonts w:ascii="Arial" w:cs="Arial" w:eastAsia="Arial" w:hAnsi="Arial"/>
          <w:sz w:val="15"/>
          <w:szCs w:val="15"/>
          <w:color w:val="010000"/>
        </w:rPr>
        <w:t xml:space="preserve">Section 3.21 </w:t>
      </w:r>
      <w:r>
        <w:rPr>
          <w:rFonts w:ascii="Arial" w:cs="Arial" w:eastAsia="Arial" w:hAnsi="Arial"/>
          <w:sz w:val="15"/>
          <w:szCs w:val="15"/>
          <w:u w:val="single" w:color="auto"/>
          <w:color w:val="000000"/>
        </w:rPr>
        <w:t>Suppliers</w:t>
      </w:r>
      <w:r>
        <w:rPr>
          <w:rFonts w:ascii="Arial" w:cs="Arial" w:eastAsia="Arial" w:hAnsi="Arial"/>
          <w:sz w:val="15"/>
          <w:szCs w:val="15"/>
          <w:color w:val="000000"/>
        </w:rPr>
        <w:t>. Sellers have made available to Buyer a correct and complete list of the top ten (10) suppliers by expenditures of the Company</w:t>
      </w:r>
      <w:r>
        <w:rPr>
          <w:rFonts w:ascii="Arial" w:cs="Arial" w:eastAsia="Arial" w:hAnsi="Arial"/>
          <w:sz w:val="15"/>
          <w:szCs w:val="15"/>
          <w:color w:val="010000"/>
        </w:rPr>
        <w:t xml:space="preserve"> </w:t>
      </w:r>
      <w:r>
        <w:rPr>
          <w:rFonts w:ascii="Arial" w:cs="Arial" w:eastAsia="Arial" w:hAnsi="Arial"/>
          <w:sz w:val="15"/>
          <w:szCs w:val="15"/>
          <w:color w:val="000000"/>
        </w:rPr>
        <w:t>and its Subsidiaries for the fiscal year ended December 31, 2017 (the “</w:t>
      </w:r>
      <w:r>
        <w:rPr>
          <w:rFonts w:ascii="Arial" w:cs="Arial" w:eastAsia="Arial" w:hAnsi="Arial"/>
          <w:sz w:val="15"/>
          <w:szCs w:val="15"/>
          <w:u w:val="single" w:color="auto"/>
          <w:color w:val="000000"/>
        </w:rPr>
        <w:t>Material Suppliers</w:t>
      </w:r>
      <w:r>
        <w:rPr>
          <w:rFonts w:ascii="Arial" w:cs="Arial" w:eastAsia="Arial" w:hAnsi="Arial"/>
          <w:sz w:val="15"/>
          <w:szCs w:val="15"/>
          <w:color w:val="000000"/>
        </w:rPr>
        <w:t>”) and the amount of purchases from each Material Supplier during such period. To the Knowledge of Sellers, no Material Supplier has, since December 31, 2016, delivered written notice to the Company or any of its Subsidiaries cancelling or otherwise terminating, materially reducing, or threatening to cancel or terminate or materially reduce, its relationship with the Company or any of its Subsidiaries.</w:t>
      </w:r>
    </w:p>
    <w:p>
      <w:pPr>
        <w:spacing w:after="0" w:line="148" w:lineRule="exact"/>
        <w:rPr>
          <w:sz w:val="20"/>
          <w:szCs w:val="20"/>
          <w:color w:val="auto"/>
        </w:rPr>
      </w:pPr>
    </w:p>
    <w:p>
      <w:pPr>
        <w:ind w:left="1200"/>
        <w:spacing w:after="0"/>
        <w:rPr>
          <w:sz w:val="20"/>
          <w:szCs w:val="20"/>
          <w:color w:val="auto"/>
        </w:rPr>
      </w:pPr>
      <w:r>
        <w:rPr>
          <w:rFonts w:ascii="Arial" w:cs="Arial" w:eastAsia="Arial" w:hAnsi="Arial"/>
          <w:sz w:val="17"/>
          <w:szCs w:val="17"/>
          <w:color w:val="010000"/>
        </w:rPr>
        <w:t xml:space="preserve">Section 3.22 </w:t>
      </w:r>
      <w:r>
        <w:rPr>
          <w:rFonts w:ascii="Arial" w:cs="Arial" w:eastAsia="Arial" w:hAnsi="Arial"/>
          <w:sz w:val="17"/>
          <w:szCs w:val="17"/>
          <w:u w:val="single" w:color="auto"/>
          <w:color w:val="000000"/>
        </w:rPr>
        <w:t>Merchants; Merchant Accounts</w:t>
      </w:r>
      <w:r>
        <w:rPr>
          <w:rFonts w:ascii="Arial" w:cs="Arial" w:eastAsia="Arial" w:hAnsi="Arial"/>
          <w:sz w:val="17"/>
          <w:szCs w:val="17"/>
          <w:color w:val="000000"/>
        </w:rPr>
        <w:t>.</w:t>
      </w:r>
    </w:p>
    <w:p>
      <w:pPr>
        <w:spacing w:after="0" w:line="203" w:lineRule="exact"/>
        <w:rPr>
          <w:sz w:val="20"/>
          <w:szCs w:val="20"/>
          <w:color w:val="auto"/>
        </w:rPr>
      </w:pPr>
    </w:p>
    <w:p>
      <w:pPr>
        <w:jc w:val="both"/>
        <w:ind w:left="820" w:firstLine="599"/>
        <w:spacing w:after="0" w:line="288" w:lineRule="auto"/>
        <w:tabs>
          <w:tab w:leader="none" w:pos="2116" w:val="left"/>
        </w:tabs>
        <w:numPr>
          <w:ilvl w:val="0"/>
          <w:numId w:val="28"/>
        </w:numPr>
        <w:rPr>
          <w:rFonts w:ascii="Arial" w:cs="Arial" w:eastAsia="Arial" w:hAnsi="Arial"/>
          <w:sz w:val="15"/>
          <w:szCs w:val="15"/>
          <w:color w:val="010000"/>
        </w:rPr>
      </w:pPr>
      <w:r>
        <w:rPr>
          <w:rFonts w:ascii="Arial" w:cs="Arial" w:eastAsia="Arial" w:hAnsi="Arial"/>
          <w:sz w:val="15"/>
          <w:szCs w:val="15"/>
          <w:color w:val="auto"/>
        </w:rPr>
        <w:t>Sellers have made available to Buyer a correct and complete list of each Merchant of the Company and its Subsidiaries that processed in excess of $500,000 per month at any time during the fiscal year ended December 31, 2017 (each such Merchant, a “</w:t>
      </w:r>
      <w:r>
        <w:rPr>
          <w:rFonts w:ascii="Arial" w:cs="Arial" w:eastAsia="Arial" w:hAnsi="Arial"/>
          <w:sz w:val="15"/>
          <w:szCs w:val="15"/>
          <w:u w:val="single" w:color="auto"/>
          <w:color w:val="auto"/>
        </w:rPr>
        <w:t>Material Merchant</w:t>
      </w:r>
      <w:r>
        <w:rPr>
          <w:rFonts w:ascii="Arial" w:cs="Arial" w:eastAsia="Arial" w:hAnsi="Arial"/>
          <w:sz w:val="15"/>
          <w:szCs w:val="15"/>
          <w:color w:val="auto"/>
        </w:rPr>
        <w:t>”). To the Knowledge of Sellers, no Material Merchant has, since December 31, 2016, delivered written notice to the Company or any of its Subsidiaries, cancelling or otherwise terminating, materially reducing, or threatening to cancel or terminate or materially reduce, such Material Merchant’s relationship with the Company or any of its Subsidiaries. To the Knowledge of Sellers, there are no facts or circumstances existing or reasonably anticipated to occur that would cause any Material Merchant to cancel, terminate or materially reduce its relationship with the Company or any of its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36" w:name="page37"/>
    <w:bookmarkEnd w:id="36"/>
    <w:p>
      <w:pPr>
        <w:jc w:val="both"/>
        <w:ind w:firstLine="599"/>
        <w:spacing w:after="0" w:line="248" w:lineRule="auto"/>
        <w:tabs>
          <w:tab w:leader="none" w:pos="1218" w:val="left"/>
        </w:tabs>
        <w:numPr>
          <w:ilvl w:val="0"/>
          <w:numId w:val="29"/>
        </w:numPr>
        <w:rPr>
          <w:rFonts w:ascii="Arial" w:cs="Arial" w:eastAsia="Arial" w:hAnsi="Arial"/>
          <w:sz w:val="17"/>
          <w:szCs w:val="17"/>
          <w:color w:val="010000"/>
        </w:rPr>
      </w:pPr>
      <w:r>
        <w:rPr>
          <w:rFonts w:ascii="Arial" w:cs="Arial" w:eastAsia="Arial" w:hAnsi="Arial"/>
          <w:sz w:val="17"/>
          <w:szCs w:val="17"/>
          <w:color w:val="auto"/>
        </w:rPr>
        <w:t>Except for such matters as would not reasonably be expected to have, individually or in the aggregate, a Material Adverse Effect, (i) all cash reserve deposits maintained with respect to any Material Merchant comply with all applicable Card Association Rules and all applicable Law, (ii) to the extent the Company and its Subsidiaries are involved in handling or processing any Chargebacks, the Company and its Subsidiaries have handled and processed all Chargebacks in all material respects with all applicable Card Association Rules, (iii) to the Knowledge of Sellers, each Merchant of the Company and its Subsidiaries is, and has been since January 1, 2017, in compliance with all applicable Card Association Rules (including obligations to comply with the PCI-DSS).</w:t>
      </w:r>
    </w:p>
    <w:p>
      <w:pPr>
        <w:spacing w:after="0" w:line="182" w:lineRule="exact"/>
        <w:rPr>
          <w:rFonts w:ascii="Arial" w:cs="Arial" w:eastAsia="Arial" w:hAnsi="Arial"/>
          <w:sz w:val="17"/>
          <w:szCs w:val="17"/>
          <w:color w:val="010000"/>
        </w:rPr>
      </w:pPr>
    </w:p>
    <w:p>
      <w:pPr>
        <w:ind w:left="1200" w:hanging="601"/>
        <w:spacing w:after="0"/>
        <w:tabs>
          <w:tab w:leader="none" w:pos="1200" w:val="left"/>
        </w:tabs>
        <w:numPr>
          <w:ilvl w:val="0"/>
          <w:numId w:val="29"/>
        </w:numPr>
        <w:rPr>
          <w:rFonts w:ascii="Arial" w:cs="Arial" w:eastAsia="Arial" w:hAnsi="Arial"/>
          <w:sz w:val="15"/>
          <w:szCs w:val="15"/>
          <w:color w:val="010000"/>
        </w:rPr>
      </w:pPr>
      <w:r>
        <w:rPr>
          <w:rFonts w:ascii="Arial" w:cs="Arial" w:eastAsia="Arial" w:hAnsi="Arial"/>
          <w:sz w:val="15"/>
          <w:szCs w:val="15"/>
          <w:color w:val="auto"/>
        </w:rPr>
        <w:t>All Merchant Accounts are free and clear of all Liens (other than Permitted Liens and Liens under the applicable sponsorship agreement).</w:t>
      </w:r>
    </w:p>
    <w:p>
      <w:pPr>
        <w:spacing w:after="0" w:line="225" w:lineRule="exact"/>
        <w:rPr>
          <w:rFonts w:ascii="Arial" w:cs="Arial" w:eastAsia="Arial" w:hAnsi="Arial"/>
          <w:sz w:val="15"/>
          <w:szCs w:val="15"/>
          <w:color w:val="010000"/>
        </w:rPr>
      </w:pPr>
    </w:p>
    <w:p>
      <w:pPr>
        <w:ind w:left="1220" w:hanging="621"/>
        <w:spacing w:after="0"/>
        <w:tabs>
          <w:tab w:leader="none" w:pos="1220" w:val="left"/>
        </w:tabs>
        <w:numPr>
          <w:ilvl w:val="0"/>
          <w:numId w:val="29"/>
        </w:numPr>
        <w:rPr>
          <w:rFonts w:ascii="Arial" w:cs="Arial" w:eastAsia="Arial" w:hAnsi="Arial"/>
          <w:sz w:val="15"/>
          <w:szCs w:val="15"/>
          <w:color w:val="010000"/>
        </w:rPr>
      </w:pPr>
      <w:r>
        <w:rPr>
          <w:rFonts w:ascii="Arial" w:cs="Arial" w:eastAsia="Arial" w:hAnsi="Arial"/>
          <w:sz w:val="15"/>
          <w:szCs w:val="15"/>
          <w:color w:val="auto"/>
        </w:rPr>
        <w:t>To the Knowledge of Sellers, no Merchant of the Company or any of its Subsidiaries has received a Common Point-of-Purchase report since</w:t>
      </w:r>
    </w:p>
    <w:p>
      <w:pPr>
        <w:spacing w:after="0" w:line="39"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7"/>
          <w:szCs w:val="17"/>
          <w:color w:val="auto"/>
        </w:rPr>
        <w:t>January 1, 2017.</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010000"/>
        </w:rPr>
        <w:t xml:space="preserve">Section 3.23 </w:t>
      </w:r>
      <w:r>
        <w:rPr>
          <w:rFonts w:ascii="Arial" w:cs="Arial" w:eastAsia="Arial" w:hAnsi="Arial"/>
          <w:sz w:val="17"/>
          <w:szCs w:val="17"/>
          <w:u w:val="single" w:color="auto"/>
          <w:color w:val="000000"/>
        </w:rPr>
        <w:t>ISOs; Sales Agent Contracts</w:t>
      </w:r>
      <w:r>
        <w:rPr>
          <w:rFonts w:ascii="Arial" w:cs="Arial" w:eastAsia="Arial" w:hAnsi="Arial"/>
          <w:sz w:val="17"/>
          <w:szCs w:val="17"/>
          <w:color w:val="000000"/>
        </w:rPr>
        <w:t>.</w:t>
      </w:r>
    </w:p>
    <w:p>
      <w:pPr>
        <w:spacing w:after="0" w:line="203" w:lineRule="exact"/>
        <w:rPr>
          <w:sz w:val="20"/>
          <w:szCs w:val="20"/>
          <w:color w:val="auto"/>
        </w:rPr>
      </w:pPr>
    </w:p>
    <w:p>
      <w:pPr>
        <w:ind w:left="1260" w:hanging="661"/>
        <w:spacing w:after="0"/>
        <w:tabs>
          <w:tab w:leader="none" w:pos="1260" w:val="left"/>
        </w:tabs>
        <w:numPr>
          <w:ilvl w:val="1"/>
          <w:numId w:val="30"/>
        </w:numPr>
        <w:rPr>
          <w:rFonts w:ascii="Arial" w:cs="Arial" w:eastAsia="Arial" w:hAnsi="Arial"/>
          <w:sz w:val="15"/>
          <w:szCs w:val="15"/>
          <w:color w:val="010000"/>
        </w:rPr>
      </w:pPr>
      <w:r>
        <w:rPr>
          <w:rFonts w:ascii="Arial" w:cs="Arial" w:eastAsia="Arial" w:hAnsi="Arial"/>
          <w:sz w:val="15"/>
          <w:szCs w:val="15"/>
          <w:color w:val="auto"/>
        </w:rPr>
        <w:t>Sellers have made available to Buyer, with respect to each ISO that is party to a Contract that is required to be disclosed in Section 3.13(a)</w:t>
      </w:r>
    </w:p>
    <w:p>
      <w:pPr>
        <w:spacing w:after="0" w:line="39" w:lineRule="exact"/>
        <w:rPr>
          <w:rFonts w:ascii="Arial" w:cs="Arial" w:eastAsia="Arial" w:hAnsi="Arial"/>
          <w:sz w:val="15"/>
          <w:szCs w:val="15"/>
          <w:color w:val="010000"/>
        </w:rPr>
      </w:pPr>
    </w:p>
    <w:p>
      <w:pPr>
        <w:jc w:val="both"/>
        <w:ind w:firstLine="1"/>
        <w:spacing w:after="0" w:line="246" w:lineRule="auto"/>
        <w:tabs>
          <w:tab w:leader="none" w:pos="287" w:val="left"/>
        </w:tabs>
        <w:numPr>
          <w:ilvl w:val="0"/>
          <w:numId w:val="31"/>
        </w:numPr>
        <w:rPr>
          <w:rFonts w:ascii="Arial" w:cs="Arial" w:eastAsia="Arial" w:hAnsi="Arial"/>
          <w:sz w:val="17"/>
          <w:szCs w:val="17"/>
          <w:color w:val="auto"/>
        </w:rPr>
      </w:pPr>
      <w:r>
        <w:rPr>
          <w:rFonts w:ascii="Arial" w:cs="Arial" w:eastAsia="Arial" w:hAnsi="Arial"/>
          <w:sz w:val="17"/>
          <w:szCs w:val="17"/>
          <w:color w:val="auto"/>
        </w:rPr>
        <w:t>of the Disclosure Letter (the “</w:t>
      </w:r>
      <w:r>
        <w:rPr>
          <w:rFonts w:ascii="Arial" w:cs="Arial" w:eastAsia="Arial" w:hAnsi="Arial"/>
          <w:sz w:val="17"/>
          <w:szCs w:val="17"/>
          <w:u w:val="single" w:color="auto"/>
          <w:color w:val="auto"/>
        </w:rPr>
        <w:t>Material ISOs</w:t>
      </w:r>
      <w:r>
        <w:rPr>
          <w:rFonts w:ascii="Arial" w:cs="Arial" w:eastAsia="Arial" w:hAnsi="Arial"/>
          <w:sz w:val="17"/>
          <w:szCs w:val="17"/>
          <w:color w:val="auto"/>
        </w:rPr>
        <w:t>”) and each sales agent that is party to a Contract that is required to be disclosed in Section 3.13(a)(xi) of the Disclosure Letter (the “</w:t>
      </w:r>
      <w:r>
        <w:rPr>
          <w:rFonts w:ascii="Arial" w:cs="Arial" w:eastAsia="Arial" w:hAnsi="Arial"/>
          <w:sz w:val="17"/>
          <w:szCs w:val="17"/>
          <w:u w:val="single" w:color="auto"/>
          <w:color w:val="auto"/>
        </w:rPr>
        <w:t>Material Agents</w:t>
      </w:r>
      <w:r>
        <w:rPr>
          <w:rFonts w:ascii="Arial" w:cs="Arial" w:eastAsia="Arial" w:hAnsi="Arial"/>
          <w:sz w:val="17"/>
          <w:szCs w:val="17"/>
          <w:color w:val="auto"/>
        </w:rPr>
        <w:t>”), the enrollment rates of new Merchants by the Material ISOs and Material Merchants as of the applicable dates and periods specified therein for the period from January 1, 2017 through December 31, 2017.</w:t>
      </w:r>
    </w:p>
    <w:p>
      <w:pPr>
        <w:spacing w:after="0" w:line="183" w:lineRule="exact"/>
        <w:rPr>
          <w:rFonts w:ascii="Arial" w:cs="Arial" w:eastAsia="Arial" w:hAnsi="Arial"/>
          <w:sz w:val="17"/>
          <w:szCs w:val="17"/>
          <w:color w:val="auto"/>
        </w:rPr>
      </w:pPr>
    </w:p>
    <w:p>
      <w:pPr>
        <w:jc w:val="both"/>
        <w:ind w:firstLine="599"/>
        <w:spacing w:after="0" w:line="249" w:lineRule="auto"/>
        <w:tabs>
          <w:tab w:leader="none" w:pos="1243" w:val="left"/>
        </w:tabs>
        <w:numPr>
          <w:ilvl w:val="1"/>
          <w:numId w:val="31"/>
        </w:numPr>
        <w:rPr>
          <w:rFonts w:ascii="Arial" w:cs="Arial" w:eastAsia="Arial" w:hAnsi="Arial"/>
          <w:sz w:val="17"/>
          <w:szCs w:val="17"/>
          <w:color w:val="010000"/>
        </w:rPr>
      </w:pPr>
      <w:r>
        <w:rPr>
          <w:rFonts w:ascii="Arial" w:cs="Arial" w:eastAsia="Arial" w:hAnsi="Arial"/>
          <w:sz w:val="17"/>
          <w:szCs w:val="17"/>
          <w:color w:val="auto"/>
        </w:rPr>
        <w:t>To the Knowledge of Sellers, no Material ISO or Material Agent has, since December 31, 2016, delivered written notice to the Company or any of its Subsidiaries cancelling or otherwise terminating, materially reducing or threatening to cancel or terminate or materially reduce, such Material ISO’s or Material Agent’s relationship with the Company or any of its Subsidiaries. To the Knowledge of Sellers, (i) there are no facts or circumstances existing or reasonably anticipated to occur that would cause any Material ISO or Material Agent to cancel, terminate or materially reduce its relationship with the Company or any of its Subsidiaries.</w:t>
      </w:r>
    </w:p>
    <w:p>
      <w:pPr>
        <w:spacing w:after="0" w:line="181" w:lineRule="exact"/>
        <w:rPr>
          <w:rFonts w:ascii="Arial" w:cs="Arial" w:eastAsia="Arial" w:hAnsi="Arial"/>
          <w:sz w:val="17"/>
          <w:szCs w:val="17"/>
          <w:color w:val="010000"/>
        </w:rPr>
      </w:pPr>
    </w:p>
    <w:p>
      <w:pPr>
        <w:jc w:val="both"/>
        <w:ind w:firstLine="599"/>
        <w:spacing w:after="0" w:line="288" w:lineRule="auto"/>
        <w:tabs>
          <w:tab w:leader="none" w:pos="1371" w:val="left"/>
        </w:tabs>
        <w:numPr>
          <w:ilvl w:val="1"/>
          <w:numId w:val="31"/>
        </w:numPr>
        <w:rPr>
          <w:rFonts w:ascii="Arial" w:cs="Arial" w:eastAsia="Arial" w:hAnsi="Arial"/>
          <w:sz w:val="15"/>
          <w:szCs w:val="15"/>
          <w:color w:val="010000"/>
        </w:rPr>
      </w:pPr>
      <w:r>
        <w:rPr>
          <w:rFonts w:ascii="Arial" w:cs="Arial" w:eastAsia="Arial" w:hAnsi="Arial"/>
          <w:sz w:val="15"/>
          <w:szCs w:val="15"/>
          <w:color w:val="auto"/>
        </w:rPr>
        <w:t>Sellers have made available to Buyer a list of each ISO of the Company or its Subsidiaries that is registered with the applicable Card Association. To the Knowledge of Sellers, each ISO of the Company or its Subsidiaries (i) is registered with the applicable Card Association if required by the applicable Card Association Rules and (ii) except for such matters as would not reasonably be expected to have, individually or in the aggregate, a Material Adverse Effect, is, and has been since January 1, 2017, in compliance, in all material respects, with all applicable Card Association Rules (including obligations to comply with the PCI-DSS). To the Knowledge of Sellers, no Material ISO is not in compliance, in any material respect, with the current credit review, underwriting standard and acceptance criteria of the Company or its Subsidiaries or the applicable BIN sponsor bank.</w:t>
      </w:r>
    </w:p>
    <w:p>
      <w:pPr>
        <w:spacing w:after="0" w:line="252"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10160</wp:posOffset>
            </wp:positionV>
            <wp:extent cx="7257415"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600"/>
          </w:cols>
          <w:pgMar w:left="1060" w:top="650" w:right="239" w:bottom="1440" w:gutter="0" w:footer="0" w:header="0"/>
        </w:sectPr>
      </w:pPr>
    </w:p>
    <w:bookmarkStart w:id="37" w:name="page38"/>
    <w:bookmarkEnd w:id="37"/>
    <w:p>
      <w:pPr>
        <w:jc w:val="both"/>
        <w:ind w:firstLine="1195"/>
        <w:spacing w:after="0" w:line="263" w:lineRule="auto"/>
        <w:rPr>
          <w:sz w:val="20"/>
          <w:szCs w:val="20"/>
          <w:color w:val="auto"/>
        </w:rPr>
      </w:pPr>
      <w:r>
        <w:rPr>
          <w:rFonts w:ascii="Arial" w:cs="Arial" w:eastAsia="Arial" w:hAnsi="Arial"/>
          <w:sz w:val="16"/>
          <w:szCs w:val="16"/>
          <w:color w:val="010000"/>
        </w:rPr>
        <w:t xml:space="preserve">Section 3.24 </w:t>
      </w:r>
      <w:r>
        <w:rPr>
          <w:rFonts w:ascii="Arial" w:cs="Arial" w:eastAsia="Arial" w:hAnsi="Arial"/>
          <w:sz w:val="16"/>
          <w:szCs w:val="16"/>
          <w:u w:val="single" w:color="auto"/>
          <w:color w:val="000000"/>
        </w:rPr>
        <w:t>Certain Business Practices</w:t>
      </w:r>
      <w:r>
        <w:rPr>
          <w:rFonts w:ascii="Arial" w:cs="Arial" w:eastAsia="Arial" w:hAnsi="Arial"/>
          <w:sz w:val="16"/>
          <w:szCs w:val="16"/>
          <w:color w:val="000000"/>
        </w:rPr>
        <w:t>. None of the Company, any Subsidiary of the Company, or any member, manager, director, officer or employee</w:t>
      </w:r>
      <w:r>
        <w:rPr>
          <w:rFonts w:ascii="Arial" w:cs="Arial" w:eastAsia="Arial" w:hAnsi="Arial"/>
          <w:sz w:val="16"/>
          <w:szCs w:val="16"/>
          <w:color w:val="010000"/>
        </w:rPr>
        <w:t xml:space="preserve"> </w:t>
      </w:r>
      <w:r>
        <w:rPr>
          <w:rFonts w:ascii="Arial" w:cs="Arial" w:eastAsia="Arial" w:hAnsi="Arial"/>
          <w:sz w:val="16"/>
          <w:szCs w:val="16"/>
          <w:color w:val="000000"/>
        </w:rPr>
        <w:t>of the Company or any Subsidiary of the Company (in their capacities as such)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Foreign Corrupt Practices Act or (iii) made any other payment in violation of similar anti-corruption Laws in the jurisdictions in which they do business. None of the Company, any Subsidiary of the Company, or any member, manager, director, officer or employee of the Company or any Subsidiary of the Company (nor any Person acting on behalf of any of the foregoing, but solely in his or her capacity as a member, manager, director, officer or employee of the Company) has, since January 1, 2015, directly or indirectly, given or agreed to give any unlawful gift or similar benefit in any material amount to any customer, supplier, governmental employee or other Person who is or may be in a position to help or hinder the Company or any Subsidiary of the Company or assist the Company or any Subsidiary of the Company in connection with any actual or proposed transaction, which, if not given could reasonably be expected to have had an adverse effect on the Company or any Subsidiary of the Company, or which, if not continued in the future, could reasonably be expected to adversely affect the business or prospects of the Company or any Subsidiary of the Company that could reasonably be expected to subject the Company or any Subsidiary of the Company to suit or penalty in any Proceeding.</w:t>
      </w:r>
    </w:p>
    <w:p>
      <w:pPr>
        <w:spacing w:after="0" w:line="170" w:lineRule="exact"/>
        <w:rPr>
          <w:sz w:val="20"/>
          <w:szCs w:val="20"/>
          <w:color w:val="auto"/>
        </w:rPr>
      </w:pPr>
    </w:p>
    <w:p>
      <w:pPr>
        <w:jc w:val="both"/>
        <w:ind w:firstLine="1195"/>
        <w:spacing w:after="0" w:line="251" w:lineRule="auto"/>
        <w:rPr>
          <w:sz w:val="20"/>
          <w:szCs w:val="20"/>
          <w:color w:val="auto"/>
        </w:rPr>
      </w:pPr>
      <w:r>
        <w:rPr>
          <w:rFonts w:ascii="Arial" w:cs="Arial" w:eastAsia="Arial" w:hAnsi="Arial"/>
          <w:sz w:val="17"/>
          <w:szCs w:val="17"/>
          <w:color w:val="010000"/>
        </w:rPr>
        <w:t xml:space="preserve">Section 3.25 </w:t>
      </w:r>
      <w:r>
        <w:rPr>
          <w:rFonts w:ascii="Arial" w:cs="Arial" w:eastAsia="Arial" w:hAnsi="Arial"/>
          <w:sz w:val="17"/>
          <w:szCs w:val="17"/>
          <w:u w:val="single" w:color="auto"/>
          <w:color w:val="000000"/>
        </w:rPr>
        <w:t>Money Laundering Laws</w:t>
      </w:r>
      <w:r>
        <w:rPr>
          <w:rFonts w:ascii="Arial" w:cs="Arial" w:eastAsia="Arial" w:hAnsi="Arial"/>
          <w:sz w:val="17"/>
          <w:szCs w:val="17"/>
          <w:color w:val="000000"/>
        </w:rPr>
        <w:t>. The operations of the Company and each Subsidiary of the Company are and have been conducted at all times in</w:t>
      </w:r>
      <w:r>
        <w:rPr>
          <w:rFonts w:ascii="Arial" w:cs="Arial" w:eastAsia="Arial" w:hAnsi="Arial"/>
          <w:sz w:val="17"/>
          <w:szCs w:val="17"/>
          <w:color w:val="010000"/>
        </w:rPr>
        <w:t xml:space="preserve"> </w:t>
      </w:r>
      <w:r>
        <w:rPr>
          <w:rFonts w:ascii="Arial" w:cs="Arial" w:eastAsia="Arial" w:hAnsi="Arial"/>
          <w:sz w:val="17"/>
          <w:szCs w:val="17"/>
          <w:color w:val="000000"/>
        </w:rPr>
        <w:t>compliance with the anti-money laundering statutes in all applicable jurisdictions, and the rules and regulations thereunder (collectively, the “</w:t>
      </w:r>
      <w:r>
        <w:rPr>
          <w:rFonts w:ascii="Arial" w:cs="Arial" w:eastAsia="Arial" w:hAnsi="Arial"/>
          <w:sz w:val="17"/>
          <w:szCs w:val="17"/>
          <w:u w:val="single" w:color="auto"/>
          <w:color w:val="000000"/>
        </w:rPr>
        <w:t>Money Laundering Laws</w:t>
      </w:r>
      <w:r>
        <w:rPr>
          <w:rFonts w:ascii="Arial" w:cs="Arial" w:eastAsia="Arial" w:hAnsi="Arial"/>
          <w:sz w:val="17"/>
          <w:szCs w:val="17"/>
          <w:color w:val="000000"/>
        </w:rPr>
        <w:t>”), and, in each case as applicable to its business, no Proceeding involving the Company or any Subsidiary of the Company with respect to the Money Laundering Laws is pending or, to the Knowledge of Sellers, threatened.</w:t>
      </w:r>
    </w:p>
    <w:p>
      <w:pPr>
        <w:spacing w:after="0" w:line="178" w:lineRule="exact"/>
        <w:rPr>
          <w:sz w:val="20"/>
          <w:szCs w:val="20"/>
          <w:color w:val="auto"/>
        </w:rPr>
      </w:pPr>
    </w:p>
    <w:p>
      <w:pPr>
        <w:jc w:val="both"/>
        <w:ind w:firstLine="1195"/>
        <w:spacing w:after="0" w:line="265" w:lineRule="auto"/>
        <w:rPr>
          <w:sz w:val="20"/>
          <w:szCs w:val="20"/>
          <w:color w:val="auto"/>
        </w:rPr>
      </w:pPr>
      <w:r>
        <w:rPr>
          <w:rFonts w:ascii="Arial" w:cs="Arial" w:eastAsia="Arial" w:hAnsi="Arial"/>
          <w:sz w:val="16"/>
          <w:szCs w:val="16"/>
          <w:color w:val="010000"/>
        </w:rPr>
        <w:t xml:space="preserve">Section 3.26 </w:t>
      </w:r>
      <w:r>
        <w:rPr>
          <w:rFonts w:ascii="Arial" w:cs="Arial" w:eastAsia="Arial" w:hAnsi="Arial"/>
          <w:sz w:val="16"/>
          <w:szCs w:val="16"/>
          <w:u w:val="single" w:color="auto"/>
          <w:color w:val="000000"/>
        </w:rPr>
        <w:t>OFAC</w:t>
      </w:r>
      <w:r>
        <w:rPr>
          <w:rFonts w:ascii="Arial" w:cs="Arial" w:eastAsia="Arial" w:hAnsi="Arial"/>
          <w:sz w:val="16"/>
          <w:szCs w:val="16"/>
          <w:color w:val="000000"/>
        </w:rPr>
        <w:t>. None of the Company, any Subsidiary of the Company, any member, manager, director or officer of the Company or any Subsidiary</w:t>
      </w:r>
      <w:r>
        <w:rPr>
          <w:rFonts w:ascii="Arial" w:cs="Arial" w:eastAsia="Arial" w:hAnsi="Arial"/>
          <w:sz w:val="16"/>
          <w:szCs w:val="16"/>
          <w:color w:val="010000"/>
        </w:rPr>
        <w:t xml:space="preserve"> </w:t>
      </w:r>
      <w:r>
        <w:rPr>
          <w:rFonts w:ascii="Arial" w:cs="Arial" w:eastAsia="Arial" w:hAnsi="Arial"/>
          <w:sz w:val="16"/>
          <w:szCs w:val="16"/>
          <w:color w:val="000000"/>
        </w:rPr>
        <w:t>of the Company, or, to the Knowledge of Sellers, any agent, employee, Affiliate or Person acting on behalf of the Company is currently identified on the specially designated nationals or other blocked person list or otherwise currently subject to any U.S. sanctions administered by the Office of Foreign Assets Control of the U.S. Treasury Department (“</w:t>
      </w:r>
      <w:r>
        <w:rPr>
          <w:rFonts w:ascii="Arial" w:cs="Arial" w:eastAsia="Arial" w:hAnsi="Arial"/>
          <w:sz w:val="16"/>
          <w:szCs w:val="16"/>
          <w:u w:val="single" w:color="auto"/>
          <w:color w:val="000000"/>
        </w:rPr>
        <w:t>OFAC</w:t>
      </w:r>
      <w:r>
        <w:rPr>
          <w:rFonts w:ascii="Arial" w:cs="Arial" w:eastAsia="Arial" w:hAnsi="Arial"/>
          <w:sz w:val="16"/>
          <w:szCs w:val="16"/>
          <w:color w:val="000000"/>
        </w:rPr>
        <w:t>”); and the Company or any Subsidiary of the Company has not, directly or indirectly, in violation of any U.S. sanctions administered by OFAC, used any funds, or loaned, contributed or otherwise made available such funds to any Subsidiary of the Company, joint venture partner or other Person, in connection with any sales or operations in a country or territory which is, or whose government is, at any time the subject or target of a country-wide or territory-side sanctions (currently including the Crimea region of Ukraine, Cuba, Iran, North Korea and Syria) or for the purpose of financing the activities of any Person currently subject to, or otherwise in violation of, any U.S. sanctions administered by OFAC in the last five (5) fiscal years.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38" w:name="page39"/>
    <w:bookmarkEnd w:id="38"/>
    <w:p>
      <w:pPr>
        <w:ind w:left="1200"/>
        <w:spacing w:after="0"/>
        <w:rPr>
          <w:sz w:val="20"/>
          <w:szCs w:val="20"/>
          <w:color w:val="auto"/>
        </w:rPr>
      </w:pPr>
      <w:r>
        <w:rPr>
          <w:rFonts w:ascii="Arial" w:cs="Arial" w:eastAsia="Arial" w:hAnsi="Arial"/>
          <w:sz w:val="17"/>
          <w:szCs w:val="17"/>
          <w:color w:val="010000"/>
        </w:rPr>
        <w:t xml:space="preserve">Section 3.27 </w:t>
      </w:r>
      <w:r>
        <w:rPr>
          <w:rFonts w:ascii="Arial" w:cs="Arial" w:eastAsia="Arial" w:hAnsi="Arial"/>
          <w:sz w:val="17"/>
          <w:szCs w:val="17"/>
          <w:u w:val="single" w:color="auto"/>
          <w:color w:val="000000"/>
        </w:rPr>
        <w:t>Purchase for Investment</w:t>
      </w:r>
      <w:r>
        <w:rPr>
          <w:rFonts w:ascii="Arial" w:cs="Arial" w:eastAsia="Arial" w:hAnsi="Arial"/>
          <w:sz w:val="17"/>
          <w:szCs w:val="17"/>
          <w:color w:val="000000"/>
        </w:rPr>
        <w:t>.</w:t>
      </w:r>
    </w:p>
    <w:p>
      <w:pPr>
        <w:spacing w:after="0" w:line="203" w:lineRule="exact"/>
        <w:rPr>
          <w:sz w:val="20"/>
          <w:szCs w:val="20"/>
          <w:color w:val="auto"/>
        </w:rPr>
      </w:pPr>
    </w:p>
    <w:p>
      <w:pPr>
        <w:ind w:left="2020" w:hanging="601"/>
        <w:spacing w:after="0"/>
        <w:tabs>
          <w:tab w:leader="none" w:pos="2020" w:val="left"/>
        </w:tabs>
        <w:numPr>
          <w:ilvl w:val="0"/>
          <w:numId w:val="32"/>
        </w:numPr>
        <w:rPr>
          <w:rFonts w:ascii="Arial" w:cs="Arial" w:eastAsia="Arial" w:hAnsi="Arial"/>
          <w:sz w:val="17"/>
          <w:szCs w:val="17"/>
          <w:color w:val="010000"/>
        </w:rPr>
      </w:pPr>
      <w:r>
        <w:rPr>
          <w:rFonts w:ascii="Arial" w:cs="Arial" w:eastAsia="Arial" w:hAnsi="Arial"/>
          <w:sz w:val="17"/>
          <w:szCs w:val="17"/>
          <w:color w:val="auto"/>
        </w:rPr>
        <w:t>Seller is an “accredited investor” within the meaning of Section 506 of Regulation D promulgated under the Securities Act.</w:t>
      </w:r>
    </w:p>
    <w:p>
      <w:pPr>
        <w:spacing w:after="0" w:line="202" w:lineRule="exact"/>
        <w:rPr>
          <w:rFonts w:ascii="Arial" w:cs="Arial" w:eastAsia="Arial" w:hAnsi="Arial"/>
          <w:sz w:val="17"/>
          <w:szCs w:val="17"/>
          <w:color w:val="010000"/>
        </w:rPr>
      </w:pPr>
    </w:p>
    <w:p>
      <w:pPr>
        <w:jc w:val="both"/>
        <w:ind w:left="820" w:firstLine="599"/>
        <w:spacing w:after="0" w:line="254" w:lineRule="auto"/>
        <w:tabs>
          <w:tab w:leader="none" w:pos="2088" w:val="left"/>
        </w:tabs>
        <w:numPr>
          <w:ilvl w:val="0"/>
          <w:numId w:val="32"/>
        </w:numPr>
        <w:rPr>
          <w:rFonts w:ascii="Arial" w:cs="Arial" w:eastAsia="Arial" w:hAnsi="Arial"/>
          <w:sz w:val="17"/>
          <w:szCs w:val="17"/>
          <w:color w:val="010000"/>
        </w:rPr>
      </w:pPr>
      <w:r>
        <w:rPr>
          <w:rFonts w:ascii="Arial" w:cs="Arial" w:eastAsia="Arial" w:hAnsi="Arial"/>
          <w:sz w:val="17"/>
          <w:szCs w:val="17"/>
          <w:color w:val="auto"/>
        </w:rPr>
        <w:t>The Consideration Shares will be acquired for investment for each Seller’s own account and not with a view to the distribution of any part thereof (or participation therein) in violation of the Securities Act. The Sellers do not have any contract, undertaking or agreement with any Person to sell, transfer, or grant participations with respect to the Consideration Shares.</w:t>
      </w:r>
    </w:p>
    <w:p>
      <w:pPr>
        <w:spacing w:after="0" w:line="176" w:lineRule="exact"/>
        <w:rPr>
          <w:rFonts w:ascii="Arial" w:cs="Arial" w:eastAsia="Arial" w:hAnsi="Arial"/>
          <w:sz w:val="17"/>
          <w:szCs w:val="17"/>
          <w:color w:val="010000"/>
        </w:rPr>
      </w:pPr>
    </w:p>
    <w:p>
      <w:pPr>
        <w:ind w:left="820" w:firstLine="599"/>
        <w:spacing w:after="0" w:line="264" w:lineRule="auto"/>
        <w:tabs>
          <w:tab w:leader="none" w:pos="2017" w:val="left"/>
        </w:tabs>
        <w:numPr>
          <w:ilvl w:val="0"/>
          <w:numId w:val="32"/>
        </w:numPr>
        <w:rPr>
          <w:rFonts w:ascii="Arial" w:cs="Arial" w:eastAsia="Arial" w:hAnsi="Arial"/>
          <w:sz w:val="17"/>
          <w:szCs w:val="17"/>
          <w:color w:val="010000"/>
        </w:rPr>
      </w:pPr>
      <w:r>
        <w:rPr>
          <w:rFonts w:ascii="Arial" w:cs="Arial" w:eastAsia="Arial" w:hAnsi="Arial"/>
          <w:sz w:val="17"/>
          <w:szCs w:val="17"/>
          <w:color w:val="auto"/>
        </w:rPr>
        <w:t>Each Seller’s financial condition is such that it is able to bear the risk of holding the Consideration Shares for an indefinite period of time and can bear the loss of its entire investment in the Acquired Interests.</w:t>
      </w:r>
    </w:p>
    <w:p>
      <w:pPr>
        <w:spacing w:after="0" w:line="167" w:lineRule="exact"/>
        <w:rPr>
          <w:rFonts w:ascii="Arial" w:cs="Arial" w:eastAsia="Arial" w:hAnsi="Arial"/>
          <w:sz w:val="17"/>
          <w:szCs w:val="17"/>
          <w:color w:val="010000"/>
        </w:rPr>
      </w:pPr>
    </w:p>
    <w:p>
      <w:pPr>
        <w:ind w:left="820" w:firstLine="599"/>
        <w:spacing w:after="0" w:line="331" w:lineRule="auto"/>
        <w:tabs>
          <w:tab w:leader="none" w:pos="2063" w:val="left"/>
        </w:tabs>
        <w:numPr>
          <w:ilvl w:val="0"/>
          <w:numId w:val="32"/>
        </w:numPr>
        <w:rPr>
          <w:rFonts w:ascii="Arial" w:cs="Arial" w:eastAsia="Arial" w:hAnsi="Arial"/>
          <w:sz w:val="15"/>
          <w:szCs w:val="15"/>
          <w:color w:val="010000"/>
        </w:rPr>
      </w:pPr>
      <w:r>
        <w:rPr>
          <w:rFonts w:ascii="Arial" w:cs="Arial" w:eastAsia="Arial" w:hAnsi="Arial"/>
          <w:sz w:val="15"/>
          <w:szCs w:val="15"/>
          <w:color w:val="auto"/>
        </w:rPr>
        <w:t>Each Seller (either alone or together with its advisors) has sufficient knowledge and experience in financial and business matters so as to be capable of evaluating the merits and risks of its investment in the Consideration Shares and is capable of bearing the economic risks of such investment.</w:t>
      </w:r>
    </w:p>
    <w:p>
      <w:pPr>
        <w:spacing w:after="0" w:line="121" w:lineRule="exact"/>
        <w:rPr>
          <w:rFonts w:ascii="Arial" w:cs="Arial" w:eastAsia="Arial" w:hAnsi="Arial"/>
          <w:sz w:val="15"/>
          <w:szCs w:val="15"/>
          <w:color w:val="010000"/>
        </w:rPr>
      </w:pPr>
    </w:p>
    <w:p>
      <w:pPr>
        <w:ind w:left="820" w:firstLine="599"/>
        <w:spacing w:after="0" w:line="264" w:lineRule="auto"/>
        <w:tabs>
          <w:tab w:leader="none" w:pos="2017" w:val="left"/>
        </w:tabs>
        <w:numPr>
          <w:ilvl w:val="0"/>
          <w:numId w:val="32"/>
        </w:numPr>
        <w:rPr>
          <w:rFonts w:ascii="Arial" w:cs="Arial" w:eastAsia="Arial" w:hAnsi="Arial"/>
          <w:sz w:val="17"/>
          <w:szCs w:val="17"/>
          <w:color w:val="010000"/>
        </w:rPr>
      </w:pPr>
      <w:r>
        <w:rPr>
          <w:rFonts w:ascii="Arial" w:cs="Arial" w:eastAsia="Arial" w:hAnsi="Arial"/>
          <w:sz w:val="17"/>
          <w:szCs w:val="17"/>
          <w:color w:val="auto"/>
        </w:rPr>
        <w:t>Each Seller acknowledges that the Consideration Shares will not be issued in a transaction that has been registered under the Securities Act or under any state or foreign securities Laws.</w:t>
      </w:r>
    </w:p>
    <w:p>
      <w:pPr>
        <w:spacing w:after="0" w:line="168" w:lineRule="exact"/>
        <w:rPr>
          <w:sz w:val="20"/>
          <w:szCs w:val="20"/>
          <w:color w:val="auto"/>
        </w:rPr>
      </w:pPr>
    </w:p>
    <w:p>
      <w:pPr>
        <w:jc w:val="both"/>
        <w:ind w:firstLine="1195"/>
        <w:spacing w:after="0" w:line="248" w:lineRule="auto"/>
        <w:rPr>
          <w:sz w:val="20"/>
          <w:szCs w:val="20"/>
          <w:color w:val="auto"/>
        </w:rPr>
      </w:pPr>
      <w:r>
        <w:rPr>
          <w:rFonts w:ascii="Arial" w:cs="Arial" w:eastAsia="Arial" w:hAnsi="Arial"/>
          <w:sz w:val="17"/>
          <w:szCs w:val="17"/>
          <w:color w:val="010000"/>
        </w:rPr>
        <w:t xml:space="preserve">Section 3.28 </w:t>
      </w:r>
      <w:r>
        <w:rPr>
          <w:rFonts w:ascii="Arial" w:cs="Arial" w:eastAsia="Arial" w:hAnsi="Arial"/>
          <w:sz w:val="17"/>
          <w:szCs w:val="17"/>
          <w:u w:val="single" w:color="auto"/>
          <w:color w:val="000000"/>
        </w:rPr>
        <w:t>No Additional Representations or Warranties</w:t>
      </w:r>
      <w:r>
        <w:rPr>
          <w:rFonts w:ascii="Arial" w:cs="Arial" w:eastAsia="Arial" w:hAnsi="Arial"/>
          <w:sz w:val="17"/>
          <w:szCs w:val="17"/>
          <w:color w:val="000000"/>
        </w:rPr>
        <w:t>. Except for the representations and warranties EXPRESSLY contained in this</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Article III</w:t>
      </w:r>
      <w:r>
        <w:rPr>
          <w:rFonts w:ascii="Arial" w:cs="Arial" w:eastAsia="Arial" w:hAnsi="Arial"/>
          <w:sz w:val="17"/>
          <w:szCs w:val="17"/>
          <w:color w:val="000000"/>
        </w:rPr>
        <w:t>, None</w:t>
      </w:r>
      <w:r>
        <w:rPr>
          <w:rFonts w:ascii="Arial" w:cs="Arial" w:eastAsia="Arial" w:hAnsi="Arial"/>
          <w:sz w:val="17"/>
          <w:szCs w:val="17"/>
          <w:color w:val="010000"/>
        </w:rPr>
        <w:t xml:space="preserve"> </w:t>
      </w:r>
      <w:r>
        <w:rPr>
          <w:rFonts w:ascii="Arial" w:cs="Arial" w:eastAsia="Arial" w:hAnsi="Arial"/>
          <w:sz w:val="17"/>
          <w:szCs w:val="17"/>
          <w:color w:val="000000"/>
        </w:rPr>
        <w:t>of sellers, THE COMPANY, any of their respective Affiliates, any of its or their Representatives, or any other Person, has made or shall be deemed to have made any representation or warranty to Buyer, express or implied, at law or in equity, with respect to the company and its subsidiaries, including any representations and warranties as to the accuracy or completeness of any Evaluation Material or as to the future sales, revenue, profitability or success of the company and its subsidiaries, or any representations or warranties arising from statute or otherwise in law, from a course of dealing or a usage of trade. All such other representations and warranties are expressly disclaimed by EACH Seller.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IV</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REPRESENTATIONS AND WARRANTIES OF BUYER</w:t>
      </w:r>
    </w:p>
    <w:p>
      <w:pPr>
        <w:spacing w:after="0" w:line="203" w:lineRule="exact"/>
        <w:rPr>
          <w:sz w:val="20"/>
          <w:szCs w:val="20"/>
          <w:color w:val="auto"/>
        </w:rPr>
      </w:pPr>
    </w:p>
    <w:p>
      <w:pPr>
        <w:jc w:val="both"/>
        <w:ind w:firstLine="598"/>
        <w:spacing w:after="0" w:line="249" w:lineRule="auto"/>
        <w:rPr>
          <w:sz w:val="20"/>
          <w:szCs w:val="20"/>
          <w:color w:val="auto"/>
        </w:rPr>
      </w:pPr>
      <w:r>
        <w:rPr>
          <w:rFonts w:ascii="Arial" w:cs="Arial" w:eastAsia="Arial" w:hAnsi="Arial"/>
          <w:sz w:val="17"/>
          <w:szCs w:val="17"/>
          <w:color w:val="auto"/>
        </w:rPr>
        <w:t xml:space="preserve">Except (a) as set forth in the Buyer Disclosure Letter or (b) as disclosed in the Buyer Reports filed with the SEC prior to the date hereof (to the extent the qualifying nature of such disclosure is readily apparent from the content of such Buyer Reports and excluding disclosures referred to in “Forward-Looking Statements”, “Risk Factors” and any other disclosures therein to the extent predictive, cautionary or forward-looking in nature), other than with respect to the representations and warranties set forth in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which shall not be qualified by such Buyer Reports, Buyer represents and warrants to Sellers that all of the statements contained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true as of the date hereof.</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39" w:name="page40"/>
    <w:bookmarkEnd w:id="39"/>
    <w:p>
      <w:pPr>
        <w:jc w:val="both"/>
        <w:ind w:firstLine="1195"/>
        <w:spacing w:after="0" w:line="290" w:lineRule="auto"/>
        <w:rPr>
          <w:sz w:val="20"/>
          <w:szCs w:val="20"/>
          <w:color w:val="auto"/>
        </w:rPr>
      </w:pPr>
      <w:r>
        <w:rPr>
          <w:rFonts w:ascii="Arial" w:cs="Arial" w:eastAsia="Arial" w:hAnsi="Arial"/>
          <w:sz w:val="15"/>
          <w:szCs w:val="15"/>
          <w:color w:val="010000"/>
        </w:rPr>
        <w:t xml:space="preserve">Section 4.01 </w:t>
      </w:r>
      <w:r>
        <w:rPr>
          <w:rFonts w:ascii="Arial" w:cs="Arial" w:eastAsia="Arial" w:hAnsi="Arial"/>
          <w:sz w:val="15"/>
          <w:szCs w:val="15"/>
          <w:u w:val="single" w:color="auto"/>
          <w:color w:val="000000"/>
        </w:rPr>
        <w:t>Organization</w:t>
      </w:r>
      <w:r>
        <w:rPr>
          <w:rFonts w:ascii="Arial" w:cs="Arial" w:eastAsia="Arial" w:hAnsi="Arial"/>
          <w:sz w:val="15"/>
          <w:szCs w:val="15"/>
          <w:color w:val="000000"/>
        </w:rPr>
        <w:t>. Buyer is a Delaware corporation validly existing and in good standing under the laws of the jurisdiction of its formation and</w:t>
      </w:r>
      <w:r>
        <w:rPr>
          <w:rFonts w:ascii="Arial" w:cs="Arial" w:eastAsia="Arial" w:hAnsi="Arial"/>
          <w:sz w:val="15"/>
          <w:szCs w:val="15"/>
          <w:color w:val="010000"/>
        </w:rPr>
        <w:t xml:space="preserve"> </w:t>
      </w:r>
      <w:r>
        <w:rPr>
          <w:rFonts w:ascii="Arial" w:cs="Arial" w:eastAsia="Arial" w:hAnsi="Arial"/>
          <w:sz w:val="15"/>
          <w:szCs w:val="15"/>
          <w:color w:val="000000"/>
        </w:rPr>
        <w:t>has all requisite corporate power and authority to own, lease and operate its properties and to carry on its business as is now being conducted. Buyer is duly qualified or licensed and in good standing to do business as a foreign corporation in each jurisdiction where such qualification is necessary, except for those jurisdictions where failure to be so qualified would not reasonably be expected to have, individually or in the aggregate, a Buyer Material Adverse Effect. Buyer has made available to Sellers correct and complete copies of the Organizational Documents of Buyer as in effect on the date hereof and as of immediately prior to the Closing.</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17"/>
          <w:szCs w:val="17"/>
          <w:color w:val="010000"/>
        </w:rPr>
        <w:t xml:space="preserve">Section 4.02 </w:t>
      </w:r>
      <w:r>
        <w:rPr>
          <w:rFonts w:ascii="Arial" w:cs="Arial" w:eastAsia="Arial" w:hAnsi="Arial"/>
          <w:sz w:val="17"/>
          <w:szCs w:val="17"/>
          <w:u w:val="single" w:color="auto"/>
          <w:color w:val="000000"/>
        </w:rPr>
        <w:t>Authorization; Validity of Agreement</w:t>
      </w:r>
      <w:r>
        <w:rPr>
          <w:rFonts w:ascii="Arial" w:cs="Arial" w:eastAsia="Arial" w:hAnsi="Arial"/>
          <w:sz w:val="17"/>
          <w:szCs w:val="17"/>
          <w:color w:val="000000"/>
        </w:rPr>
        <w:t>.</w:t>
      </w:r>
    </w:p>
    <w:p>
      <w:pPr>
        <w:spacing w:after="0" w:line="203" w:lineRule="exact"/>
        <w:rPr>
          <w:sz w:val="20"/>
          <w:szCs w:val="20"/>
          <w:color w:val="auto"/>
        </w:rPr>
      </w:pPr>
    </w:p>
    <w:p>
      <w:pPr>
        <w:jc w:val="both"/>
        <w:ind w:left="820" w:firstLine="599"/>
        <w:spacing w:after="0" w:line="283" w:lineRule="auto"/>
        <w:tabs>
          <w:tab w:leader="none" w:pos="2042" w:val="left"/>
        </w:tabs>
        <w:numPr>
          <w:ilvl w:val="0"/>
          <w:numId w:val="33"/>
        </w:numPr>
        <w:rPr>
          <w:rFonts w:ascii="Arial" w:cs="Arial" w:eastAsia="Arial" w:hAnsi="Arial"/>
          <w:sz w:val="15"/>
          <w:szCs w:val="15"/>
          <w:color w:val="010000"/>
        </w:rPr>
      </w:pPr>
      <w:r>
        <w:rPr>
          <w:rFonts w:ascii="Arial" w:cs="Arial" w:eastAsia="Arial" w:hAnsi="Arial"/>
          <w:sz w:val="15"/>
          <w:szCs w:val="15"/>
          <w:color w:val="auto"/>
        </w:rPr>
        <w:t>Assuming Buyer obtains the Buyer Stockholder Approval, Buyer has the requisite corporate power and authority to execute and deliver, and perform its obligations under, the Transaction Documents to which it is specified to be a party and to consummate the Contemplated Transactions. The execution, delivery and performance by Buyer of the Transaction Documents to which it is specified to be a party, and the consummation by Buyer of the Contemplated Transactions, have been duly authorized by Buyer, and no other corporate proceedings on the part of Buyer are necessary to authorize Buyer’s execution, delivery and performance of any Transaction Document to which it is specified to be a party or the consummation by Buyer of the Contemplated Transactions. This Agreement has been duly executed and delivered by Buyer. Assuming the due and valid authorization, execution and delivery of this Agreement by the other Parties, this Agreement constitutes a legal, valid and binding obligation of Buyer, enforceable against Buyer in accordance with its terms, subject to the Bankruptcy and Equity Exclusion. Assuming the due and valid authorization, execution and delivery thereof by each other party thereto, each other Transaction Document to which Buyer is specified to be a party (when executed and delivered by Buyer) shall constitute a legal, valid and binding obligation of Buyer, enforceable against Buyer in accordance with its terms, subject to the Bankruptcy and Equity Exclusion.</w:t>
      </w:r>
    </w:p>
    <w:p>
      <w:pPr>
        <w:spacing w:after="0" w:line="157" w:lineRule="exact"/>
        <w:rPr>
          <w:sz w:val="20"/>
          <w:szCs w:val="20"/>
          <w:color w:val="auto"/>
        </w:rPr>
      </w:pPr>
    </w:p>
    <w:p>
      <w:pPr>
        <w:jc w:val="both"/>
        <w:ind w:firstLine="1195"/>
        <w:spacing w:after="0" w:line="284" w:lineRule="auto"/>
        <w:rPr>
          <w:sz w:val="20"/>
          <w:szCs w:val="20"/>
          <w:color w:val="auto"/>
        </w:rPr>
      </w:pPr>
      <w:r>
        <w:rPr>
          <w:rFonts w:ascii="Arial" w:cs="Arial" w:eastAsia="Arial" w:hAnsi="Arial"/>
          <w:sz w:val="15"/>
          <w:szCs w:val="15"/>
          <w:color w:val="010000"/>
        </w:rPr>
        <w:t xml:space="preserve">Section 4.03 </w:t>
      </w:r>
      <w:r>
        <w:rPr>
          <w:rFonts w:ascii="Arial" w:cs="Arial" w:eastAsia="Arial" w:hAnsi="Arial"/>
          <w:sz w:val="15"/>
          <w:szCs w:val="15"/>
          <w:u w:val="single" w:color="auto"/>
          <w:color w:val="000000"/>
        </w:rPr>
        <w:t>Consents and Approvals; No Violations</w:t>
      </w:r>
      <w:r>
        <w:rPr>
          <w:rFonts w:ascii="Arial" w:cs="Arial" w:eastAsia="Arial" w:hAnsi="Arial"/>
          <w:sz w:val="15"/>
          <w:szCs w:val="15"/>
          <w:color w:val="000000"/>
        </w:rPr>
        <w:t>. Neither the execution, delivery or performance by Buyer of any Transaction Document to which it</w:t>
      </w:r>
      <w:r>
        <w:rPr>
          <w:rFonts w:ascii="Arial" w:cs="Arial" w:eastAsia="Arial" w:hAnsi="Arial"/>
          <w:sz w:val="15"/>
          <w:szCs w:val="15"/>
          <w:color w:val="010000"/>
        </w:rPr>
        <w:t xml:space="preserve"> </w:t>
      </w:r>
      <w:r>
        <w:rPr>
          <w:rFonts w:ascii="Arial" w:cs="Arial" w:eastAsia="Arial" w:hAnsi="Arial"/>
          <w:sz w:val="15"/>
          <w:szCs w:val="15"/>
          <w:color w:val="000000"/>
        </w:rPr>
        <w:t xml:space="preserve">is specified to be a party, nor the consummation by Buyer of the Contemplated Transactions, will (a)conflict with or violate any provision of any Organizational Documents of Buyer, (b)result in a breach of, or constitute (with or without due notice or lapse of time or both) a default or give rise to any right of termination, cancellation or acceleration under, any of the terms, conditions or provisions of any material note, bond, mortgage, indenture, lease, license, contract, agreement or other instrument or obligation to which Buyer is a party or by which Buyer or any of its properties or assets may be bound, (c)violate any material Laws applicable to Buyer or any of its material properties or assets, or (d)except for any required filings pursuant to the Securities Act, Exchange Act or NASDAQ, require on the part of Buyer any filing or registration with, notification to, or authorization, consent or approval of, any Governmental Authority or Card Association, except, in the cases of clauses (b) through (d) of this </w:t>
      </w:r>
      <w:r>
        <w:rPr>
          <w:rFonts w:ascii="Arial" w:cs="Arial" w:eastAsia="Arial" w:hAnsi="Arial"/>
          <w:sz w:val="15"/>
          <w:szCs w:val="15"/>
          <w:u w:val="single" w:color="auto"/>
          <w:color w:val="000000"/>
        </w:rPr>
        <w:t>Section 4.03</w:t>
      </w:r>
      <w:r>
        <w:rPr>
          <w:rFonts w:ascii="Arial" w:cs="Arial" w:eastAsia="Arial" w:hAnsi="Arial"/>
          <w:sz w:val="15"/>
          <w:szCs w:val="15"/>
          <w:color w:val="000000"/>
        </w:rPr>
        <w:t>, as would not reasonably be expected to have, individually or in the aggregate, a Buyer Material Adverse Effect.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40" w:name="page41"/>
    <w:bookmarkEnd w:id="40"/>
    <w:p>
      <w:pPr>
        <w:ind w:firstLine="1195"/>
        <w:spacing w:after="0" w:line="264" w:lineRule="auto"/>
        <w:rPr>
          <w:sz w:val="20"/>
          <w:szCs w:val="20"/>
          <w:color w:val="auto"/>
        </w:rPr>
      </w:pPr>
      <w:r>
        <w:rPr>
          <w:rFonts w:ascii="Arial" w:cs="Arial" w:eastAsia="Arial" w:hAnsi="Arial"/>
          <w:sz w:val="17"/>
          <w:szCs w:val="17"/>
          <w:color w:val="010000"/>
        </w:rPr>
        <w:t xml:space="preserve">Section 4.04 </w:t>
      </w:r>
      <w:r>
        <w:rPr>
          <w:rFonts w:ascii="Arial" w:cs="Arial" w:eastAsia="Arial" w:hAnsi="Arial"/>
          <w:sz w:val="17"/>
          <w:szCs w:val="17"/>
          <w:u w:val="single" w:color="auto"/>
          <w:color w:val="000000"/>
        </w:rPr>
        <w:t>Proceedings; Orders</w:t>
      </w:r>
      <w:r>
        <w:rPr>
          <w:rFonts w:ascii="Arial" w:cs="Arial" w:eastAsia="Arial" w:hAnsi="Arial"/>
          <w:sz w:val="17"/>
          <w:szCs w:val="17"/>
          <w:color w:val="000000"/>
        </w:rPr>
        <w:t>. There are no Proceedings or investigations by any Governmental Authority pending or, to the Knowledge of Buyer,</w:t>
      </w:r>
      <w:r>
        <w:rPr>
          <w:rFonts w:ascii="Arial" w:cs="Arial" w:eastAsia="Arial" w:hAnsi="Arial"/>
          <w:sz w:val="17"/>
          <w:szCs w:val="17"/>
          <w:color w:val="010000"/>
        </w:rPr>
        <w:t xml:space="preserve"> </w:t>
      </w:r>
      <w:r>
        <w:rPr>
          <w:rFonts w:ascii="Arial" w:cs="Arial" w:eastAsia="Arial" w:hAnsi="Arial"/>
          <w:sz w:val="17"/>
          <w:szCs w:val="17"/>
          <w:color w:val="000000"/>
        </w:rPr>
        <w:t>threatened, against Buyer, nor are there any Orders naming Buyer.</w:t>
      </w:r>
    </w:p>
    <w:p>
      <w:pPr>
        <w:spacing w:after="0" w:line="168" w:lineRule="exact"/>
        <w:rPr>
          <w:sz w:val="20"/>
          <w:szCs w:val="20"/>
          <w:color w:val="auto"/>
        </w:rPr>
      </w:pPr>
    </w:p>
    <w:p>
      <w:pPr>
        <w:ind w:left="1200"/>
        <w:spacing w:after="0"/>
        <w:rPr>
          <w:sz w:val="20"/>
          <w:szCs w:val="20"/>
          <w:color w:val="auto"/>
        </w:rPr>
      </w:pPr>
      <w:r>
        <w:rPr>
          <w:rFonts w:ascii="Arial" w:cs="Arial" w:eastAsia="Arial" w:hAnsi="Arial"/>
          <w:sz w:val="17"/>
          <w:szCs w:val="17"/>
          <w:color w:val="010000"/>
        </w:rPr>
        <w:t xml:space="preserve">Section 4.05 </w:t>
      </w:r>
      <w:r>
        <w:rPr>
          <w:rFonts w:ascii="Arial" w:cs="Arial" w:eastAsia="Arial" w:hAnsi="Arial"/>
          <w:sz w:val="17"/>
          <w:szCs w:val="17"/>
          <w:u w:val="single" w:color="auto"/>
          <w:color w:val="000000"/>
        </w:rPr>
        <w:t>Capitalization</w:t>
      </w:r>
      <w:r>
        <w:rPr>
          <w:rFonts w:ascii="Arial" w:cs="Arial" w:eastAsia="Arial" w:hAnsi="Arial"/>
          <w:sz w:val="17"/>
          <w:szCs w:val="17"/>
          <w:color w:val="000000"/>
        </w:rPr>
        <w:t>.</w:t>
      </w:r>
    </w:p>
    <w:p>
      <w:pPr>
        <w:spacing w:after="0" w:line="203" w:lineRule="exact"/>
        <w:rPr>
          <w:sz w:val="20"/>
          <w:szCs w:val="20"/>
          <w:color w:val="auto"/>
        </w:rPr>
      </w:pPr>
    </w:p>
    <w:p>
      <w:pPr>
        <w:jc w:val="both"/>
        <w:ind w:left="820" w:firstLine="599"/>
        <w:spacing w:after="0" w:line="247" w:lineRule="auto"/>
        <w:tabs>
          <w:tab w:leader="none" w:pos="2091" w:val="left"/>
        </w:tabs>
        <w:numPr>
          <w:ilvl w:val="0"/>
          <w:numId w:val="34"/>
        </w:numPr>
        <w:rPr>
          <w:rFonts w:ascii="Arial" w:cs="Arial" w:eastAsia="Arial" w:hAnsi="Arial"/>
          <w:sz w:val="17"/>
          <w:szCs w:val="17"/>
          <w:color w:val="010000"/>
        </w:rPr>
      </w:pPr>
      <w:r>
        <w:rPr>
          <w:rFonts w:ascii="Arial" w:cs="Arial" w:eastAsia="Arial" w:hAnsi="Arial"/>
          <w:sz w:val="17"/>
          <w:szCs w:val="17"/>
          <w:color w:val="auto"/>
        </w:rPr>
        <w:t>The authorized capital stock of Buyer consists of 30,000,000 shares of common stock, $0.001 par value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and 1,000,000 shares of preferred stock, $0.001 par value per share (“</w:t>
      </w:r>
      <w:r>
        <w:rPr>
          <w:rFonts w:ascii="Arial" w:cs="Arial" w:eastAsia="Arial" w:hAnsi="Arial"/>
          <w:sz w:val="17"/>
          <w:szCs w:val="17"/>
          <w:u w:val="single" w:color="auto"/>
          <w:color w:val="auto"/>
        </w:rPr>
        <w:t>Preferred Stock</w:t>
      </w:r>
      <w:r>
        <w:rPr>
          <w:rFonts w:ascii="Arial" w:cs="Arial" w:eastAsia="Arial" w:hAnsi="Arial"/>
          <w:sz w:val="17"/>
          <w:szCs w:val="17"/>
          <w:color w:val="auto"/>
        </w:rPr>
        <w:t>”), of which 7,058,743 shares of Common Stock (the “</w:t>
      </w:r>
      <w:r>
        <w:rPr>
          <w:rFonts w:ascii="Arial" w:cs="Arial" w:eastAsia="Arial" w:hAnsi="Arial"/>
          <w:sz w:val="17"/>
          <w:szCs w:val="17"/>
          <w:u w:val="single" w:color="auto"/>
          <w:color w:val="auto"/>
        </w:rPr>
        <w:t>Buyer 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and zero (0) shares of Preferred Stock (the “</w:t>
      </w:r>
      <w:r>
        <w:rPr>
          <w:rFonts w:ascii="Arial" w:cs="Arial" w:eastAsia="Arial" w:hAnsi="Arial"/>
          <w:sz w:val="17"/>
          <w:szCs w:val="17"/>
          <w:u w:val="single" w:color="auto"/>
          <w:color w:val="auto"/>
        </w:rPr>
        <w:t>Buyer Preferred Shares</w:t>
      </w:r>
      <w:r>
        <w:rPr>
          <w:rFonts w:ascii="Arial" w:cs="Arial" w:eastAsia="Arial" w:hAnsi="Arial"/>
          <w:sz w:val="17"/>
          <w:szCs w:val="17"/>
          <w:color w:val="auto"/>
        </w:rPr>
        <w:t>” and together with the Buyer Common Shares, the “</w:t>
      </w:r>
      <w:r>
        <w:rPr>
          <w:rFonts w:ascii="Arial" w:cs="Arial" w:eastAsia="Arial" w:hAnsi="Arial"/>
          <w:sz w:val="17"/>
          <w:szCs w:val="17"/>
          <w:u w:val="single" w:color="auto"/>
          <w:color w:val="auto"/>
        </w:rPr>
        <w:t>Buyer Issued Shares</w:t>
      </w:r>
      <w:r>
        <w:rPr>
          <w:rFonts w:ascii="Arial" w:cs="Arial" w:eastAsia="Arial" w:hAnsi="Arial"/>
          <w:sz w:val="17"/>
          <w:szCs w:val="17"/>
          <w:color w:val="auto"/>
        </w:rPr>
        <w:t>”) are issued and outstanding as of the date hereof and as of immediately prior to the Closing. All of the Buyer Issued Shares (i) have been duly authorized and validly issued, (ii) are fully paid and nonassessable, (iii) were issued in compliance with all applicable state and federal securities Laws, (iv) are not subject to any Liens (other than Permitted Liens), (v) were not issued in violation of any Lien, purchase option, call option, right of first refusal, preemptive rights, subscription right or any similar right under applicable Law, the Buyer’s Organizational Documents or any Contract to which Buyer is a party or by which it is bound.</w:t>
      </w:r>
    </w:p>
    <w:p>
      <w:pPr>
        <w:spacing w:after="0" w:line="183" w:lineRule="exact"/>
        <w:rPr>
          <w:rFonts w:ascii="Arial" w:cs="Arial" w:eastAsia="Arial" w:hAnsi="Arial"/>
          <w:sz w:val="17"/>
          <w:szCs w:val="17"/>
          <w:color w:val="010000"/>
        </w:rPr>
      </w:pPr>
    </w:p>
    <w:p>
      <w:pPr>
        <w:jc w:val="both"/>
        <w:ind w:left="820" w:firstLine="599"/>
        <w:spacing w:after="0" w:line="247" w:lineRule="auto"/>
        <w:tabs>
          <w:tab w:leader="none" w:pos="2163" w:val="left"/>
        </w:tabs>
        <w:numPr>
          <w:ilvl w:val="0"/>
          <w:numId w:val="34"/>
        </w:numPr>
        <w:rPr>
          <w:rFonts w:ascii="Arial" w:cs="Arial" w:eastAsia="Arial" w:hAnsi="Arial"/>
          <w:sz w:val="17"/>
          <w:szCs w:val="17"/>
          <w:color w:val="010000"/>
        </w:rPr>
      </w:pPr>
      <w:r>
        <w:rPr>
          <w:rFonts w:ascii="Arial" w:cs="Arial" w:eastAsia="Arial" w:hAnsi="Arial"/>
          <w:sz w:val="17"/>
          <w:szCs w:val="17"/>
          <w:color w:val="auto"/>
        </w:rPr>
        <w:t>The Buyer Public Warrants are, and after giving effect to the Contemplated Transactions, will be, exercisable for one share of Common Stock at an exercise price of $11.50 per share in accordance with Buyer’s Organizational Documents. As of the date hereof and as of immediately prior to the Closing, 5,310,109 Buyer Public Warrants and 421,107 Buyer Private Warrants are outstanding. No Buyer Warrants are exercisable until 30 days following the Closing. All of the Buyer Warrants (i) are valid and binding obligations of Buyer and enforceable against Buyer in accordance with their respective terms, subject to the Bankruptcy and Equity Exclusion, (iii) were issued in compliance with all applicable state and federal securities Laws, (iv) are not subject to any Liens (other than Permitted Liens), (v) were not issued in violation of any Lien, purchase option, call option, right of first refusal, preemptive right, subscription right or any similar right under applicable Law, the Buyer’s Organizational Documents or any Contract to which Buyer is a party or by which it is bound.</w:t>
      </w:r>
    </w:p>
    <w:p>
      <w:pPr>
        <w:spacing w:after="0" w:line="183" w:lineRule="exact"/>
        <w:rPr>
          <w:rFonts w:ascii="Arial" w:cs="Arial" w:eastAsia="Arial" w:hAnsi="Arial"/>
          <w:sz w:val="17"/>
          <w:szCs w:val="17"/>
          <w:color w:val="010000"/>
        </w:rPr>
      </w:pPr>
    </w:p>
    <w:p>
      <w:pPr>
        <w:jc w:val="both"/>
        <w:ind w:left="820" w:firstLine="599"/>
        <w:spacing w:after="0" w:line="263" w:lineRule="auto"/>
        <w:tabs>
          <w:tab w:leader="none" w:pos="2129" w:val="left"/>
        </w:tabs>
        <w:numPr>
          <w:ilvl w:val="0"/>
          <w:numId w:val="34"/>
        </w:numPr>
        <w:rPr>
          <w:rFonts w:ascii="Arial" w:cs="Arial" w:eastAsia="Arial" w:hAnsi="Arial"/>
          <w:sz w:val="16"/>
          <w:szCs w:val="16"/>
          <w:color w:val="010000"/>
        </w:rPr>
      </w:pPr>
      <w:r>
        <w:rPr>
          <w:rFonts w:ascii="Arial" w:cs="Arial" w:eastAsia="Arial" w:hAnsi="Arial"/>
          <w:sz w:val="16"/>
          <w:szCs w:val="16"/>
          <w:color w:val="auto"/>
        </w:rPr>
        <w:t>Other than the Buyer Issued Shares and the Buyer Warrants, there are no other Equity Interests of Buyer authorized, issued, reserved for issuance or outstanding. Except as expressly contemplated under or set forth in this Agreement and Buyer’s Organizational Documents, Buyer has not (i) granted any outstanding options, warrants, rights or other securities convertible into, or exchangeable or exercisable for, any Equity Interests of Buyer; (ii) entered into any Contracts relating to the issuance, sale, transfer, voting or registration of any Equity Interests of Buyer, or options, warrants, rights or other securities convertible into, or exchangeable or exercisable for, any of the foregoing; or (iii) granted or authorized any stock appreciation, phantom stock, profit participation or similar rights (in each case as to which Buyer has any outstanding liabilities or obligations). Except for the rights of holders of Buyer Common Shares to convert their Buyer Common Shares into cash held in the Trust Account (all of which rights will expire at Closing), there are no Contracts to which Buyer is a party or by which it is bound to repurchase, redeem or otherwise acquire any Equity Interests of Buyer. There are no Contracts to which Buyer is a party or by which it is bound to vote or dispose of any Equity Interest of Buyer and no revocable or irrevocable proxies or voting agreements with respect to any Equity Interests of Buyer.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41" w:name="page42"/>
    <w:bookmarkEnd w:id="41"/>
    <w:p>
      <w:pPr>
        <w:ind w:left="2020" w:hanging="601"/>
        <w:spacing w:after="0"/>
        <w:tabs>
          <w:tab w:leader="none" w:pos="2020" w:val="left"/>
        </w:tabs>
        <w:numPr>
          <w:ilvl w:val="0"/>
          <w:numId w:val="35"/>
        </w:numPr>
        <w:rPr>
          <w:rFonts w:ascii="Arial" w:cs="Arial" w:eastAsia="Arial" w:hAnsi="Arial"/>
          <w:sz w:val="17"/>
          <w:szCs w:val="17"/>
          <w:color w:val="010000"/>
        </w:rPr>
      </w:pPr>
      <w:r>
        <w:rPr>
          <w:rFonts w:ascii="Arial" w:cs="Arial" w:eastAsia="Arial" w:hAnsi="Arial"/>
          <w:sz w:val="17"/>
          <w:szCs w:val="17"/>
          <w:color w:val="auto"/>
        </w:rPr>
        <w:t>Buyer does not own, directly or indirectly, any Equity Securities of any other Person.</w:t>
      </w:r>
    </w:p>
    <w:p>
      <w:pPr>
        <w:spacing w:after="0" w:line="202" w:lineRule="exact"/>
        <w:rPr>
          <w:rFonts w:ascii="Arial" w:cs="Arial" w:eastAsia="Arial" w:hAnsi="Arial"/>
          <w:sz w:val="17"/>
          <w:szCs w:val="17"/>
          <w:color w:val="010000"/>
        </w:rPr>
      </w:pPr>
    </w:p>
    <w:p>
      <w:pPr>
        <w:jc w:val="both"/>
        <w:ind w:left="820" w:firstLine="599"/>
        <w:spacing w:after="0" w:line="249" w:lineRule="auto"/>
        <w:tabs>
          <w:tab w:leader="none" w:pos="2216" w:val="left"/>
        </w:tabs>
        <w:numPr>
          <w:ilvl w:val="0"/>
          <w:numId w:val="35"/>
        </w:numPr>
        <w:rPr>
          <w:rFonts w:ascii="Arial" w:cs="Arial" w:eastAsia="Arial" w:hAnsi="Arial"/>
          <w:sz w:val="17"/>
          <w:szCs w:val="17"/>
          <w:color w:val="010000"/>
        </w:rPr>
      </w:pPr>
      <w:r>
        <w:rPr>
          <w:rFonts w:ascii="Arial" w:cs="Arial" w:eastAsia="Arial" w:hAnsi="Arial"/>
          <w:sz w:val="17"/>
          <w:szCs w:val="17"/>
          <w:color w:val="auto"/>
        </w:rPr>
        <w:t>The Consideration Shares, when and if issued, shall be (i) duly authorized, validly issued, fully paid and nonassessable, (ii) issued in compliance with all applicable state and federal securities Laws, (iii) not subject to any Liens (other than Permitted Liens), (iv) not issued in violation of any lien, purchase option, call option, right of first refusal, preemptive right, subscription right or any similar right under applicable Law, Buyer’s Organizational Documents or any Contract to which Buyer is a party or by which it is bound, and (v) an amount of Equity Securities of Buyer sufficient to constitute “control” of Buyer within the meaning of Code Section 368(c).</w:t>
      </w:r>
    </w:p>
    <w:p>
      <w:pPr>
        <w:spacing w:after="0" w:line="181" w:lineRule="exact"/>
        <w:rPr>
          <w:sz w:val="20"/>
          <w:szCs w:val="20"/>
          <w:color w:val="auto"/>
        </w:rPr>
      </w:pPr>
    </w:p>
    <w:p>
      <w:pPr>
        <w:jc w:val="both"/>
        <w:ind w:firstLine="1195"/>
        <w:spacing w:after="0" w:line="283" w:lineRule="auto"/>
        <w:rPr>
          <w:sz w:val="20"/>
          <w:szCs w:val="20"/>
          <w:color w:val="auto"/>
        </w:rPr>
      </w:pPr>
      <w:r>
        <w:rPr>
          <w:rFonts w:ascii="Arial" w:cs="Arial" w:eastAsia="Arial" w:hAnsi="Arial"/>
          <w:sz w:val="15"/>
          <w:szCs w:val="15"/>
          <w:color w:val="010000"/>
        </w:rPr>
        <w:t xml:space="preserve">Section 4.06 </w:t>
      </w:r>
      <w:r>
        <w:rPr>
          <w:rFonts w:ascii="Arial" w:cs="Arial" w:eastAsia="Arial" w:hAnsi="Arial"/>
          <w:sz w:val="15"/>
          <w:szCs w:val="15"/>
          <w:u w:val="single" w:color="auto"/>
          <w:color w:val="000000"/>
        </w:rPr>
        <w:t>Trust Account</w:t>
      </w:r>
      <w:r>
        <w:rPr>
          <w:rFonts w:ascii="Arial" w:cs="Arial" w:eastAsia="Arial" w:hAnsi="Arial"/>
          <w:sz w:val="15"/>
          <w:szCs w:val="15"/>
          <w:color w:val="000000"/>
        </w:rPr>
        <w:t>. Buyer has, and will have prior to giving effect to the Buyer Stockholder Redemptions, at least $55,130,000 in the trust</w:t>
      </w:r>
      <w:r>
        <w:rPr>
          <w:rFonts w:ascii="Arial" w:cs="Arial" w:eastAsia="Arial" w:hAnsi="Arial"/>
          <w:sz w:val="15"/>
          <w:szCs w:val="15"/>
          <w:color w:val="010000"/>
        </w:rPr>
        <w:t xml:space="preserve"> </w:t>
      </w:r>
      <w:r>
        <w:rPr>
          <w:rFonts w:ascii="Arial" w:cs="Arial" w:eastAsia="Arial" w:hAnsi="Arial"/>
          <w:sz w:val="15"/>
          <w:szCs w:val="15"/>
          <w:color w:val="000000"/>
        </w:rPr>
        <w:t>account established by Buyer for the benefit of its public stockholders (the “</w:t>
      </w:r>
      <w:r>
        <w:rPr>
          <w:rFonts w:ascii="Arial" w:cs="Arial" w:eastAsia="Arial" w:hAnsi="Arial"/>
          <w:sz w:val="15"/>
          <w:szCs w:val="15"/>
          <w:u w:val="single" w:color="auto"/>
          <w:color w:val="000000"/>
        </w:rPr>
        <w:t>Trust Account</w:t>
      </w:r>
      <w:r>
        <w:rPr>
          <w:rFonts w:ascii="Arial" w:cs="Arial" w:eastAsia="Arial" w:hAnsi="Arial"/>
          <w:sz w:val="15"/>
          <w:szCs w:val="15"/>
          <w:color w:val="000000"/>
        </w:rPr>
        <w:t>”), which monies are invested in “government securities” (as such term is defined in the Investment Company Act of 1940, as amended), and held in trust by American Stock Transfer &amp; Trust Company (the “</w:t>
      </w:r>
      <w:r>
        <w:rPr>
          <w:rFonts w:ascii="Arial" w:cs="Arial" w:eastAsia="Arial" w:hAnsi="Arial"/>
          <w:sz w:val="15"/>
          <w:szCs w:val="15"/>
          <w:u w:val="single" w:color="auto"/>
          <w:color w:val="000000"/>
        </w:rPr>
        <w:t>Trustee</w:t>
      </w:r>
      <w:r>
        <w:rPr>
          <w:rFonts w:ascii="Arial" w:cs="Arial" w:eastAsia="Arial" w:hAnsi="Arial"/>
          <w:sz w:val="15"/>
          <w:szCs w:val="15"/>
          <w:color w:val="000000"/>
        </w:rPr>
        <w:t>”) pursuant to the Investment Management Trust Agreement, dated as of September 13, 2016, by and between Buyer and Trustee (the “</w:t>
      </w:r>
      <w:r>
        <w:rPr>
          <w:rFonts w:ascii="Arial" w:cs="Arial" w:eastAsia="Arial" w:hAnsi="Arial"/>
          <w:sz w:val="15"/>
          <w:szCs w:val="15"/>
          <w:u w:val="single" w:color="auto"/>
          <w:color w:val="000000"/>
        </w:rPr>
        <w:t>Trust Agreement</w:t>
      </w:r>
      <w:r>
        <w:rPr>
          <w:rFonts w:ascii="Arial" w:cs="Arial" w:eastAsia="Arial" w:hAnsi="Arial"/>
          <w:sz w:val="15"/>
          <w:szCs w:val="15"/>
          <w:color w:val="000000"/>
        </w:rPr>
        <w:t>”). The Trust Agreement is valid and in full force and effect and enforceable in accordance with its terms, subject to the Bankruptcy and Equity Exclusion, and has not been amended, supplemented or modified since the execution hereof. Buyer has complied in all material respects with the terms of the Trust Agreement and is not in breach of or in default under the Trust Agreement. There are no separate Contracts, side letters, or other arrangements or understandings (express or implied) that would cause the description of the Trust Agreement set forth in the Buyer Reports to be inaccurate or that would entitle any Person (other than the Electing Stockholders) to any portion of the proceeds in the Trust Account. Prior to the Closing, none of the funds held in the Trust Account may be released, other than to the Electing Stockholders. There are no Proceedings pending or, to the Knowledge of Buyer, threatened, with respect to the Trust Account or the Trust Agreement.</w:t>
      </w:r>
    </w:p>
    <w:p>
      <w:pPr>
        <w:spacing w:after="0" w:line="157" w:lineRule="exact"/>
        <w:rPr>
          <w:sz w:val="20"/>
          <w:szCs w:val="20"/>
          <w:color w:val="auto"/>
        </w:rPr>
      </w:pPr>
    </w:p>
    <w:p>
      <w:pPr>
        <w:jc w:val="both"/>
        <w:ind w:firstLine="1195"/>
        <w:spacing w:after="0" w:line="284" w:lineRule="auto"/>
        <w:rPr>
          <w:sz w:val="20"/>
          <w:szCs w:val="20"/>
          <w:color w:val="auto"/>
        </w:rPr>
      </w:pPr>
      <w:r>
        <w:rPr>
          <w:rFonts w:ascii="Arial" w:cs="Arial" w:eastAsia="Arial" w:hAnsi="Arial"/>
          <w:sz w:val="15"/>
          <w:szCs w:val="15"/>
          <w:color w:val="010000"/>
        </w:rPr>
        <w:t xml:space="preserve">Section 4.07 </w:t>
      </w:r>
      <w:r>
        <w:rPr>
          <w:rFonts w:ascii="Arial" w:cs="Arial" w:eastAsia="Arial" w:hAnsi="Arial"/>
          <w:sz w:val="15"/>
          <w:szCs w:val="15"/>
          <w:u w:val="single" w:color="auto"/>
          <w:color w:val="000000"/>
        </w:rPr>
        <w:t>Listing</w:t>
      </w:r>
      <w:r>
        <w:rPr>
          <w:rFonts w:ascii="Arial" w:cs="Arial" w:eastAsia="Arial" w:hAnsi="Arial"/>
          <w:sz w:val="15"/>
          <w:szCs w:val="15"/>
          <w:color w:val="000000"/>
        </w:rPr>
        <w:t>. The issued and outstanding Buyer Units are registered pursuant to Section 12(b) of the Exchange Act and are listed for trading on</w:t>
      </w:r>
      <w:r>
        <w:rPr>
          <w:rFonts w:ascii="Arial" w:cs="Arial" w:eastAsia="Arial" w:hAnsi="Arial"/>
          <w:sz w:val="15"/>
          <w:szCs w:val="15"/>
          <w:color w:val="010000"/>
        </w:rPr>
        <w:t xml:space="preserve"> </w:t>
      </w:r>
      <w:r>
        <w:rPr>
          <w:rFonts w:ascii="Arial" w:cs="Arial" w:eastAsia="Arial" w:hAnsi="Arial"/>
          <w:sz w:val="15"/>
          <w:szCs w:val="15"/>
          <w:color w:val="000000"/>
        </w:rPr>
        <w:t>NASDAQ under the symbol “MACQU”. The issued and outstanding Buyer Common Shares are registered pursuant to Section 12(b) of the Exchange Act and are listed for trading on NASDAQ under the symbol “MACQ”. The issued and outstanding Buyer Public Warrants are registered pursuant to Section 12(b) of the Exchange Act and are listed for trading on NASDAQ under the symbol “MACQW”. Buyer is in compliance in all material respects with the applicable listing and corporate governance rules and regulations of NASDAQ, including the requirements for continued listing of the Buyer Units, Buyer Common Shares and Buyer Public Warrants on NASDAQ, and, there are no Proceedings pending or, to the Knowledge of Buyer, threatened against Buyer with respect thereto. Buyer has not received any notice from NASDAQ or the SEC, in each case, regarding the deregistration or delisting of the Buyer Units, the Buyer Common Shares or the Buyer Public Warrants. Neither Buyer nor any of its Affiliates has taken any action in an attempt to deregister the Buyer Units, the Buyer Common Shares or the Buyer Public Warrants under the Exchange Act.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010000"/>
        </w:rPr>
        <w:t xml:space="preserve">Section 4.08 </w:t>
      </w:r>
      <w:r>
        <w:rPr>
          <w:rFonts w:ascii="Arial" w:cs="Arial" w:eastAsia="Arial" w:hAnsi="Arial"/>
          <w:sz w:val="17"/>
          <w:szCs w:val="17"/>
          <w:u w:val="single" w:color="auto"/>
          <w:color w:val="000000"/>
        </w:rPr>
        <w:t>Buyer Reports; Financial Statements</w:t>
      </w:r>
      <w:r>
        <w:rPr>
          <w:rFonts w:ascii="Arial" w:cs="Arial" w:eastAsia="Arial" w:hAnsi="Arial"/>
          <w:sz w:val="17"/>
          <w:szCs w:val="17"/>
          <w:color w:val="000000"/>
        </w:rPr>
        <w:t>.</w:t>
      </w:r>
    </w:p>
    <w:p>
      <w:pPr>
        <w:spacing w:after="0" w:line="203" w:lineRule="exact"/>
        <w:rPr>
          <w:sz w:val="20"/>
          <w:szCs w:val="20"/>
          <w:color w:val="auto"/>
        </w:rPr>
      </w:pPr>
    </w:p>
    <w:p>
      <w:pPr>
        <w:jc w:val="both"/>
        <w:ind w:left="-380" w:firstLine="599"/>
        <w:spacing w:after="0" w:line="282" w:lineRule="auto"/>
        <w:tabs>
          <w:tab w:leader="none" w:pos="904" w:val="left"/>
        </w:tabs>
        <w:numPr>
          <w:ilvl w:val="0"/>
          <w:numId w:val="36"/>
        </w:numPr>
        <w:rPr>
          <w:rFonts w:ascii="Arial" w:cs="Arial" w:eastAsia="Arial" w:hAnsi="Arial"/>
          <w:sz w:val="15"/>
          <w:szCs w:val="15"/>
          <w:color w:val="010000"/>
        </w:rPr>
      </w:pPr>
      <w:r>
        <w:rPr>
          <w:rFonts w:ascii="Arial" w:cs="Arial" w:eastAsia="Arial" w:hAnsi="Arial"/>
          <w:sz w:val="15"/>
          <w:szCs w:val="15"/>
          <w:color w:val="auto"/>
        </w:rPr>
        <w:t>Buyer has filed or furnished, as applicable, on a timely basis, all forms, statements, certifications, reports, schedules, proxies, registrations and other documents required to be filed or furnished by Buyer with the SEC pursuant to the SEC Guidance, as applicable, since the date of formation of Buyer under the Laws of the State of Delaware (the “</w:t>
      </w:r>
      <w:r>
        <w:rPr>
          <w:rFonts w:ascii="Arial" w:cs="Arial" w:eastAsia="Arial" w:hAnsi="Arial"/>
          <w:sz w:val="15"/>
          <w:szCs w:val="15"/>
          <w:u w:val="single" w:color="auto"/>
          <w:color w:val="auto"/>
        </w:rPr>
        <w:t>Formation Date</w:t>
      </w:r>
      <w:r>
        <w:rPr>
          <w:rFonts w:ascii="Arial" w:cs="Arial" w:eastAsia="Arial" w:hAnsi="Arial"/>
          <w:sz w:val="15"/>
          <w:szCs w:val="15"/>
          <w:color w:val="auto"/>
        </w:rPr>
        <w:t>”), and all such forms, statements, certifications, reports, schedules, proxies, registrations and other documents required to be filed subsequent to the date hereof will be timely filed (all of the foregoing forms, statements, certifications, reports, schedules, proxies, registrations and other documents, together with any amendments, restatements or supplements thereto, and all exhibits thereto and documents incorporated therein by reference, the “</w:t>
      </w:r>
      <w:r>
        <w:rPr>
          <w:rFonts w:ascii="Arial" w:cs="Arial" w:eastAsia="Arial" w:hAnsi="Arial"/>
          <w:sz w:val="15"/>
          <w:szCs w:val="15"/>
          <w:u w:val="single" w:color="auto"/>
          <w:color w:val="auto"/>
        </w:rPr>
        <w:t>Buyer Reports</w:t>
      </w:r>
      <w:r>
        <w:rPr>
          <w:rFonts w:ascii="Arial" w:cs="Arial" w:eastAsia="Arial" w:hAnsi="Arial"/>
          <w:sz w:val="15"/>
          <w:szCs w:val="15"/>
          <w:color w:val="auto"/>
        </w:rPr>
        <w:t>”). Each of the Buyer Reports, at the time of its filing or being furnished, complied, or, if not yet filed or furnished, will comply with the applicable requirements of the SEC Guidance, as applicable, and the Sarbanes-Oxley Act of 2002 (the “</w:t>
      </w:r>
      <w:r>
        <w:rPr>
          <w:rFonts w:ascii="Arial" w:cs="Arial" w:eastAsia="Arial" w:hAnsi="Arial"/>
          <w:sz w:val="15"/>
          <w:szCs w:val="15"/>
          <w:u w:val="single" w:color="auto"/>
          <w:color w:val="auto"/>
        </w:rPr>
        <w:t>Sarbanes-Oxley Act</w:t>
      </w:r>
      <w:r>
        <w:rPr>
          <w:rFonts w:ascii="Arial" w:cs="Arial" w:eastAsia="Arial" w:hAnsi="Arial"/>
          <w:sz w:val="15"/>
          <w:szCs w:val="15"/>
          <w:color w:val="auto"/>
        </w:rPr>
        <w:t>”) and any rules and regulations promulgated thereunder applicable to the Buyer Reports. As of their respective dates, the Buyer Reports filed or furnished to the SEC since the Formation Date did not, and any Buyer Reports filed with or furnished to the SEC subsequent to the date of this Agreement will not, contain any untrue statement of a material fact or omit to state a material fact required to be stated therein or necessary to make the statements made therein, in light of the circumstances in which they were made, not misleading.</w:t>
      </w:r>
    </w:p>
    <w:p>
      <w:pPr>
        <w:spacing w:after="0" w:line="160" w:lineRule="exact"/>
        <w:rPr>
          <w:rFonts w:ascii="Arial" w:cs="Arial" w:eastAsia="Arial" w:hAnsi="Arial"/>
          <w:sz w:val="15"/>
          <w:szCs w:val="15"/>
          <w:color w:val="010000"/>
        </w:rPr>
      </w:pPr>
    </w:p>
    <w:p>
      <w:pPr>
        <w:ind w:left="-380" w:firstLine="599"/>
        <w:spacing w:after="0" w:line="264" w:lineRule="auto"/>
        <w:tabs>
          <w:tab w:leader="none" w:pos="888" w:val="left"/>
        </w:tabs>
        <w:numPr>
          <w:ilvl w:val="0"/>
          <w:numId w:val="36"/>
        </w:numPr>
        <w:rPr>
          <w:rFonts w:ascii="Arial" w:cs="Arial" w:eastAsia="Arial" w:hAnsi="Arial"/>
          <w:sz w:val="17"/>
          <w:szCs w:val="17"/>
          <w:color w:val="010000"/>
        </w:rPr>
      </w:pPr>
      <w:r>
        <w:rPr>
          <w:rFonts w:ascii="Arial" w:cs="Arial" w:eastAsia="Arial" w:hAnsi="Arial"/>
          <w:sz w:val="17"/>
          <w:szCs w:val="17"/>
          <w:color w:val="auto"/>
        </w:rPr>
        <w:t>The Buyer Units, the Buyer Common Shares and the Buyer Public Warrants constitute the only outstanding classes of Equity Securities of Buyer registered under the Exchange Act.</w:t>
      </w:r>
    </w:p>
    <w:p>
      <w:pPr>
        <w:spacing w:after="0" w:line="167" w:lineRule="exact"/>
        <w:rPr>
          <w:rFonts w:ascii="Arial" w:cs="Arial" w:eastAsia="Arial" w:hAnsi="Arial"/>
          <w:sz w:val="17"/>
          <w:szCs w:val="17"/>
          <w:color w:val="010000"/>
        </w:rPr>
      </w:pPr>
    </w:p>
    <w:p>
      <w:pPr>
        <w:jc w:val="both"/>
        <w:ind w:left="-380" w:firstLine="599"/>
        <w:spacing w:after="0" w:line="271" w:lineRule="auto"/>
        <w:tabs>
          <w:tab w:leader="none" w:pos="817" w:val="left"/>
        </w:tabs>
        <w:numPr>
          <w:ilvl w:val="0"/>
          <w:numId w:val="36"/>
        </w:numPr>
        <w:rPr>
          <w:rFonts w:ascii="Arial" w:cs="Arial" w:eastAsia="Arial" w:hAnsi="Arial"/>
          <w:sz w:val="16"/>
          <w:szCs w:val="16"/>
          <w:color w:val="010000"/>
        </w:rPr>
      </w:pPr>
      <w:r>
        <w:rPr>
          <w:rFonts w:ascii="Arial" w:cs="Arial" w:eastAsia="Arial" w:hAnsi="Arial"/>
          <w:sz w:val="16"/>
          <w:szCs w:val="16"/>
          <w:color w:val="auto"/>
        </w:rPr>
        <w:t>Buyer has made available to Sellers all material correspondence between the SEC or any other Governmental Authority, on the one hand, and Buyer, on the other hand, since the Formation Date. There are no outstanding or unresolved comments from the SEC’s staff with respect to any of the Buyer Reports. To the Knowledge of Buyer, (i) none of the Buyer Reports is the subject of ongoing SEC review or outstanding SEC comment and (ii) neither the SEC nor any other Governmental Authority is conducting any investigation or review of any Buyer Report.</w:t>
      </w:r>
    </w:p>
    <w:p>
      <w:pPr>
        <w:spacing w:after="0" w:line="164" w:lineRule="exact"/>
        <w:rPr>
          <w:rFonts w:ascii="Arial" w:cs="Arial" w:eastAsia="Arial" w:hAnsi="Arial"/>
          <w:sz w:val="16"/>
          <w:szCs w:val="16"/>
          <w:color w:val="010000"/>
        </w:rPr>
      </w:pPr>
    </w:p>
    <w:p>
      <w:pPr>
        <w:jc w:val="both"/>
        <w:ind w:left="-380" w:firstLine="599"/>
        <w:spacing w:after="0" w:line="281" w:lineRule="auto"/>
        <w:tabs>
          <w:tab w:leader="none" w:pos="1038" w:val="left"/>
        </w:tabs>
        <w:numPr>
          <w:ilvl w:val="0"/>
          <w:numId w:val="36"/>
        </w:numPr>
        <w:rPr>
          <w:rFonts w:ascii="Arial" w:cs="Arial" w:eastAsia="Arial" w:hAnsi="Arial"/>
          <w:sz w:val="15"/>
          <w:szCs w:val="15"/>
          <w:color w:val="010000"/>
        </w:rPr>
      </w:pPr>
      <w:r>
        <w:rPr>
          <w:rFonts w:ascii="Arial" w:cs="Arial" w:eastAsia="Arial" w:hAnsi="Arial"/>
          <w:sz w:val="15"/>
          <w:szCs w:val="15"/>
          <w:color w:val="auto"/>
        </w:rPr>
        <w:t>Since the Formation Date, Buyer has been in compliance with the applicable provisions of the Sarbanes-Oxley Act. Buyer maintains disclosure controls and procedures required by Rule 13a-15 or 15d-15, as applicable, under the Exchange Act and as necessary to permit preparation of financial statements in accordance with GAAP. Such disclosure controls and procedures are designed to ensure that information required to be disclosed by Buyer is recorded, processed, summarized and reported within the time periods specified in the SEC Guidance, and that all such information is accumulated and communication to the individuals responsible for the preparation of Buyer’s filings with the SEC and other public disclosure documents to allow timely decisions regarding disclosure and to make the certifications required pursuant to Sections 302 and 906 of the Sarbanes-Oxley Act. Buyer maintains a system of internal control over financial reporting (as defined in Rule 13a-15 or 15d-15, as applicable, under the Exchange Act) that is sufficient to provide reasonable assurance regarding the reliability of financial reporting and the preparation of financial statements for external purposes in accordance with GAAP and SEC Guidance. Since the Formation Date, neither Buyer (including any Representative thereof) nor its independent registered public accounting firm has identified or been made aware of (i) any “significant deficiencies” or “material weaknesses” (as defined by the Public Company Accounting Oversight Board) in the design or operation of internal control over financial reporting of Buyer, (ii) any fraud or allegation of fraud, whether or not material, that involves (or involved) the management of Buyer or other Representatives who have (or had) a role in the preparation of financial statements or the internal control over financial reporting utilized by Buyer or (iii) any claim or allegation regarding any of the foregoing.</w:t>
      </w:r>
    </w:p>
    <w:p>
      <w:pPr>
        <w:spacing w:after="0" w:line="263"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7257415"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650" w:right="239" w:bottom="1440" w:gutter="0" w:footer="0" w:header="0"/>
        </w:sectPr>
      </w:pPr>
    </w:p>
    <w:bookmarkStart w:id="43" w:name="page44"/>
    <w:bookmarkEnd w:id="43"/>
    <w:p>
      <w:pPr>
        <w:jc w:val="both"/>
        <w:ind w:left="820" w:firstLine="599"/>
        <w:spacing w:after="0" w:line="264" w:lineRule="auto"/>
        <w:tabs>
          <w:tab w:leader="none" w:pos="2079" w:val="left"/>
        </w:tabs>
        <w:numPr>
          <w:ilvl w:val="0"/>
          <w:numId w:val="37"/>
        </w:numPr>
        <w:rPr>
          <w:rFonts w:ascii="Arial" w:cs="Arial" w:eastAsia="Arial" w:hAnsi="Arial"/>
          <w:sz w:val="16"/>
          <w:szCs w:val="16"/>
          <w:color w:val="010000"/>
        </w:rPr>
      </w:pPr>
      <w:r>
        <w:rPr>
          <w:rFonts w:ascii="Arial" w:cs="Arial" w:eastAsia="Arial" w:hAnsi="Arial"/>
          <w:sz w:val="16"/>
          <w:szCs w:val="16"/>
          <w:color w:val="auto"/>
        </w:rPr>
        <w:t>Each of the audited financial statements and unaudited interim financial statements included in or incorporated by reference into the Buyer Reports (including the related notes and schedules thereto, if any) since the Formation Date (i) complied, or in the case of Buyer Reports filed after the date hereof, will comply, as to form in all material respects with all applicable Law, including SEC Guidance, (ii) has been prepared from, and is in accordance with, or in the case of Buyer Reports filed after the date of this Agreement, will be prepared from and will be in accordance with, the books and records of Buyer, (iii) were prepared, or in the case of Buyer Reports filed after the date of this Agreement, will be prepared, in accordance with GAAP consistently applied during the periods involved, except as may be noted therein, and (iv) fairly presents, or in the case of Buyer Reports filed after the date of this Agreement, will fairly present (A) the consolidated financial condition of Buyer as of its date and (B) the results and operations, earnings and changes in financial condition, as the case may be, of Buyer for the periods set forth therein (subject, in the case of unaudited interim financial statements, to notes and normal year-end audit adjustments, none of which are material, individually or in the aggregate).</w:t>
      </w:r>
    </w:p>
    <w:p>
      <w:pPr>
        <w:spacing w:after="0" w:line="170" w:lineRule="exact"/>
        <w:rPr>
          <w:rFonts w:ascii="Arial" w:cs="Arial" w:eastAsia="Arial" w:hAnsi="Arial"/>
          <w:sz w:val="16"/>
          <w:szCs w:val="16"/>
          <w:color w:val="010000"/>
        </w:rPr>
      </w:pPr>
    </w:p>
    <w:p>
      <w:pPr>
        <w:ind w:left="820" w:firstLine="599"/>
        <w:spacing w:after="0" w:line="264" w:lineRule="auto"/>
        <w:tabs>
          <w:tab w:leader="none" w:pos="2148" w:val="left"/>
        </w:tabs>
        <w:numPr>
          <w:ilvl w:val="0"/>
          <w:numId w:val="37"/>
        </w:numPr>
        <w:rPr>
          <w:rFonts w:ascii="Arial" w:cs="Arial" w:eastAsia="Arial" w:hAnsi="Arial"/>
          <w:sz w:val="17"/>
          <w:szCs w:val="17"/>
          <w:color w:val="010000"/>
        </w:rPr>
      </w:pPr>
      <w:r>
        <w:rPr>
          <w:rFonts w:ascii="Arial" w:cs="Arial" w:eastAsia="Arial" w:hAnsi="Arial"/>
          <w:sz w:val="17"/>
          <w:szCs w:val="17"/>
          <w:color w:val="auto"/>
        </w:rPr>
        <w:t>There are no outstanding loans or other extensions of credit made by Buyer to any executive officer (as defined in Rule 3b-7 under the Exchange Act) or director of Buyer. Buyer has not taken any action prohibited by Section 13(k) of the Exchange Act.</w:t>
      </w:r>
    </w:p>
    <w:p>
      <w:pPr>
        <w:spacing w:after="0" w:line="168" w:lineRule="exact"/>
        <w:rPr>
          <w:sz w:val="20"/>
          <w:szCs w:val="20"/>
          <w:color w:val="auto"/>
        </w:rPr>
      </w:pPr>
    </w:p>
    <w:p>
      <w:pPr>
        <w:jc w:val="both"/>
        <w:ind w:firstLine="1195"/>
        <w:spacing w:after="0" w:line="278" w:lineRule="auto"/>
        <w:rPr>
          <w:sz w:val="20"/>
          <w:szCs w:val="20"/>
          <w:color w:val="auto"/>
        </w:rPr>
      </w:pPr>
      <w:r>
        <w:rPr>
          <w:rFonts w:ascii="Arial" w:cs="Arial" w:eastAsia="Arial" w:hAnsi="Arial"/>
          <w:sz w:val="16"/>
          <w:szCs w:val="16"/>
          <w:color w:val="010000"/>
        </w:rPr>
        <w:t xml:space="preserve">Section 4.09 </w:t>
      </w:r>
      <w:r>
        <w:rPr>
          <w:rFonts w:ascii="Arial" w:cs="Arial" w:eastAsia="Arial" w:hAnsi="Arial"/>
          <w:sz w:val="16"/>
          <w:szCs w:val="16"/>
          <w:u w:val="single" w:color="auto"/>
          <w:color w:val="000000"/>
        </w:rPr>
        <w:t>Investment Company Act; JOBS Act</w:t>
      </w:r>
      <w:r>
        <w:rPr>
          <w:rFonts w:ascii="Arial" w:cs="Arial" w:eastAsia="Arial" w:hAnsi="Arial"/>
          <w:sz w:val="16"/>
          <w:szCs w:val="16"/>
          <w:color w:val="000000"/>
        </w:rPr>
        <w:t>. Buyer is not, and following the Closing will continue not to be, an “investment company” or a Person</w:t>
      </w:r>
      <w:r>
        <w:rPr>
          <w:rFonts w:ascii="Arial" w:cs="Arial" w:eastAsia="Arial" w:hAnsi="Arial"/>
          <w:sz w:val="16"/>
          <w:szCs w:val="16"/>
          <w:color w:val="010000"/>
        </w:rPr>
        <w:t xml:space="preserve"> </w:t>
      </w:r>
      <w:r>
        <w:rPr>
          <w:rFonts w:ascii="Arial" w:cs="Arial" w:eastAsia="Arial" w:hAnsi="Arial"/>
          <w:sz w:val="16"/>
          <w:szCs w:val="16"/>
          <w:color w:val="000000"/>
        </w:rPr>
        <w:t>directly or indirectly “controlled” by or acting on behalf of an “investment company”, in each case, within the meaning of the Investment Company Act of 1940. Buyer constitutes an “emerging growth company” within the meaning of the Jumpstart Our Business Startups Act of 2012.</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44" w:name="page45"/>
    <w:bookmarkEnd w:id="44"/>
    <w:p>
      <w:pPr>
        <w:jc w:val="both"/>
        <w:ind w:firstLine="1195"/>
        <w:spacing w:after="0" w:line="295" w:lineRule="auto"/>
        <w:rPr>
          <w:sz w:val="20"/>
          <w:szCs w:val="20"/>
          <w:color w:val="auto"/>
        </w:rPr>
      </w:pPr>
      <w:r>
        <w:rPr>
          <w:rFonts w:ascii="Arial" w:cs="Arial" w:eastAsia="Arial" w:hAnsi="Arial"/>
          <w:sz w:val="15"/>
          <w:szCs w:val="15"/>
          <w:color w:val="010000"/>
        </w:rPr>
        <w:t xml:space="preserve">Section 4.10 </w:t>
      </w:r>
      <w:r>
        <w:rPr>
          <w:rFonts w:ascii="Arial" w:cs="Arial" w:eastAsia="Arial" w:hAnsi="Arial"/>
          <w:sz w:val="15"/>
          <w:szCs w:val="15"/>
          <w:u w:val="single" w:color="auto"/>
          <w:color w:val="000000"/>
        </w:rPr>
        <w:t>Affiliate Transactions</w:t>
      </w:r>
      <w:r>
        <w:rPr>
          <w:rFonts w:ascii="Arial" w:cs="Arial" w:eastAsia="Arial" w:hAnsi="Arial"/>
          <w:sz w:val="15"/>
          <w:szCs w:val="15"/>
          <w:color w:val="000000"/>
        </w:rPr>
        <w:t>. None of Buyer’s Related Parties (a) is a party to any Contract with Buyer (any such Contract, an “</w:t>
      </w:r>
      <w:r>
        <w:rPr>
          <w:rFonts w:ascii="Arial" w:cs="Arial" w:eastAsia="Arial" w:hAnsi="Arial"/>
          <w:sz w:val="15"/>
          <w:szCs w:val="15"/>
          <w:u w:val="single" w:color="auto"/>
          <w:color w:val="000000"/>
        </w:rPr>
        <w:t>Related Party</w:t>
      </w:r>
      <w:r>
        <w:rPr>
          <w:rFonts w:ascii="Arial" w:cs="Arial" w:eastAsia="Arial" w:hAnsi="Arial"/>
          <w:sz w:val="15"/>
          <w:szCs w:val="15"/>
          <w:color w:val="010000"/>
        </w:rPr>
        <w:t xml:space="preserve"> </w:t>
      </w:r>
      <w:r>
        <w:rPr>
          <w:rFonts w:ascii="Arial" w:cs="Arial" w:eastAsia="Arial" w:hAnsi="Arial"/>
          <w:sz w:val="15"/>
          <w:szCs w:val="15"/>
          <w:u w:val="single" w:color="auto"/>
          <w:color w:val="000000"/>
        </w:rPr>
        <w:t>Contract</w:t>
      </w:r>
      <w:r>
        <w:rPr>
          <w:rFonts w:ascii="Arial" w:cs="Arial" w:eastAsia="Arial" w:hAnsi="Arial"/>
          <w:sz w:val="15"/>
          <w:szCs w:val="15"/>
          <w:color w:val="000000"/>
        </w:rPr>
        <w:t xml:space="preserve">”), (b) has any direct financial interest in any property used by Buyer or (c) is a director, officer or employee of, any Person (other than Buyer) which is a material client, supplier, customer, lessor, lessee or competitor of Buyer. Ownership of Equity Securities of a Person whose Equity Securities are registered under the Exchange Act, of five percent (5%) or less of any class of such Equity securities shall not be deemed to be a financial interest for purposes of this </w:t>
      </w:r>
      <w:r>
        <w:rPr>
          <w:rFonts w:ascii="Arial" w:cs="Arial" w:eastAsia="Arial" w:hAnsi="Arial"/>
          <w:sz w:val="15"/>
          <w:szCs w:val="15"/>
          <w:u w:val="single" w:color="auto"/>
          <w:color w:val="000000"/>
        </w:rPr>
        <w:t>Section 4.10</w:t>
      </w:r>
      <w:r>
        <w:rPr>
          <w:rFonts w:ascii="Arial" w:cs="Arial" w:eastAsia="Arial" w:hAnsi="Arial"/>
          <w:sz w:val="15"/>
          <w:szCs w:val="15"/>
          <w:color w:val="000000"/>
        </w:rPr>
        <w:t>.</w:t>
      </w:r>
    </w:p>
    <w:p>
      <w:pPr>
        <w:spacing w:after="0" w:line="148" w:lineRule="exact"/>
        <w:rPr>
          <w:sz w:val="20"/>
          <w:szCs w:val="20"/>
          <w:color w:val="auto"/>
        </w:rPr>
      </w:pPr>
    </w:p>
    <w:p>
      <w:pPr>
        <w:jc w:val="both"/>
        <w:ind w:firstLine="1195"/>
        <w:spacing w:after="0" w:line="265" w:lineRule="auto"/>
        <w:rPr>
          <w:sz w:val="20"/>
          <w:szCs w:val="20"/>
          <w:color w:val="auto"/>
        </w:rPr>
      </w:pPr>
      <w:r>
        <w:rPr>
          <w:rFonts w:ascii="Arial" w:cs="Arial" w:eastAsia="Arial" w:hAnsi="Arial"/>
          <w:sz w:val="16"/>
          <w:szCs w:val="16"/>
          <w:color w:val="010000"/>
        </w:rPr>
        <w:t xml:space="preserve">Section 4.11 </w:t>
      </w:r>
      <w:r>
        <w:rPr>
          <w:rFonts w:ascii="Arial" w:cs="Arial" w:eastAsia="Arial" w:hAnsi="Arial"/>
          <w:sz w:val="16"/>
          <w:szCs w:val="16"/>
          <w:u w:val="single" w:color="auto"/>
          <w:color w:val="000000"/>
        </w:rPr>
        <w:t>Buyer Material Contracts</w:t>
      </w:r>
      <w:r>
        <w:rPr>
          <w:rFonts w:ascii="Arial" w:cs="Arial" w:eastAsia="Arial" w:hAnsi="Arial"/>
          <w:sz w:val="16"/>
          <w:szCs w:val="16"/>
          <w:color w:val="000000"/>
        </w:rPr>
        <w:t>. Section 4.11 of the Buyer Disclosure Letter sets forth a correct and complete list of all Buyer Material Contracts.</w:t>
      </w:r>
      <w:r>
        <w:rPr>
          <w:rFonts w:ascii="Arial" w:cs="Arial" w:eastAsia="Arial" w:hAnsi="Arial"/>
          <w:sz w:val="16"/>
          <w:szCs w:val="16"/>
          <w:color w:val="010000"/>
        </w:rPr>
        <w:t xml:space="preserve"> </w:t>
      </w:r>
      <w:r>
        <w:rPr>
          <w:rFonts w:ascii="Arial" w:cs="Arial" w:eastAsia="Arial" w:hAnsi="Arial"/>
          <w:sz w:val="16"/>
          <w:szCs w:val="16"/>
          <w:color w:val="000000"/>
        </w:rPr>
        <w:t>Each Buyer Material Contract is a valid and binding obligation of Buyer and, to the Knowledge of Buyer, of each other party thereto, and, to the Knowledge of Buyer, is in full force and effect and enforceable in accordance with its terms (subject to the Bankruptcy and Equity Exclusion), and neither the Company, nor, to the Knowledge of Sellers, any other party thereto is (with or without the lapse of time or the giving of notice, or both) in material breach or material default thereunder, except for such breaches or defaults as would not reasonably be expected to be material to Buyer or have a Buyer Material Adverse Effect. None of the Buyer Material Contracts have been canceled or otherwise terminated, and Buyer has not received any written notice from any Person regarding any such cancellation or termination or any material default, in each case, with respect to a Buyer Material Contract.</w:t>
      </w:r>
    </w:p>
    <w:p>
      <w:pPr>
        <w:spacing w:after="0" w:line="172" w:lineRule="exact"/>
        <w:rPr>
          <w:sz w:val="20"/>
          <w:szCs w:val="20"/>
          <w:color w:val="auto"/>
        </w:rPr>
      </w:pPr>
    </w:p>
    <w:p>
      <w:pPr>
        <w:jc w:val="both"/>
        <w:ind w:firstLine="1195"/>
        <w:spacing w:after="0" w:line="290" w:lineRule="auto"/>
        <w:rPr>
          <w:sz w:val="20"/>
          <w:szCs w:val="20"/>
          <w:color w:val="auto"/>
        </w:rPr>
      </w:pPr>
      <w:r>
        <w:rPr>
          <w:rFonts w:ascii="Arial" w:cs="Arial" w:eastAsia="Arial" w:hAnsi="Arial"/>
          <w:sz w:val="15"/>
          <w:szCs w:val="15"/>
          <w:color w:val="010000"/>
        </w:rPr>
        <w:t xml:space="preserve">Section 4.12 </w:t>
      </w:r>
      <w:r>
        <w:rPr>
          <w:rFonts w:ascii="Arial" w:cs="Arial" w:eastAsia="Arial" w:hAnsi="Arial"/>
          <w:sz w:val="15"/>
          <w:szCs w:val="15"/>
          <w:u w:val="single" w:color="auto"/>
          <w:color w:val="000000"/>
        </w:rPr>
        <w:t>Information Supplied</w:t>
      </w:r>
      <w:r>
        <w:rPr>
          <w:rFonts w:ascii="Arial" w:cs="Arial" w:eastAsia="Arial" w:hAnsi="Arial"/>
          <w:sz w:val="15"/>
          <w:szCs w:val="15"/>
          <w:color w:val="000000"/>
        </w:rPr>
        <w:t>. None of the information supplied or to be supplied by Buyer expressly for inclusion or incorporation by reference in</w:t>
      </w:r>
      <w:r>
        <w:rPr>
          <w:rFonts w:ascii="Arial" w:cs="Arial" w:eastAsia="Arial" w:hAnsi="Arial"/>
          <w:sz w:val="15"/>
          <w:szCs w:val="15"/>
          <w:color w:val="010000"/>
        </w:rPr>
        <w:t xml:space="preserve"> </w:t>
      </w:r>
      <w:r>
        <w:rPr>
          <w:rFonts w:ascii="Arial" w:cs="Arial" w:eastAsia="Arial" w:hAnsi="Arial"/>
          <w:sz w:val="15"/>
          <w:szCs w:val="15"/>
          <w:color w:val="000000"/>
        </w:rPr>
        <w:t>the filings with the SEC (including the Buyer Reports and mailings to Buyer’s stockholders with respect to the solicitation of proxies to approve the Contemplated Transactions (including the Proxy Statement)) will, at the date of filing and/ or mailing,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Buyer or that is included in the Buyer Reports).</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17"/>
          <w:szCs w:val="17"/>
          <w:color w:val="010000"/>
        </w:rPr>
        <w:t xml:space="preserve">Section 4.13 </w:t>
      </w:r>
      <w:r>
        <w:rPr>
          <w:rFonts w:ascii="Arial" w:cs="Arial" w:eastAsia="Arial" w:hAnsi="Arial"/>
          <w:sz w:val="17"/>
          <w:szCs w:val="17"/>
          <w:u w:val="single" w:color="auto"/>
          <w:color w:val="000000"/>
        </w:rPr>
        <w:t>Buyer Tax Matters</w:t>
      </w:r>
      <w:r>
        <w:rPr>
          <w:rFonts w:ascii="Arial" w:cs="Arial" w:eastAsia="Arial" w:hAnsi="Arial"/>
          <w:sz w:val="17"/>
          <w:szCs w:val="17"/>
          <w:color w:val="000000"/>
        </w:rPr>
        <w:t>.</w:t>
      </w:r>
    </w:p>
    <w:p>
      <w:pPr>
        <w:spacing w:after="0" w:line="203" w:lineRule="exact"/>
        <w:rPr>
          <w:sz w:val="20"/>
          <w:szCs w:val="20"/>
          <w:color w:val="auto"/>
        </w:rPr>
      </w:pPr>
    </w:p>
    <w:p>
      <w:pPr>
        <w:ind w:left="820" w:firstLine="599"/>
        <w:spacing w:after="0" w:line="264" w:lineRule="auto"/>
        <w:tabs>
          <w:tab w:leader="none" w:pos="2029" w:val="left"/>
        </w:tabs>
        <w:numPr>
          <w:ilvl w:val="0"/>
          <w:numId w:val="38"/>
        </w:numPr>
        <w:rPr>
          <w:rFonts w:ascii="Arial" w:cs="Arial" w:eastAsia="Arial" w:hAnsi="Arial"/>
          <w:sz w:val="17"/>
          <w:szCs w:val="17"/>
          <w:color w:val="010000"/>
        </w:rPr>
      </w:pPr>
      <w:r>
        <w:rPr>
          <w:rFonts w:ascii="Arial" w:cs="Arial" w:eastAsia="Arial" w:hAnsi="Arial"/>
          <w:sz w:val="17"/>
          <w:szCs w:val="17"/>
          <w:color w:val="auto"/>
        </w:rPr>
        <w:t>All Tax Returns required to be filed by Buyer (the “</w:t>
      </w:r>
      <w:r>
        <w:rPr>
          <w:rFonts w:ascii="Arial" w:cs="Arial" w:eastAsia="Arial" w:hAnsi="Arial"/>
          <w:sz w:val="17"/>
          <w:szCs w:val="17"/>
          <w:u w:val="single" w:color="auto"/>
          <w:color w:val="auto"/>
        </w:rPr>
        <w:t>Buyer Tax Returns</w:t>
      </w:r>
      <w:r>
        <w:rPr>
          <w:rFonts w:ascii="Arial" w:cs="Arial" w:eastAsia="Arial" w:hAnsi="Arial"/>
          <w:sz w:val="17"/>
          <w:szCs w:val="17"/>
          <w:color w:val="auto"/>
        </w:rPr>
        <w:t>”) have been timely filed (taking into account applicable extensions of time in which to file), and all Buyer Tax Returns are true, complete and correct in all material respects.</w:t>
      </w:r>
    </w:p>
    <w:p>
      <w:pPr>
        <w:spacing w:after="0" w:line="167" w:lineRule="exact"/>
        <w:rPr>
          <w:rFonts w:ascii="Arial" w:cs="Arial" w:eastAsia="Arial" w:hAnsi="Arial"/>
          <w:sz w:val="17"/>
          <w:szCs w:val="17"/>
          <w:color w:val="010000"/>
        </w:rPr>
      </w:pPr>
    </w:p>
    <w:p>
      <w:pPr>
        <w:ind w:left="2020" w:hanging="601"/>
        <w:spacing w:after="0"/>
        <w:tabs>
          <w:tab w:leader="none" w:pos="2020" w:val="left"/>
        </w:tabs>
        <w:numPr>
          <w:ilvl w:val="0"/>
          <w:numId w:val="38"/>
        </w:numPr>
        <w:rPr>
          <w:rFonts w:ascii="Arial" w:cs="Arial" w:eastAsia="Arial" w:hAnsi="Arial"/>
          <w:sz w:val="17"/>
          <w:szCs w:val="17"/>
          <w:color w:val="010000"/>
        </w:rPr>
      </w:pPr>
      <w:r>
        <w:rPr>
          <w:rFonts w:ascii="Arial" w:cs="Arial" w:eastAsia="Arial" w:hAnsi="Arial"/>
          <w:sz w:val="17"/>
          <w:szCs w:val="17"/>
          <w:color w:val="auto"/>
        </w:rPr>
        <w:t>Buyer has fully and timely paid all Taxes required to have been paid by Buyer.</w:t>
      </w:r>
    </w:p>
    <w:p>
      <w:pPr>
        <w:spacing w:after="0" w:line="202" w:lineRule="exact"/>
        <w:rPr>
          <w:rFonts w:ascii="Arial" w:cs="Arial" w:eastAsia="Arial" w:hAnsi="Arial"/>
          <w:sz w:val="17"/>
          <w:szCs w:val="17"/>
          <w:color w:val="010000"/>
        </w:rPr>
      </w:pPr>
    </w:p>
    <w:p>
      <w:pPr>
        <w:ind w:left="2020" w:hanging="601"/>
        <w:spacing w:after="0"/>
        <w:tabs>
          <w:tab w:leader="none" w:pos="2020" w:val="left"/>
        </w:tabs>
        <w:numPr>
          <w:ilvl w:val="0"/>
          <w:numId w:val="38"/>
        </w:numPr>
        <w:rPr>
          <w:rFonts w:ascii="Arial" w:cs="Arial" w:eastAsia="Arial" w:hAnsi="Arial"/>
          <w:sz w:val="17"/>
          <w:szCs w:val="17"/>
          <w:color w:val="010000"/>
        </w:rPr>
      </w:pPr>
      <w:r>
        <w:rPr>
          <w:rFonts w:ascii="Arial" w:cs="Arial" w:eastAsia="Arial" w:hAnsi="Arial"/>
          <w:sz w:val="17"/>
          <w:szCs w:val="17"/>
          <w:color w:val="auto"/>
        </w:rPr>
        <w:t>All deficiencies for material Taxes asserted or assessed in writing against Buyer have been fully and timely paid.</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45" w:name="page46"/>
    <w:bookmarkEnd w:id="45"/>
    <w:p>
      <w:pPr>
        <w:ind w:left="1300" w:hanging="701"/>
        <w:spacing w:after="0"/>
        <w:tabs>
          <w:tab w:leader="none" w:pos="1300" w:val="left"/>
        </w:tabs>
        <w:numPr>
          <w:ilvl w:val="0"/>
          <w:numId w:val="39"/>
        </w:numPr>
        <w:rPr>
          <w:rFonts w:ascii="Arial" w:cs="Arial" w:eastAsia="Arial" w:hAnsi="Arial"/>
          <w:sz w:val="15"/>
          <w:szCs w:val="15"/>
          <w:color w:val="010000"/>
        </w:rPr>
      </w:pPr>
      <w:r>
        <w:rPr>
          <w:rFonts w:ascii="Arial" w:cs="Arial" w:eastAsia="Arial" w:hAnsi="Arial"/>
          <w:sz w:val="15"/>
          <w:szCs w:val="15"/>
          <w:color w:val="auto"/>
        </w:rPr>
        <w:t>To the Knowledge of Buyer, Buyer has not been a party to a “listed transactions” as such term is defined in Treasury Regulations Section</w:t>
      </w:r>
    </w:p>
    <w:p>
      <w:pPr>
        <w:spacing w:after="0" w:line="39"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7"/>
          <w:szCs w:val="17"/>
          <w:color w:val="auto"/>
        </w:rPr>
        <w:t>1.6011-4(b)(2).</w:t>
      </w:r>
    </w:p>
    <w:p>
      <w:pPr>
        <w:spacing w:after="0" w:line="190" w:lineRule="exact"/>
        <w:rPr>
          <w:rFonts w:ascii="Arial" w:cs="Arial" w:eastAsia="Arial" w:hAnsi="Arial"/>
          <w:sz w:val="15"/>
          <w:szCs w:val="15"/>
          <w:color w:val="010000"/>
        </w:rPr>
      </w:pPr>
    </w:p>
    <w:p>
      <w:pPr>
        <w:ind w:firstLine="599"/>
        <w:spacing w:after="0" w:line="296" w:lineRule="auto"/>
        <w:tabs>
          <w:tab w:leader="none" w:pos="1346" w:val="left"/>
        </w:tabs>
        <w:numPr>
          <w:ilvl w:val="0"/>
          <w:numId w:val="39"/>
        </w:numPr>
        <w:rPr>
          <w:rFonts w:ascii="Arial" w:cs="Arial" w:eastAsia="Arial" w:hAnsi="Arial"/>
          <w:sz w:val="16"/>
          <w:szCs w:val="16"/>
          <w:color w:val="010000"/>
        </w:rPr>
      </w:pPr>
      <w:r>
        <w:rPr>
          <w:rFonts w:ascii="Arial" w:cs="Arial" w:eastAsia="Arial" w:hAnsi="Arial"/>
          <w:sz w:val="16"/>
          <w:szCs w:val="16"/>
          <w:color w:val="auto"/>
        </w:rPr>
        <w:t>Within the past two (2) years, Buyer has not distributed Equity Securities of another Person, or had its Equity Securities distributed by another Person, in a transaction that was purported or intended to be governed in whole or in part by Section 355 or Section 361 of the Code.</w:t>
      </w:r>
    </w:p>
    <w:p>
      <w:pPr>
        <w:spacing w:after="0" w:line="143" w:lineRule="exact"/>
        <w:rPr>
          <w:rFonts w:ascii="Arial" w:cs="Arial" w:eastAsia="Arial" w:hAnsi="Arial"/>
          <w:sz w:val="16"/>
          <w:szCs w:val="16"/>
          <w:color w:val="010000"/>
        </w:rPr>
      </w:pPr>
    </w:p>
    <w:p>
      <w:pPr>
        <w:ind w:firstLine="599"/>
        <w:spacing w:after="0" w:line="296" w:lineRule="auto"/>
        <w:tabs>
          <w:tab w:leader="none" w:pos="1253" w:val="left"/>
        </w:tabs>
        <w:numPr>
          <w:ilvl w:val="0"/>
          <w:numId w:val="39"/>
        </w:numPr>
        <w:rPr>
          <w:rFonts w:ascii="Arial" w:cs="Arial" w:eastAsia="Arial" w:hAnsi="Arial"/>
          <w:sz w:val="16"/>
          <w:szCs w:val="16"/>
          <w:color w:val="010000"/>
        </w:rPr>
      </w:pPr>
      <w:r>
        <w:rPr>
          <w:rFonts w:ascii="Arial" w:cs="Arial" w:eastAsia="Arial" w:hAnsi="Arial"/>
          <w:sz w:val="16"/>
          <w:szCs w:val="16"/>
          <w:color w:val="auto"/>
        </w:rPr>
        <w:t>Buyer has complied with all applicable Laws relating to the payment and withholding of Taxes and has duly and timely withheld and paid over to the appropriate Governmental Authority all amounts required to be so withheld and paid over under all applicable Laws.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7"/>
          <w:szCs w:val="17"/>
          <w:color w:val="010000"/>
        </w:rPr>
        <w:t xml:space="preserve">Section 4.14 </w:t>
      </w:r>
      <w:r>
        <w:rPr>
          <w:rFonts w:ascii="Arial" w:cs="Arial" w:eastAsia="Arial" w:hAnsi="Arial"/>
          <w:sz w:val="17"/>
          <w:szCs w:val="17"/>
          <w:u w:val="single" w:color="auto"/>
          <w:color w:val="000000"/>
        </w:rPr>
        <w:t>Business Activities</w:t>
      </w:r>
      <w:r>
        <w:rPr>
          <w:rFonts w:ascii="Arial" w:cs="Arial" w:eastAsia="Arial" w:hAnsi="Arial"/>
          <w:sz w:val="17"/>
          <w:szCs w:val="17"/>
          <w:color w:val="000000"/>
        </w:rPr>
        <w:t>.</w:t>
      </w:r>
    </w:p>
    <w:p>
      <w:pPr>
        <w:spacing w:after="0" w:line="203" w:lineRule="exact"/>
        <w:rPr>
          <w:sz w:val="20"/>
          <w:szCs w:val="20"/>
          <w:color w:val="auto"/>
        </w:rPr>
      </w:pPr>
    </w:p>
    <w:p>
      <w:pPr>
        <w:jc w:val="both"/>
        <w:ind w:firstLine="599"/>
        <w:spacing w:after="0" w:line="288" w:lineRule="auto"/>
        <w:tabs>
          <w:tab w:leader="none" w:pos="1246" w:val="left"/>
        </w:tabs>
        <w:numPr>
          <w:ilvl w:val="0"/>
          <w:numId w:val="40"/>
        </w:numPr>
        <w:rPr>
          <w:rFonts w:ascii="Arial" w:cs="Arial" w:eastAsia="Arial" w:hAnsi="Arial"/>
          <w:sz w:val="15"/>
          <w:szCs w:val="15"/>
          <w:color w:val="010000"/>
        </w:rPr>
      </w:pPr>
      <w:r>
        <w:rPr>
          <w:rFonts w:ascii="Arial" w:cs="Arial" w:eastAsia="Arial" w:hAnsi="Arial"/>
          <w:sz w:val="15"/>
          <w:szCs w:val="15"/>
          <w:color w:val="auto"/>
        </w:rPr>
        <w:t>Since the Formation Date, Buyer has not conducted any business activities (i) other than activities directed toward the accomplishment of a Business Combination and maintenance of its corporate existence, (ii) in any jurisdiction other than the United States, or (iii) in any jurisdiction within the United States other than Delaware and New York. Except as set forth in Buyer’s Organizational Documents, there is no Contract or Order binding upon Buyer or to which Buyer is party, which has, or would reasonably be expected to have, the effect of prohibiting or impairing any business practice of Buyer or any acquisition of property by Buyer or the conduct of business by Buyer as currently conducted or as contemplated to be conducted as of the Closing, other than such effects, individually or in the aggregate, which have not had, and would not reasonably be expected to have a Buyer Material Adverse Effect.</w:t>
      </w:r>
    </w:p>
    <w:p>
      <w:pPr>
        <w:spacing w:after="0" w:line="152" w:lineRule="exact"/>
        <w:rPr>
          <w:rFonts w:ascii="Arial" w:cs="Arial" w:eastAsia="Arial" w:hAnsi="Arial"/>
          <w:sz w:val="15"/>
          <w:szCs w:val="15"/>
          <w:color w:val="010000"/>
        </w:rPr>
      </w:pPr>
    </w:p>
    <w:p>
      <w:pPr>
        <w:jc w:val="both"/>
        <w:ind w:firstLine="599"/>
        <w:spacing w:after="0" w:line="251" w:lineRule="auto"/>
        <w:tabs>
          <w:tab w:leader="none" w:pos="1330" w:val="left"/>
        </w:tabs>
        <w:numPr>
          <w:ilvl w:val="0"/>
          <w:numId w:val="40"/>
        </w:numPr>
        <w:rPr>
          <w:rFonts w:ascii="Arial" w:cs="Arial" w:eastAsia="Arial" w:hAnsi="Arial"/>
          <w:sz w:val="17"/>
          <w:szCs w:val="17"/>
          <w:color w:val="010000"/>
        </w:rPr>
      </w:pPr>
      <w:r>
        <w:rPr>
          <w:rFonts w:ascii="Arial" w:cs="Arial" w:eastAsia="Arial" w:hAnsi="Arial"/>
          <w:sz w:val="17"/>
          <w:szCs w:val="17"/>
          <w:color w:val="auto"/>
        </w:rPr>
        <w:t>Buyer does not own, or have a right to acquire, directly or indirectly, any interest or investment (whether debt or equity) in any Person. Except for this Agreement and the Contemplated Transactions, Buyer has no interest, rights, obligations or liabilities with respect to, and is not party to, bound by or has its assets or property subject to, in each case, whether directly or indirectly, any Contract or transaction which is, or could reasonably be interpreted as constituting, a Business Combination.</w:t>
      </w:r>
    </w:p>
    <w:p>
      <w:pPr>
        <w:spacing w:after="0" w:line="178" w:lineRule="exact"/>
        <w:rPr>
          <w:rFonts w:ascii="Arial" w:cs="Arial" w:eastAsia="Arial" w:hAnsi="Arial"/>
          <w:sz w:val="17"/>
          <w:szCs w:val="17"/>
          <w:color w:val="010000"/>
        </w:rPr>
      </w:pPr>
    </w:p>
    <w:p>
      <w:pPr>
        <w:ind w:left="1200" w:hanging="601"/>
        <w:spacing w:after="0"/>
        <w:tabs>
          <w:tab w:leader="none" w:pos="1200" w:val="left"/>
        </w:tabs>
        <w:numPr>
          <w:ilvl w:val="0"/>
          <w:numId w:val="40"/>
        </w:numPr>
        <w:rPr>
          <w:rFonts w:ascii="Arial" w:cs="Arial" w:eastAsia="Arial" w:hAnsi="Arial"/>
          <w:sz w:val="17"/>
          <w:szCs w:val="17"/>
          <w:color w:val="010000"/>
        </w:rPr>
      </w:pPr>
      <w:r>
        <w:rPr>
          <w:rFonts w:ascii="Arial" w:cs="Arial" w:eastAsia="Arial" w:hAnsi="Arial"/>
          <w:sz w:val="17"/>
          <w:szCs w:val="17"/>
          <w:color w:val="auto"/>
        </w:rPr>
        <w:t>Buyer has no current or former employees or any Buyer Benefit Plans.</w:t>
      </w:r>
    </w:p>
    <w:p>
      <w:pPr>
        <w:spacing w:after="0" w:line="202" w:lineRule="exact"/>
        <w:rPr>
          <w:rFonts w:ascii="Arial" w:cs="Arial" w:eastAsia="Arial" w:hAnsi="Arial"/>
          <w:sz w:val="17"/>
          <w:szCs w:val="17"/>
          <w:color w:val="010000"/>
        </w:rPr>
      </w:pPr>
    </w:p>
    <w:p>
      <w:pPr>
        <w:jc w:val="both"/>
        <w:ind w:firstLine="599"/>
        <w:spacing w:after="0" w:line="249" w:lineRule="auto"/>
        <w:tabs>
          <w:tab w:leader="none" w:pos="1318" w:val="left"/>
        </w:tabs>
        <w:numPr>
          <w:ilvl w:val="0"/>
          <w:numId w:val="40"/>
        </w:numPr>
        <w:rPr>
          <w:rFonts w:ascii="Arial" w:cs="Arial" w:eastAsia="Arial" w:hAnsi="Arial"/>
          <w:sz w:val="17"/>
          <w:szCs w:val="17"/>
          <w:color w:val="010000"/>
        </w:rPr>
      </w:pPr>
      <w:r>
        <w:rPr>
          <w:rFonts w:ascii="Arial" w:cs="Arial" w:eastAsia="Arial" w:hAnsi="Arial"/>
          <w:sz w:val="17"/>
          <w:szCs w:val="17"/>
          <w:color w:val="auto"/>
        </w:rPr>
        <w:t>Except for liabilities and obligations (i) reflected or reserved for on Buyer’s consolidated balance sheet for the year ended December 31, 2016 as reported on Form 10-K or disclosed in the notes thereto, (ii) disclosed in the Buyer Disclosure Letter, (iii) incurred in the Ordinary Course of Business since the date of Buyer’s consolidated balance sheet for the period ended December 31, 2016 as reported on Form 10-K or (iv) incurred in connection with or contemplated by this Agreement or the Contemplated Transactions, Buyer does not have any liabilities of a type that are required by GAAP to be reflected or reserved against in a balance sheet of Buyer.</w:t>
      </w:r>
    </w:p>
    <w:p>
      <w:pPr>
        <w:spacing w:after="0" w:line="281"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10160</wp:posOffset>
            </wp:positionV>
            <wp:extent cx="7257415"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600"/>
          </w:cols>
          <w:pgMar w:left="1060" w:top="650" w:right="239" w:bottom="1440" w:gutter="0" w:footer="0" w:header="0"/>
        </w:sectPr>
      </w:pPr>
    </w:p>
    <w:bookmarkStart w:id="46" w:name="page47"/>
    <w:bookmarkEnd w:id="46"/>
    <w:p>
      <w:pPr>
        <w:ind w:left="1200"/>
        <w:spacing w:after="0"/>
        <w:tabs>
          <w:tab w:leader="none" w:pos="2220" w:val="left"/>
        </w:tabs>
        <w:rPr>
          <w:sz w:val="20"/>
          <w:szCs w:val="20"/>
          <w:color w:val="auto"/>
        </w:rPr>
      </w:pPr>
      <w:r>
        <w:rPr>
          <w:rFonts w:ascii="Arial" w:cs="Arial" w:eastAsia="Arial" w:hAnsi="Arial"/>
          <w:sz w:val="17"/>
          <w:szCs w:val="17"/>
          <w:color w:val="010000"/>
        </w:rPr>
        <w:t>Section 4.15</w:t>
      </w:r>
      <w:r>
        <w:rPr>
          <w:sz w:val="20"/>
          <w:szCs w:val="20"/>
          <w:color w:val="auto"/>
        </w:rPr>
        <w:tab/>
      </w:r>
      <w:r>
        <w:rPr>
          <w:rFonts w:ascii="Arial" w:cs="Arial" w:eastAsia="Arial" w:hAnsi="Arial"/>
          <w:sz w:val="13"/>
          <w:szCs w:val="13"/>
          <w:u w:val="single" w:color="auto"/>
          <w:color w:val="auto"/>
        </w:rPr>
        <w:t>Purchase for Investment</w:t>
      </w:r>
      <w:r>
        <w:rPr>
          <w:rFonts w:ascii="Arial" w:cs="Arial" w:eastAsia="Arial" w:hAnsi="Arial"/>
          <w:sz w:val="13"/>
          <w:szCs w:val="13"/>
          <w:color w:val="auto"/>
        </w:rPr>
        <w:t>.</w:t>
      </w:r>
    </w:p>
    <w:p>
      <w:pPr>
        <w:spacing w:after="0" w:line="203" w:lineRule="exact"/>
        <w:rPr>
          <w:sz w:val="20"/>
          <w:szCs w:val="20"/>
          <w:color w:val="auto"/>
        </w:rPr>
      </w:pPr>
    </w:p>
    <w:p>
      <w:pPr>
        <w:ind w:left="2020" w:hanging="601"/>
        <w:spacing w:after="0"/>
        <w:tabs>
          <w:tab w:leader="none" w:pos="2020" w:val="left"/>
        </w:tabs>
        <w:numPr>
          <w:ilvl w:val="0"/>
          <w:numId w:val="41"/>
        </w:numPr>
        <w:rPr>
          <w:rFonts w:ascii="Arial" w:cs="Arial" w:eastAsia="Arial" w:hAnsi="Arial"/>
          <w:sz w:val="17"/>
          <w:szCs w:val="17"/>
          <w:color w:val="010000"/>
        </w:rPr>
      </w:pPr>
      <w:r>
        <w:rPr>
          <w:rFonts w:ascii="Arial" w:cs="Arial" w:eastAsia="Arial" w:hAnsi="Arial"/>
          <w:sz w:val="17"/>
          <w:szCs w:val="17"/>
          <w:color w:val="auto"/>
        </w:rPr>
        <w:t>Buyer is an “accredited investor” within the meaning of Section 506 of Regulation D promulgated under the Securities Act.</w:t>
      </w:r>
    </w:p>
    <w:p>
      <w:pPr>
        <w:spacing w:after="0" w:line="202" w:lineRule="exact"/>
        <w:rPr>
          <w:rFonts w:ascii="Arial" w:cs="Arial" w:eastAsia="Arial" w:hAnsi="Arial"/>
          <w:sz w:val="17"/>
          <w:szCs w:val="17"/>
          <w:color w:val="010000"/>
        </w:rPr>
      </w:pPr>
    </w:p>
    <w:p>
      <w:pPr>
        <w:jc w:val="both"/>
        <w:ind w:left="820" w:firstLine="599"/>
        <w:spacing w:after="0" w:line="254" w:lineRule="auto"/>
        <w:tabs>
          <w:tab w:leader="none" w:pos="2026" w:val="left"/>
        </w:tabs>
        <w:numPr>
          <w:ilvl w:val="0"/>
          <w:numId w:val="41"/>
        </w:numPr>
        <w:rPr>
          <w:rFonts w:ascii="Arial" w:cs="Arial" w:eastAsia="Arial" w:hAnsi="Arial"/>
          <w:sz w:val="17"/>
          <w:szCs w:val="17"/>
          <w:color w:val="010000"/>
        </w:rPr>
      </w:pPr>
      <w:r>
        <w:rPr>
          <w:rFonts w:ascii="Arial" w:cs="Arial" w:eastAsia="Arial" w:hAnsi="Arial"/>
          <w:sz w:val="17"/>
          <w:szCs w:val="17"/>
          <w:color w:val="auto"/>
        </w:rPr>
        <w:t>The Acquired Interests will be acquired for investment for Buyer’s own account and not with a view to the distribution of any part thereof (or participation therein) in violation of the Securities Act. Buyer does not have any contract, undertaking or agreement with any Person to sell, transfer, or grant participations with respect to the Acquired Interests.</w:t>
      </w:r>
    </w:p>
    <w:p>
      <w:pPr>
        <w:spacing w:after="0" w:line="176" w:lineRule="exact"/>
        <w:rPr>
          <w:rFonts w:ascii="Arial" w:cs="Arial" w:eastAsia="Arial" w:hAnsi="Arial"/>
          <w:sz w:val="17"/>
          <w:szCs w:val="17"/>
          <w:color w:val="010000"/>
        </w:rPr>
      </w:pPr>
    </w:p>
    <w:p>
      <w:pPr>
        <w:ind w:left="820" w:firstLine="599"/>
        <w:spacing w:after="0" w:line="264" w:lineRule="auto"/>
        <w:tabs>
          <w:tab w:leader="none" w:pos="2091" w:val="left"/>
        </w:tabs>
        <w:numPr>
          <w:ilvl w:val="0"/>
          <w:numId w:val="41"/>
        </w:numPr>
        <w:rPr>
          <w:rFonts w:ascii="Arial" w:cs="Arial" w:eastAsia="Arial" w:hAnsi="Arial"/>
          <w:sz w:val="17"/>
          <w:szCs w:val="17"/>
          <w:color w:val="010000"/>
        </w:rPr>
      </w:pPr>
      <w:r>
        <w:rPr>
          <w:rFonts w:ascii="Arial" w:cs="Arial" w:eastAsia="Arial" w:hAnsi="Arial"/>
          <w:sz w:val="17"/>
          <w:szCs w:val="17"/>
          <w:color w:val="auto"/>
        </w:rPr>
        <w:t>Buyer’s financial condition is such that it is able to bear the risk of holding the Acquired Interests for an indefinite period of time and can bear the loss of its entire investment in the Acquired Interests.</w:t>
      </w:r>
    </w:p>
    <w:p>
      <w:pPr>
        <w:spacing w:after="0" w:line="167" w:lineRule="exact"/>
        <w:rPr>
          <w:rFonts w:ascii="Arial" w:cs="Arial" w:eastAsia="Arial" w:hAnsi="Arial"/>
          <w:sz w:val="17"/>
          <w:szCs w:val="17"/>
          <w:color w:val="010000"/>
        </w:rPr>
      </w:pPr>
    </w:p>
    <w:p>
      <w:pPr>
        <w:ind w:left="820" w:firstLine="599"/>
        <w:spacing w:after="0" w:line="331" w:lineRule="auto"/>
        <w:tabs>
          <w:tab w:leader="none" w:pos="2175" w:val="left"/>
        </w:tabs>
        <w:numPr>
          <w:ilvl w:val="0"/>
          <w:numId w:val="41"/>
        </w:numPr>
        <w:rPr>
          <w:rFonts w:ascii="Arial" w:cs="Arial" w:eastAsia="Arial" w:hAnsi="Arial"/>
          <w:sz w:val="15"/>
          <w:szCs w:val="15"/>
          <w:color w:val="010000"/>
        </w:rPr>
      </w:pPr>
      <w:r>
        <w:rPr>
          <w:rFonts w:ascii="Arial" w:cs="Arial" w:eastAsia="Arial" w:hAnsi="Arial"/>
          <w:sz w:val="15"/>
          <w:szCs w:val="15"/>
          <w:color w:val="auto"/>
        </w:rPr>
        <w:t>Buyer (either alone or together with its advisors) has sufficient knowledge and experience in financial and business matters so as to be capable of evaluating the merits and risks of its investment in the Acquired Interests and is capable of bearing the economic risks of such investment.</w:t>
      </w:r>
    </w:p>
    <w:p>
      <w:pPr>
        <w:spacing w:after="0" w:line="121" w:lineRule="exact"/>
        <w:rPr>
          <w:rFonts w:ascii="Arial" w:cs="Arial" w:eastAsia="Arial" w:hAnsi="Arial"/>
          <w:sz w:val="15"/>
          <w:szCs w:val="15"/>
          <w:color w:val="010000"/>
        </w:rPr>
      </w:pPr>
    </w:p>
    <w:p>
      <w:pPr>
        <w:ind w:left="820" w:firstLine="599"/>
        <w:spacing w:after="0" w:line="264" w:lineRule="auto"/>
        <w:tabs>
          <w:tab w:leader="none" w:pos="2017" w:val="left"/>
        </w:tabs>
        <w:numPr>
          <w:ilvl w:val="0"/>
          <w:numId w:val="41"/>
        </w:numPr>
        <w:rPr>
          <w:rFonts w:ascii="Arial" w:cs="Arial" w:eastAsia="Arial" w:hAnsi="Arial"/>
          <w:sz w:val="17"/>
          <w:szCs w:val="17"/>
          <w:color w:val="010000"/>
        </w:rPr>
      </w:pPr>
      <w:r>
        <w:rPr>
          <w:rFonts w:ascii="Arial" w:cs="Arial" w:eastAsia="Arial" w:hAnsi="Arial"/>
          <w:sz w:val="17"/>
          <w:szCs w:val="17"/>
          <w:color w:val="auto"/>
        </w:rPr>
        <w:t>Buyer acknowledges that the Acquired Interests have not been issued in a transaction registered under the Securities Act or under any state or foreign securities laws.</w:t>
      </w:r>
    </w:p>
    <w:p>
      <w:pPr>
        <w:spacing w:after="0" w:line="168"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4.16 </w:t>
      </w:r>
      <w:r>
        <w:rPr>
          <w:rFonts w:ascii="Arial" w:cs="Arial" w:eastAsia="Arial" w:hAnsi="Arial"/>
          <w:sz w:val="17"/>
          <w:szCs w:val="17"/>
          <w:u w:val="single" w:color="auto"/>
          <w:color w:val="000000"/>
        </w:rPr>
        <w:t>Brokers or Finders</w:t>
      </w:r>
      <w:r>
        <w:rPr>
          <w:rFonts w:ascii="Arial" w:cs="Arial" w:eastAsia="Arial" w:hAnsi="Arial"/>
          <w:sz w:val="17"/>
          <w:szCs w:val="17"/>
          <w:color w:val="000000"/>
        </w:rPr>
        <w:t>. Other than in respect of the Deferred Underwriting Fees, there is no investment banker, broker, finder or other</w:t>
      </w:r>
      <w:r>
        <w:rPr>
          <w:rFonts w:ascii="Arial" w:cs="Arial" w:eastAsia="Arial" w:hAnsi="Arial"/>
          <w:sz w:val="17"/>
          <w:szCs w:val="17"/>
          <w:color w:val="010000"/>
        </w:rPr>
        <w:t xml:space="preserve"> </w:t>
      </w:r>
      <w:r>
        <w:rPr>
          <w:rFonts w:ascii="Arial" w:cs="Arial" w:eastAsia="Arial" w:hAnsi="Arial"/>
          <w:sz w:val="17"/>
          <w:szCs w:val="17"/>
          <w:color w:val="000000"/>
        </w:rPr>
        <w:t>intermediary that has been retained by or is authorized to act on behalf of Buyer who might be entitled to any fee or commission in connection with the Contemplated Transactions.</w:t>
      </w:r>
    </w:p>
    <w:p>
      <w:pPr>
        <w:spacing w:after="0" w:line="176" w:lineRule="exact"/>
        <w:rPr>
          <w:sz w:val="20"/>
          <w:szCs w:val="20"/>
          <w:color w:val="auto"/>
        </w:rPr>
      </w:pPr>
    </w:p>
    <w:p>
      <w:pPr>
        <w:ind w:left="1200"/>
        <w:spacing w:after="0"/>
        <w:tabs>
          <w:tab w:leader="none" w:pos="2220" w:val="left"/>
        </w:tabs>
        <w:rPr>
          <w:sz w:val="20"/>
          <w:szCs w:val="20"/>
          <w:color w:val="auto"/>
        </w:rPr>
      </w:pPr>
      <w:r>
        <w:rPr>
          <w:rFonts w:ascii="Arial" w:cs="Arial" w:eastAsia="Arial" w:hAnsi="Arial"/>
          <w:sz w:val="17"/>
          <w:szCs w:val="17"/>
          <w:color w:val="010000"/>
        </w:rPr>
        <w:t>Section 4.17</w:t>
      </w:r>
      <w:r>
        <w:rPr>
          <w:sz w:val="20"/>
          <w:szCs w:val="20"/>
          <w:color w:val="auto"/>
        </w:rPr>
        <w:tab/>
      </w:r>
      <w:r>
        <w:rPr>
          <w:rFonts w:ascii="Arial" w:cs="Arial" w:eastAsia="Arial" w:hAnsi="Arial"/>
          <w:sz w:val="15"/>
          <w:szCs w:val="15"/>
          <w:u w:val="single" w:color="auto"/>
          <w:color w:val="auto"/>
        </w:rPr>
        <w:t>Independent Investigation by Buyer; No Reliance</w:t>
      </w:r>
      <w:r>
        <w:rPr>
          <w:rFonts w:ascii="Arial" w:cs="Arial" w:eastAsia="Arial" w:hAnsi="Arial"/>
          <w:sz w:val="15"/>
          <w:szCs w:val="15"/>
          <w:color w:val="auto"/>
        </w:rPr>
        <w:t>.</w:t>
      </w:r>
    </w:p>
    <w:p>
      <w:pPr>
        <w:spacing w:after="0" w:line="203" w:lineRule="exact"/>
        <w:rPr>
          <w:sz w:val="20"/>
          <w:szCs w:val="20"/>
          <w:color w:val="auto"/>
        </w:rPr>
      </w:pPr>
    </w:p>
    <w:p>
      <w:pPr>
        <w:jc w:val="both"/>
        <w:ind w:left="820" w:firstLine="599"/>
        <w:spacing w:after="0" w:line="288" w:lineRule="auto"/>
        <w:tabs>
          <w:tab w:leader="none" w:pos="2228" w:val="left"/>
        </w:tabs>
        <w:numPr>
          <w:ilvl w:val="0"/>
          <w:numId w:val="42"/>
        </w:numPr>
        <w:rPr>
          <w:rFonts w:ascii="Arial" w:cs="Arial" w:eastAsia="Arial" w:hAnsi="Arial"/>
          <w:sz w:val="15"/>
          <w:szCs w:val="15"/>
          <w:color w:val="010000"/>
        </w:rPr>
      </w:pPr>
      <w:r>
        <w:rPr>
          <w:rFonts w:ascii="Arial" w:cs="Arial" w:eastAsia="Arial" w:hAnsi="Arial"/>
          <w:sz w:val="15"/>
          <w:szCs w:val="15"/>
          <w:color w:val="auto"/>
        </w:rPr>
        <w:t>Buyer hereby acknowledges and affirms that (i) it has conducted and completed its own investigation, analysis and evaluation of the Company and its Subsidiaries, (ii) it has made all such reviews and inspections of the financial condition, business, results of operations, properties, assets and properties of the Company and its Subsidiaries as it has deemed necessary and appropriate, (iii) each of Buyer and its Representatives have been permitted satisfactory access to the books and records, facilities, equipment, Tax Returns, Contracts, and other properties and assets of the Company that Buyer and its Representatives have desired or requested to see or review, and (iv) each of Buyer and its Representatives have had a satisfactory opportunity to meet with the officers and employees of the Company and its Subsidiaries to discuss the business of Buyer and its Subsidiaries.</w:t>
      </w:r>
    </w:p>
    <w:p>
      <w:pPr>
        <w:spacing w:after="0" w:line="152" w:lineRule="exact"/>
        <w:rPr>
          <w:rFonts w:ascii="Arial" w:cs="Arial" w:eastAsia="Arial" w:hAnsi="Arial"/>
          <w:sz w:val="15"/>
          <w:szCs w:val="15"/>
          <w:color w:val="010000"/>
        </w:rPr>
      </w:pPr>
    </w:p>
    <w:p>
      <w:pPr>
        <w:jc w:val="both"/>
        <w:ind w:left="820" w:firstLine="599"/>
        <w:spacing w:after="0" w:line="265" w:lineRule="auto"/>
        <w:tabs>
          <w:tab w:leader="none" w:pos="2026" w:val="left"/>
        </w:tabs>
        <w:numPr>
          <w:ilvl w:val="0"/>
          <w:numId w:val="42"/>
        </w:numPr>
        <w:rPr>
          <w:rFonts w:ascii="Arial" w:cs="Arial" w:eastAsia="Arial" w:hAnsi="Arial"/>
          <w:sz w:val="16"/>
          <w:szCs w:val="16"/>
          <w:color w:val="010000"/>
        </w:rPr>
      </w:pPr>
      <w:r>
        <w:rPr>
          <w:rFonts w:ascii="Arial" w:cs="Arial" w:eastAsia="Arial" w:hAnsi="Arial"/>
          <w:sz w:val="16"/>
          <w:szCs w:val="16"/>
          <w:color w:val="auto"/>
        </w:rPr>
        <w:t xml:space="preserve">Buyer hereby acknowledges and agrees that, except for the representations and warranties of Sellers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none of Sellers or any other Person has made, and Buyer and its Representatives had not relied on, any representation or warranty, express or implied, as to the accuracy or completely of any Evaluation Material or any other information regarding any Seller, the Company or any of its Subsidiaries. Buyer agrees, to the fullest extent permitted by applicable Law, that none of Sellers, the Company or any of its Subsidiaries, or any of their respective Affiliates or Representatives, will have or be subject to any liability on any basis (including in contract or tort, under federal or state securities Laws or otherwise) to Buyer, any Affiliates of Buyer or any of their respective Representatives based upon any Evaluation Material or any other information regarding any Seller, the Company or any of its Subsidiaries provided or made or available to Buyer, any Affiliates or any of their Representatives (or any omissions therefrom) resulting from the distribution to Buyer or its Representatives, or Buyer’s use, of any such information.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7"/>
          <w:szCs w:val="17"/>
          <w:color w:val="010000"/>
        </w:rPr>
        <w:t>ARTICLE V</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COVENANTS</w:t>
      </w:r>
    </w:p>
    <w:p>
      <w:pPr>
        <w:spacing w:after="0" w:line="203" w:lineRule="exact"/>
        <w:rPr>
          <w:sz w:val="20"/>
          <w:szCs w:val="20"/>
          <w:color w:val="auto"/>
        </w:rPr>
      </w:pPr>
    </w:p>
    <w:p>
      <w:pPr>
        <w:jc w:val="both"/>
        <w:ind w:firstLine="1195"/>
        <w:spacing w:after="0" w:line="285" w:lineRule="auto"/>
        <w:rPr>
          <w:sz w:val="20"/>
          <w:szCs w:val="20"/>
          <w:color w:val="auto"/>
        </w:rPr>
      </w:pPr>
      <w:r>
        <w:rPr>
          <w:rFonts w:ascii="Arial" w:cs="Arial" w:eastAsia="Arial" w:hAnsi="Arial"/>
          <w:sz w:val="15"/>
          <w:szCs w:val="15"/>
          <w:color w:val="010000"/>
        </w:rPr>
        <w:t xml:space="preserve">Section 5.01 </w:t>
      </w:r>
      <w:r>
        <w:rPr>
          <w:rFonts w:ascii="Arial" w:cs="Arial" w:eastAsia="Arial" w:hAnsi="Arial"/>
          <w:sz w:val="15"/>
          <w:szCs w:val="15"/>
          <w:u w:val="single" w:color="auto"/>
          <w:color w:val="000000"/>
        </w:rPr>
        <w:t>Conduct of the Company’s Business Pending the Closing</w:t>
      </w:r>
      <w:r>
        <w:rPr>
          <w:rFonts w:ascii="Arial" w:cs="Arial" w:eastAsia="Arial" w:hAnsi="Arial"/>
          <w:sz w:val="15"/>
          <w:szCs w:val="15"/>
          <w:color w:val="000000"/>
        </w:rPr>
        <w:t>. From the date hereof until the earlier of the Closing Date or the termination of</w:t>
      </w:r>
      <w:r>
        <w:rPr>
          <w:rFonts w:ascii="Arial" w:cs="Arial" w:eastAsia="Arial" w:hAnsi="Arial"/>
          <w:sz w:val="15"/>
          <w:szCs w:val="15"/>
          <w:color w:val="010000"/>
        </w:rPr>
        <w:t xml:space="preserve"> </w:t>
      </w:r>
      <w:r>
        <w:rPr>
          <w:rFonts w:ascii="Arial" w:cs="Arial" w:eastAsia="Arial" w:hAnsi="Arial"/>
          <w:sz w:val="15"/>
          <w:szCs w:val="15"/>
          <w:color w:val="000000"/>
        </w:rPr>
        <w:t>this Agreement, except (a) as set forth in Section 5.01 of the Disclosure Letter, (b) as required by any Contract in existence as of the date hereof or under applicable Law,</w:t>
      </w:r>
    </w:p>
    <w:p>
      <w:pPr>
        <w:spacing w:after="0" w:line="1" w:lineRule="exact"/>
        <w:rPr>
          <w:sz w:val="20"/>
          <w:szCs w:val="20"/>
          <w:color w:val="auto"/>
        </w:rPr>
      </w:pPr>
    </w:p>
    <w:p>
      <w:pPr>
        <w:jc w:val="both"/>
        <w:spacing w:after="0" w:line="269" w:lineRule="auto"/>
        <w:tabs>
          <w:tab w:leader="none" w:pos="241"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otherwise contemplated by this Agreement or the other Transaction Documents, or (d) with the prior consent of Buyer (which consent shall not be unreasonably withheld, delayed or conditioned), the business of the Company and its Subsidiaries shall be conducted, in all material respects, in the Ordinary Course of Business; and Sellers shall not, and shall cause the Company and its Subsidiaries not to, other than in the Ordinary Course of Business:</w:t>
      </w:r>
    </w:p>
    <w:p>
      <w:pPr>
        <w:spacing w:after="0" w:line="165" w:lineRule="exact"/>
        <w:rPr>
          <w:rFonts w:ascii="Arial" w:cs="Arial" w:eastAsia="Arial" w:hAnsi="Arial"/>
          <w:sz w:val="16"/>
          <w:szCs w:val="16"/>
          <w:color w:val="auto"/>
        </w:rPr>
      </w:pPr>
    </w:p>
    <w:p>
      <w:pPr>
        <w:ind w:left="2400" w:hanging="608"/>
        <w:spacing w:after="0"/>
        <w:tabs>
          <w:tab w:leader="none" w:pos="2400" w:val="left"/>
        </w:tabs>
        <w:numPr>
          <w:ilvl w:val="1"/>
          <w:numId w:val="43"/>
        </w:numPr>
        <w:rPr>
          <w:rFonts w:ascii="Arial" w:cs="Arial" w:eastAsia="Arial" w:hAnsi="Arial"/>
          <w:sz w:val="17"/>
          <w:szCs w:val="17"/>
          <w:color w:val="010000"/>
        </w:rPr>
      </w:pPr>
      <w:r>
        <w:rPr>
          <w:rFonts w:ascii="Arial" w:cs="Arial" w:eastAsia="Arial" w:hAnsi="Arial"/>
          <w:sz w:val="17"/>
          <w:szCs w:val="17"/>
          <w:color w:val="auto"/>
        </w:rPr>
        <w:t>transfer, issue, sell, authorize, encumber or dispose of any Equity Interests of the Company or any of its Subsidiaries;</w:t>
      </w:r>
    </w:p>
    <w:p>
      <w:pPr>
        <w:spacing w:after="0" w:line="202" w:lineRule="exact"/>
        <w:rPr>
          <w:rFonts w:ascii="Arial" w:cs="Arial" w:eastAsia="Arial" w:hAnsi="Arial"/>
          <w:sz w:val="17"/>
          <w:szCs w:val="17"/>
          <w:color w:val="010000"/>
        </w:rPr>
      </w:pPr>
    </w:p>
    <w:p>
      <w:pPr>
        <w:ind w:left="1200" w:firstLine="592"/>
        <w:spacing w:after="0" w:line="264" w:lineRule="auto"/>
        <w:tabs>
          <w:tab w:leader="none" w:pos="2615" w:val="left"/>
        </w:tabs>
        <w:numPr>
          <w:ilvl w:val="1"/>
          <w:numId w:val="43"/>
        </w:numPr>
        <w:rPr>
          <w:rFonts w:ascii="Arial" w:cs="Arial" w:eastAsia="Arial" w:hAnsi="Arial"/>
          <w:sz w:val="17"/>
          <w:szCs w:val="17"/>
          <w:color w:val="010000"/>
        </w:rPr>
      </w:pPr>
      <w:r>
        <w:rPr>
          <w:rFonts w:ascii="Arial" w:cs="Arial" w:eastAsia="Arial" w:hAnsi="Arial"/>
          <w:sz w:val="17"/>
          <w:szCs w:val="17"/>
          <w:color w:val="auto"/>
        </w:rPr>
        <w:t>grant any options, warrants, calls or other rights to purchase or otherwise acquire Equity Interests of, or any stock appreciation, phantom stock or other similar right with respect to, the Company or any of its Subsidiaries;</w:t>
      </w:r>
    </w:p>
    <w:p>
      <w:pPr>
        <w:spacing w:after="0" w:line="167" w:lineRule="exact"/>
        <w:rPr>
          <w:rFonts w:ascii="Arial" w:cs="Arial" w:eastAsia="Arial" w:hAnsi="Arial"/>
          <w:sz w:val="17"/>
          <w:szCs w:val="17"/>
          <w:color w:val="010000"/>
        </w:rPr>
      </w:pPr>
    </w:p>
    <w:p>
      <w:pPr>
        <w:ind w:left="2420" w:hanging="628"/>
        <w:spacing w:after="0"/>
        <w:tabs>
          <w:tab w:leader="none" w:pos="2420" w:val="left"/>
        </w:tabs>
        <w:numPr>
          <w:ilvl w:val="1"/>
          <w:numId w:val="43"/>
        </w:numPr>
        <w:rPr>
          <w:rFonts w:ascii="Arial" w:cs="Arial" w:eastAsia="Arial" w:hAnsi="Arial"/>
          <w:sz w:val="17"/>
          <w:szCs w:val="17"/>
          <w:color w:val="010000"/>
        </w:rPr>
      </w:pPr>
      <w:r>
        <w:rPr>
          <w:rFonts w:ascii="Arial" w:cs="Arial" w:eastAsia="Arial" w:hAnsi="Arial"/>
          <w:sz w:val="17"/>
          <w:szCs w:val="17"/>
          <w:color w:val="auto"/>
        </w:rPr>
        <w:t>redeem, repurchase or otherwise acquire any outstanding Equity Interest of Company;</w:t>
      </w:r>
    </w:p>
    <w:p>
      <w:pPr>
        <w:spacing w:after="0" w:line="202" w:lineRule="exact"/>
        <w:rPr>
          <w:rFonts w:ascii="Arial" w:cs="Arial" w:eastAsia="Arial" w:hAnsi="Arial"/>
          <w:sz w:val="17"/>
          <w:szCs w:val="17"/>
          <w:color w:val="010000"/>
        </w:rPr>
      </w:pPr>
    </w:p>
    <w:p>
      <w:pPr>
        <w:ind w:left="2400" w:hanging="608"/>
        <w:spacing w:after="0"/>
        <w:tabs>
          <w:tab w:leader="none" w:pos="2400" w:val="left"/>
        </w:tabs>
        <w:numPr>
          <w:ilvl w:val="1"/>
          <w:numId w:val="43"/>
        </w:numPr>
        <w:rPr>
          <w:rFonts w:ascii="Arial" w:cs="Arial" w:eastAsia="Arial" w:hAnsi="Arial"/>
          <w:sz w:val="15"/>
          <w:szCs w:val="15"/>
          <w:color w:val="010000"/>
        </w:rPr>
      </w:pPr>
      <w:r>
        <w:rPr>
          <w:rFonts w:ascii="Arial" w:cs="Arial" w:eastAsia="Arial" w:hAnsi="Arial"/>
          <w:sz w:val="15"/>
          <w:szCs w:val="15"/>
          <w:color w:val="auto"/>
        </w:rPr>
        <w:t>effect any recapitalization, reclassification or any other similar change in the capitalization of the Company or any of its Subsidiaries;</w:t>
      </w:r>
    </w:p>
    <w:p>
      <w:pPr>
        <w:spacing w:after="0" w:line="225" w:lineRule="exact"/>
        <w:rPr>
          <w:rFonts w:ascii="Arial" w:cs="Arial" w:eastAsia="Arial" w:hAnsi="Arial"/>
          <w:sz w:val="15"/>
          <w:szCs w:val="15"/>
          <w:color w:val="010000"/>
        </w:rPr>
      </w:pPr>
    </w:p>
    <w:p>
      <w:pPr>
        <w:ind w:left="2680" w:hanging="888"/>
        <w:spacing w:after="0"/>
        <w:tabs>
          <w:tab w:leader="none" w:pos="2680" w:val="left"/>
        </w:tabs>
        <w:numPr>
          <w:ilvl w:val="1"/>
          <w:numId w:val="43"/>
        </w:numPr>
        <w:rPr>
          <w:rFonts w:ascii="Arial" w:cs="Arial" w:eastAsia="Arial" w:hAnsi="Arial"/>
          <w:sz w:val="16"/>
          <w:szCs w:val="16"/>
          <w:color w:val="010000"/>
        </w:rPr>
      </w:pPr>
      <w:r>
        <w:rPr>
          <w:rFonts w:ascii="Arial" w:cs="Arial" w:eastAsia="Arial" w:hAnsi="Arial"/>
          <w:sz w:val="16"/>
          <w:szCs w:val="16"/>
          <w:color w:val="auto"/>
        </w:rPr>
        <w:t>adopt a plan of complete or partial liquidation, dissolution or other reorganization with respect to the Company or any of its</w:t>
      </w:r>
    </w:p>
    <w:p>
      <w:pPr>
        <w:spacing w:after="0" w:line="27" w:lineRule="exact"/>
        <w:rPr>
          <w:rFonts w:ascii="Arial" w:cs="Arial" w:eastAsia="Arial" w:hAnsi="Arial"/>
          <w:sz w:val="16"/>
          <w:szCs w:val="16"/>
          <w:color w:val="010000"/>
        </w:rPr>
      </w:pPr>
    </w:p>
    <w:p>
      <w:pPr>
        <w:ind w:left="1200"/>
        <w:spacing w:after="0"/>
        <w:rPr>
          <w:rFonts w:ascii="Arial" w:cs="Arial" w:eastAsia="Arial" w:hAnsi="Arial"/>
          <w:sz w:val="16"/>
          <w:szCs w:val="16"/>
          <w:color w:val="010000"/>
        </w:rPr>
      </w:pPr>
      <w:r>
        <w:rPr>
          <w:rFonts w:ascii="Arial" w:cs="Arial" w:eastAsia="Arial" w:hAnsi="Arial"/>
          <w:sz w:val="17"/>
          <w:szCs w:val="17"/>
          <w:color w:val="auto"/>
        </w:rPr>
        <w:t>Subsidiaries;</w:t>
      </w:r>
    </w:p>
    <w:p>
      <w:pPr>
        <w:spacing w:after="0" w:line="190" w:lineRule="exact"/>
        <w:rPr>
          <w:rFonts w:ascii="Arial" w:cs="Arial" w:eastAsia="Arial" w:hAnsi="Arial"/>
          <w:sz w:val="16"/>
          <w:szCs w:val="16"/>
          <w:color w:val="010000"/>
        </w:rPr>
      </w:pPr>
    </w:p>
    <w:p>
      <w:pPr>
        <w:ind w:left="1200" w:firstLine="592"/>
        <w:spacing w:after="0" w:line="264" w:lineRule="auto"/>
        <w:tabs>
          <w:tab w:leader="none" w:pos="2635" w:val="left"/>
        </w:tabs>
        <w:numPr>
          <w:ilvl w:val="1"/>
          <w:numId w:val="43"/>
        </w:numPr>
        <w:rPr>
          <w:rFonts w:ascii="Arial" w:cs="Arial" w:eastAsia="Arial" w:hAnsi="Arial"/>
          <w:sz w:val="17"/>
          <w:szCs w:val="17"/>
          <w:color w:val="010000"/>
        </w:rPr>
      </w:pPr>
      <w:r>
        <w:rPr>
          <w:rFonts w:ascii="Arial" w:cs="Arial" w:eastAsia="Arial" w:hAnsi="Arial"/>
          <w:sz w:val="17"/>
          <w:szCs w:val="17"/>
          <w:color w:val="auto"/>
        </w:rPr>
        <w:t>amend, in any material respect, the Organizational Documents of the Company or any of its Subsidiaries (whether by merger, consolidation or otherwise);</w:t>
      </w:r>
    </w:p>
    <w:p>
      <w:pPr>
        <w:spacing w:after="0" w:line="167" w:lineRule="exact"/>
        <w:rPr>
          <w:rFonts w:ascii="Arial" w:cs="Arial" w:eastAsia="Arial" w:hAnsi="Arial"/>
          <w:sz w:val="17"/>
          <w:szCs w:val="17"/>
          <w:color w:val="010000"/>
        </w:rPr>
      </w:pPr>
    </w:p>
    <w:p>
      <w:pPr>
        <w:ind w:left="1200" w:firstLine="592"/>
        <w:spacing w:after="0" w:line="264" w:lineRule="auto"/>
        <w:tabs>
          <w:tab w:leader="none" w:pos="2503" w:val="left"/>
        </w:tabs>
        <w:numPr>
          <w:ilvl w:val="1"/>
          <w:numId w:val="43"/>
        </w:numPr>
        <w:rPr>
          <w:rFonts w:ascii="Arial" w:cs="Arial" w:eastAsia="Arial" w:hAnsi="Arial"/>
          <w:sz w:val="17"/>
          <w:szCs w:val="17"/>
          <w:color w:val="010000"/>
        </w:rPr>
      </w:pPr>
      <w:r>
        <w:rPr>
          <w:rFonts w:ascii="Arial" w:cs="Arial" w:eastAsia="Arial" w:hAnsi="Arial"/>
          <w:sz w:val="17"/>
          <w:szCs w:val="17"/>
          <w:color w:val="auto"/>
        </w:rPr>
        <w:t>make any material change in any method of accounting or accounting practice of the Company or any of its Subsidiaries, except as required by changes in GAAP, as agreed to by its independent public accountants;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48" w:name="page49"/>
    <w:bookmarkEnd w:id="48"/>
    <w:p>
      <w:pPr>
        <w:ind w:left="2460" w:hanging="668"/>
        <w:spacing w:after="0"/>
        <w:tabs>
          <w:tab w:leader="none" w:pos="2460" w:val="left"/>
        </w:tabs>
        <w:numPr>
          <w:ilvl w:val="0"/>
          <w:numId w:val="44"/>
        </w:numPr>
        <w:rPr>
          <w:rFonts w:ascii="Arial" w:cs="Arial" w:eastAsia="Arial" w:hAnsi="Arial"/>
          <w:sz w:val="15"/>
          <w:szCs w:val="15"/>
          <w:color w:val="010000"/>
        </w:rPr>
      </w:pPr>
      <w:r>
        <w:rPr>
          <w:rFonts w:ascii="Arial" w:cs="Arial" w:eastAsia="Arial" w:hAnsi="Arial"/>
          <w:sz w:val="15"/>
          <w:szCs w:val="15"/>
          <w:color w:val="auto"/>
        </w:rPr>
        <w:t>merge or consolidate with any Person (other than a merger or consolidation of a Subsidiary of the Company with another Subsidiary of</w:t>
      </w:r>
    </w:p>
    <w:p>
      <w:pPr>
        <w:spacing w:after="0" w:line="39" w:lineRule="exact"/>
        <w:rPr>
          <w:rFonts w:ascii="Arial" w:cs="Arial" w:eastAsia="Arial" w:hAnsi="Arial"/>
          <w:sz w:val="15"/>
          <w:szCs w:val="15"/>
          <w:color w:val="010000"/>
        </w:rPr>
      </w:pPr>
    </w:p>
    <w:p>
      <w:pPr>
        <w:ind w:left="1200"/>
        <w:spacing w:after="0"/>
        <w:rPr>
          <w:rFonts w:ascii="Arial" w:cs="Arial" w:eastAsia="Arial" w:hAnsi="Arial"/>
          <w:sz w:val="15"/>
          <w:szCs w:val="15"/>
          <w:color w:val="010000"/>
        </w:rPr>
      </w:pPr>
      <w:r>
        <w:rPr>
          <w:rFonts w:ascii="Arial" w:cs="Arial" w:eastAsia="Arial" w:hAnsi="Arial"/>
          <w:sz w:val="17"/>
          <w:szCs w:val="17"/>
          <w:color w:val="auto"/>
        </w:rPr>
        <w:t>the Company);</w:t>
      </w:r>
    </w:p>
    <w:p>
      <w:pPr>
        <w:spacing w:after="0" w:line="190" w:lineRule="exact"/>
        <w:rPr>
          <w:rFonts w:ascii="Arial" w:cs="Arial" w:eastAsia="Arial" w:hAnsi="Arial"/>
          <w:sz w:val="15"/>
          <w:szCs w:val="15"/>
          <w:color w:val="010000"/>
        </w:rPr>
      </w:pPr>
    </w:p>
    <w:p>
      <w:pPr>
        <w:ind w:left="1200" w:firstLine="592"/>
        <w:spacing w:after="0" w:line="331" w:lineRule="auto"/>
        <w:tabs>
          <w:tab w:leader="none" w:pos="2452" w:val="left"/>
        </w:tabs>
        <w:numPr>
          <w:ilvl w:val="0"/>
          <w:numId w:val="44"/>
        </w:numPr>
        <w:rPr>
          <w:rFonts w:ascii="Arial" w:cs="Arial" w:eastAsia="Arial" w:hAnsi="Arial"/>
          <w:sz w:val="15"/>
          <w:szCs w:val="15"/>
          <w:color w:val="010000"/>
        </w:rPr>
      </w:pPr>
      <w:r>
        <w:rPr>
          <w:rFonts w:ascii="Arial" w:cs="Arial" w:eastAsia="Arial" w:hAnsi="Arial"/>
          <w:sz w:val="15"/>
          <w:szCs w:val="15"/>
          <w:color w:val="auto"/>
        </w:rPr>
        <w:t xml:space="preserve">sell, lease, sublease, mortgage, pledge or otherwise encumber or dispose of any of the material properties or assets of the Company and its Subsidiaries, except in the Ordinary Course of Business or as described in the parenthetical set forth in clause (viii) of this </w:t>
      </w:r>
      <w:r>
        <w:rPr>
          <w:rFonts w:ascii="Arial" w:cs="Arial" w:eastAsia="Arial" w:hAnsi="Arial"/>
          <w:sz w:val="15"/>
          <w:szCs w:val="15"/>
          <w:u w:val="single" w:color="auto"/>
          <w:color w:val="auto"/>
        </w:rPr>
        <w:t>Section 5.01</w:t>
      </w:r>
      <w:r>
        <w:rPr>
          <w:rFonts w:ascii="Arial" w:cs="Arial" w:eastAsia="Arial" w:hAnsi="Arial"/>
          <w:sz w:val="15"/>
          <w:szCs w:val="15"/>
          <w:color w:val="auto"/>
        </w:rPr>
        <w:t>;</w:t>
      </w:r>
    </w:p>
    <w:p>
      <w:pPr>
        <w:spacing w:after="0" w:line="121" w:lineRule="exact"/>
        <w:rPr>
          <w:rFonts w:ascii="Arial" w:cs="Arial" w:eastAsia="Arial" w:hAnsi="Arial"/>
          <w:sz w:val="15"/>
          <w:szCs w:val="15"/>
          <w:color w:val="010000"/>
        </w:rPr>
      </w:pPr>
    </w:p>
    <w:p>
      <w:pPr>
        <w:jc w:val="both"/>
        <w:ind w:left="1200" w:firstLine="592"/>
        <w:spacing w:after="0" w:line="254" w:lineRule="auto"/>
        <w:tabs>
          <w:tab w:leader="none" w:pos="2485" w:val="left"/>
        </w:tabs>
        <w:numPr>
          <w:ilvl w:val="0"/>
          <w:numId w:val="44"/>
        </w:numPr>
        <w:rPr>
          <w:rFonts w:ascii="Arial" w:cs="Arial" w:eastAsia="Arial" w:hAnsi="Arial"/>
          <w:sz w:val="17"/>
          <w:szCs w:val="17"/>
          <w:color w:val="010000"/>
        </w:rPr>
      </w:pPr>
      <w:r>
        <w:rPr>
          <w:rFonts w:ascii="Arial" w:cs="Arial" w:eastAsia="Arial" w:hAnsi="Arial"/>
          <w:sz w:val="17"/>
          <w:szCs w:val="17"/>
          <w:color w:val="auto"/>
        </w:rPr>
        <w:t>declare, issue, make or pay any dividend or other distribution of assets in respect of any Equity Interests of the Company or any of its Subsidiaries (other than with respect to a dividend or distribution from any Subsidiary of the Company to the Company or any other Subsidiary of the Company);</w:t>
      </w:r>
    </w:p>
    <w:p>
      <w:pPr>
        <w:spacing w:after="0" w:line="176" w:lineRule="exact"/>
        <w:rPr>
          <w:rFonts w:ascii="Arial" w:cs="Arial" w:eastAsia="Arial" w:hAnsi="Arial"/>
          <w:sz w:val="17"/>
          <w:szCs w:val="17"/>
          <w:color w:val="010000"/>
        </w:rPr>
      </w:pPr>
    </w:p>
    <w:p>
      <w:pPr>
        <w:jc w:val="both"/>
        <w:ind w:left="1200" w:firstLine="592"/>
        <w:spacing w:after="0" w:line="254" w:lineRule="auto"/>
        <w:tabs>
          <w:tab w:leader="none" w:pos="2576" w:val="left"/>
        </w:tabs>
        <w:numPr>
          <w:ilvl w:val="0"/>
          <w:numId w:val="44"/>
        </w:numPr>
        <w:rPr>
          <w:rFonts w:ascii="Arial" w:cs="Arial" w:eastAsia="Arial" w:hAnsi="Arial"/>
          <w:sz w:val="17"/>
          <w:szCs w:val="17"/>
          <w:color w:val="010000"/>
        </w:rPr>
      </w:pPr>
      <w:r>
        <w:rPr>
          <w:rFonts w:ascii="Arial" w:cs="Arial" w:eastAsia="Arial" w:hAnsi="Arial"/>
          <w:sz w:val="17"/>
          <w:szCs w:val="17"/>
          <w:color w:val="auto"/>
        </w:rPr>
        <w:t>enter into any transaction with any Seller or any Affiliate thereof (excluding the Company and its Subsidiaries), other than (i) any transactions contemplated by any Material Contract; or (ii) the reimbursement of expenses of any Affiliate of any Seller in the Ordinary Course of Business;</w:t>
      </w:r>
    </w:p>
    <w:p>
      <w:pPr>
        <w:spacing w:after="0" w:line="176" w:lineRule="exact"/>
        <w:rPr>
          <w:rFonts w:ascii="Arial" w:cs="Arial" w:eastAsia="Arial" w:hAnsi="Arial"/>
          <w:sz w:val="17"/>
          <w:szCs w:val="17"/>
          <w:color w:val="010000"/>
        </w:rPr>
      </w:pPr>
    </w:p>
    <w:p>
      <w:pPr>
        <w:ind w:left="2460" w:hanging="668"/>
        <w:spacing w:after="0"/>
        <w:tabs>
          <w:tab w:leader="none" w:pos="2460" w:val="left"/>
        </w:tabs>
        <w:numPr>
          <w:ilvl w:val="0"/>
          <w:numId w:val="44"/>
        </w:numPr>
        <w:rPr>
          <w:rFonts w:ascii="Arial" w:cs="Arial" w:eastAsia="Arial" w:hAnsi="Arial"/>
          <w:sz w:val="17"/>
          <w:szCs w:val="17"/>
          <w:color w:val="010000"/>
        </w:rPr>
      </w:pPr>
      <w:r>
        <w:rPr>
          <w:rFonts w:ascii="Arial" w:cs="Arial" w:eastAsia="Arial" w:hAnsi="Arial"/>
          <w:sz w:val="17"/>
          <w:szCs w:val="17"/>
          <w:color w:val="auto"/>
        </w:rPr>
        <w:t>guarantee the indebtedness of any other Person in excess of $150,000;</w:t>
      </w:r>
    </w:p>
    <w:p>
      <w:pPr>
        <w:spacing w:after="0" w:line="202" w:lineRule="exact"/>
        <w:rPr>
          <w:rFonts w:ascii="Arial" w:cs="Arial" w:eastAsia="Arial" w:hAnsi="Arial"/>
          <w:sz w:val="17"/>
          <w:szCs w:val="17"/>
          <w:color w:val="010000"/>
        </w:rPr>
      </w:pPr>
    </w:p>
    <w:p>
      <w:pPr>
        <w:ind w:left="2460" w:hanging="668"/>
        <w:spacing w:after="0"/>
        <w:tabs>
          <w:tab w:leader="none" w:pos="2460" w:val="left"/>
        </w:tabs>
        <w:numPr>
          <w:ilvl w:val="0"/>
          <w:numId w:val="44"/>
        </w:numPr>
        <w:rPr>
          <w:rFonts w:ascii="Arial" w:cs="Arial" w:eastAsia="Arial" w:hAnsi="Arial"/>
          <w:sz w:val="16"/>
          <w:szCs w:val="16"/>
          <w:color w:val="010000"/>
        </w:rPr>
      </w:pPr>
      <w:r>
        <w:rPr>
          <w:rFonts w:ascii="Arial" w:cs="Arial" w:eastAsia="Arial" w:hAnsi="Arial"/>
          <w:sz w:val="16"/>
          <w:szCs w:val="16"/>
          <w:color w:val="auto"/>
        </w:rPr>
        <w:t>extend any material loans other than travel or other expense advances to employees in the Ordinary Course of Business;</w:t>
      </w:r>
    </w:p>
    <w:p>
      <w:pPr>
        <w:spacing w:after="0" w:line="214" w:lineRule="exact"/>
        <w:rPr>
          <w:rFonts w:ascii="Arial" w:cs="Arial" w:eastAsia="Arial" w:hAnsi="Arial"/>
          <w:sz w:val="16"/>
          <w:szCs w:val="16"/>
          <w:color w:val="010000"/>
        </w:rPr>
      </w:pPr>
    </w:p>
    <w:p>
      <w:pPr>
        <w:ind w:left="2440" w:hanging="648"/>
        <w:spacing w:after="0"/>
        <w:tabs>
          <w:tab w:leader="none" w:pos="2440" w:val="left"/>
        </w:tabs>
        <w:numPr>
          <w:ilvl w:val="0"/>
          <w:numId w:val="44"/>
        </w:numPr>
        <w:rPr>
          <w:rFonts w:ascii="Arial" w:cs="Arial" w:eastAsia="Arial" w:hAnsi="Arial"/>
          <w:sz w:val="15"/>
          <w:szCs w:val="15"/>
          <w:color w:val="010000"/>
        </w:rPr>
      </w:pPr>
      <w:r>
        <w:rPr>
          <w:rFonts w:ascii="Arial" w:cs="Arial" w:eastAsia="Arial" w:hAnsi="Arial"/>
          <w:sz w:val="15"/>
          <w:szCs w:val="15"/>
          <w:color w:val="auto"/>
        </w:rPr>
        <w:t xml:space="preserve">take any action that would cause the representations and warranties of Buyer set forth in </w:t>
      </w:r>
      <w:r>
        <w:rPr>
          <w:rFonts w:ascii="Arial" w:cs="Arial" w:eastAsia="Arial" w:hAnsi="Arial"/>
          <w:sz w:val="15"/>
          <w:szCs w:val="15"/>
          <w:u w:val="single" w:color="auto"/>
          <w:color w:val="auto"/>
        </w:rPr>
        <w:t>Section 4.14(a)</w:t>
      </w:r>
      <w:r>
        <w:rPr>
          <w:rFonts w:ascii="Arial" w:cs="Arial" w:eastAsia="Arial" w:hAnsi="Arial"/>
          <w:sz w:val="15"/>
          <w:szCs w:val="15"/>
          <w:color w:val="auto"/>
        </w:rPr>
        <w:t xml:space="preserve"> to be untrue or inaccurate; or</w:t>
      </w:r>
    </w:p>
    <w:p>
      <w:pPr>
        <w:spacing w:after="0" w:line="225" w:lineRule="exact"/>
        <w:rPr>
          <w:rFonts w:ascii="Arial" w:cs="Arial" w:eastAsia="Arial" w:hAnsi="Arial"/>
          <w:sz w:val="15"/>
          <w:szCs w:val="15"/>
          <w:color w:val="010000"/>
        </w:rPr>
      </w:pPr>
    </w:p>
    <w:p>
      <w:pPr>
        <w:ind w:left="2440" w:hanging="648"/>
        <w:spacing w:after="0"/>
        <w:tabs>
          <w:tab w:leader="none" w:pos="2440" w:val="left"/>
        </w:tabs>
        <w:numPr>
          <w:ilvl w:val="0"/>
          <w:numId w:val="44"/>
        </w:numPr>
        <w:rPr>
          <w:rFonts w:ascii="Arial" w:cs="Arial" w:eastAsia="Arial" w:hAnsi="Arial"/>
          <w:sz w:val="17"/>
          <w:szCs w:val="17"/>
          <w:color w:val="010000"/>
        </w:rPr>
      </w:pPr>
      <w:r>
        <w:rPr>
          <w:rFonts w:ascii="Arial" w:cs="Arial" w:eastAsia="Arial" w:hAnsi="Arial"/>
          <w:sz w:val="17"/>
          <w:szCs w:val="17"/>
          <w:color w:val="auto"/>
        </w:rPr>
        <w:t xml:space="preserve">enter into any Contract to do anything prohibited by this </w:t>
      </w:r>
      <w:r>
        <w:rPr>
          <w:rFonts w:ascii="Arial" w:cs="Arial" w:eastAsia="Arial" w:hAnsi="Arial"/>
          <w:sz w:val="17"/>
          <w:szCs w:val="17"/>
          <w:u w:val="single" w:color="auto"/>
          <w:color w:val="auto"/>
        </w:rPr>
        <w:t>Section 5.01</w:t>
      </w:r>
      <w:r>
        <w:rPr>
          <w:rFonts w:ascii="Arial" w:cs="Arial" w:eastAsia="Arial" w:hAnsi="Arial"/>
          <w:sz w:val="17"/>
          <w:szCs w:val="17"/>
          <w:color w:val="auto"/>
        </w:rPr>
        <w:t>;</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notwithstanding, the Company and its Subsidiaries may, at or prior to the Closing, use all or any portion of cash or cash equivalents of the Company and its Subsidiaries to (A) repay any indebtedness of the Company and its Subsidiaries (including in respect of the Existing Credit Agreements); or (B) declare and pay cash dividends with respect to the Equity Interests of the Company and its Subsidiaries.</w:t>
      </w:r>
    </w:p>
    <w:p>
      <w:pPr>
        <w:spacing w:after="0" w:line="176" w:lineRule="exact"/>
        <w:rPr>
          <w:sz w:val="20"/>
          <w:szCs w:val="20"/>
          <w:color w:val="auto"/>
        </w:rPr>
      </w:pPr>
    </w:p>
    <w:p>
      <w:pPr>
        <w:jc w:val="both"/>
        <w:ind w:firstLine="1195"/>
        <w:spacing w:after="0" w:line="295" w:lineRule="auto"/>
        <w:rPr>
          <w:sz w:val="20"/>
          <w:szCs w:val="20"/>
          <w:color w:val="auto"/>
        </w:rPr>
      </w:pPr>
      <w:r>
        <w:rPr>
          <w:rFonts w:ascii="Arial" w:cs="Arial" w:eastAsia="Arial" w:hAnsi="Arial"/>
          <w:sz w:val="15"/>
          <w:szCs w:val="15"/>
          <w:color w:val="010000"/>
        </w:rPr>
        <w:t xml:space="preserve">Section 5.02 </w:t>
      </w:r>
      <w:r>
        <w:rPr>
          <w:rFonts w:ascii="Arial" w:cs="Arial" w:eastAsia="Arial" w:hAnsi="Arial"/>
          <w:sz w:val="15"/>
          <w:szCs w:val="15"/>
          <w:u w:val="single" w:color="auto"/>
          <w:color w:val="000000"/>
        </w:rPr>
        <w:t>Conduct of Buyer’s Business Pending the Closing</w:t>
      </w:r>
      <w:r>
        <w:rPr>
          <w:rFonts w:ascii="Arial" w:cs="Arial" w:eastAsia="Arial" w:hAnsi="Arial"/>
          <w:sz w:val="15"/>
          <w:szCs w:val="15"/>
          <w:color w:val="000000"/>
        </w:rPr>
        <w:t>. From the date hereof until the earlier of the Closing Date or the termination of this</w:t>
      </w:r>
      <w:r>
        <w:rPr>
          <w:rFonts w:ascii="Arial" w:cs="Arial" w:eastAsia="Arial" w:hAnsi="Arial"/>
          <w:sz w:val="15"/>
          <w:szCs w:val="15"/>
          <w:color w:val="010000"/>
        </w:rPr>
        <w:t xml:space="preserve"> </w:t>
      </w:r>
      <w:r>
        <w:rPr>
          <w:rFonts w:ascii="Arial" w:cs="Arial" w:eastAsia="Arial" w:hAnsi="Arial"/>
          <w:sz w:val="15"/>
          <w:szCs w:val="15"/>
          <w:color w:val="000000"/>
        </w:rPr>
        <w:t>Agreement, except (a) as set forth in Section 5.02 of the Disclosure Letter, (b) as required by applicable Law, (c) as otherwise contemplated by this Agreement or the other Transaction Documents, or (d) with the prior consent of Sellers (which consent shall not be unreasonably withheld, delayed or conditioned), the business of Buyer shall be conducted, in all material respects, in the Ordinary Course of Business; and Buyer shall not, other than in the Ordinary Course of Business:</w:t>
      </w:r>
    </w:p>
    <w:p>
      <w:pPr>
        <w:spacing w:after="0" w:line="148" w:lineRule="exact"/>
        <w:rPr>
          <w:sz w:val="20"/>
          <w:szCs w:val="20"/>
          <w:color w:val="auto"/>
        </w:rPr>
      </w:pPr>
    </w:p>
    <w:p>
      <w:pPr>
        <w:ind w:left="5640" w:right="3380" w:hanging="3848"/>
        <w:spacing w:after="0" w:line="631" w:lineRule="auto"/>
        <w:tabs>
          <w:tab w:leader="none" w:pos="2414" w:val="left"/>
        </w:tabs>
        <w:numPr>
          <w:ilvl w:val="0"/>
          <w:numId w:val="45"/>
        </w:numPr>
        <w:rPr>
          <w:rFonts w:ascii="Arial" w:cs="Arial" w:eastAsia="Arial" w:hAnsi="Arial"/>
          <w:sz w:val="17"/>
          <w:szCs w:val="17"/>
          <w:color w:val="010000"/>
        </w:rPr>
      </w:pPr>
      <w:r>
        <w:rPr>
          <w:rFonts w:ascii="Arial" w:cs="Arial" w:eastAsia="Arial" w:hAnsi="Arial"/>
          <w:sz w:val="17"/>
          <w:szCs w:val="17"/>
          <w:color w:val="auto"/>
        </w:rPr>
        <w:t>transfer, issue, sell, authorize, encumber, or dispose of any Equity Interests of Buyer;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-201295</wp:posOffset>
            </wp:positionV>
            <wp:extent cx="7257415" cy="23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49" w:name="page50"/>
    <w:bookmarkEnd w:id="49"/>
    <w:p>
      <w:pPr>
        <w:ind w:firstLine="592"/>
        <w:spacing w:after="0" w:line="264" w:lineRule="auto"/>
        <w:tabs>
          <w:tab w:leader="none" w:pos="1443"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grant any options, warrants, calls or other rights to purchase or otherwise acquire Equity Interests of, or any stock appreciation, phantom stock or other similar right with respect to, Buyer;</w:t>
      </w:r>
    </w:p>
    <w:p>
      <w:pPr>
        <w:spacing w:after="0" w:line="167" w:lineRule="exact"/>
        <w:rPr>
          <w:rFonts w:ascii="Arial" w:cs="Arial" w:eastAsia="Arial" w:hAnsi="Arial"/>
          <w:sz w:val="17"/>
          <w:szCs w:val="17"/>
          <w:color w:val="010000"/>
        </w:rPr>
      </w:pPr>
    </w:p>
    <w:p>
      <w:pPr>
        <w:ind w:left="1260" w:hanging="668"/>
        <w:spacing w:after="0"/>
        <w:tabs>
          <w:tab w:leader="none" w:pos="1260" w:val="left"/>
        </w:tabs>
        <w:numPr>
          <w:ilvl w:val="0"/>
          <w:numId w:val="46"/>
        </w:numPr>
        <w:rPr>
          <w:rFonts w:ascii="Arial" w:cs="Arial" w:eastAsia="Arial" w:hAnsi="Arial"/>
          <w:sz w:val="15"/>
          <w:szCs w:val="15"/>
          <w:color w:val="010000"/>
        </w:rPr>
      </w:pPr>
      <w:r>
        <w:rPr>
          <w:rFonts w:ascii="Arial" w:cs="Arial" w:eastAsia="Arial" w:hAnsi="Arial"/>
          <w:sz w:val="15"/>
          <w:szCs w:val="15"/>
          <w:color w:val="auto"/>
        </w:rPr>
        <w:t>redeem, repurchase or otherwise acquire any outstanding Equity Interest of Buyer (other than consummation of the Buyer Stockholder</w:t>
      </w:r>
    </w:p>
    <w:p>
      <w:pPr>
        <w:spacing w:after="0" w:line="39"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7"/>
          <w:szCs w:val="17"/>
          <w:color w:val="auto"/>
        </w:rPr>
        <w:t>Redemptions);</w:t>
      </w:r>
    </w:p>
    <w:p>
      <w:pPr>
        <w:spacing w:after="0" w:line="190" w:lineRule="exact"/>
        <w:rPr>
          <w:rFonts w:ascii="Arial" w:cs="Arial" w:eastAsia="Arial" w:hAnsi="Arial"/>
          <w:sz w:val="15"/>
          <w:szCs w:val="15"/>
          <w:color w:val="010000"/>
        </w:rPr>
      </w:pPr>
    </w:p>
    <w:p>
      <w:pPr>
        <w:ind w:firstLine="592"/>
        <w:spacing w:after="0" w:line="264" w:lineRule="auto"/>
        <w:tabs>
          <w:tab w:leader="none" w:pos="1264"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effect any recapitalization or any split, combination or reclassification of any Equity Securities of Buyer or any other similar change in the capitalization of Buyer;</w:t>
      </w:r>
    </w:p>
    <w:p>
      <w:pPr>
        <w:spacing w:after="0" w:line="167" w:lineRule="exact"/>
        <w:rPr>
          <w:rFonts w:ascii="Arial" w:cs="Arial" w:eastAsia="Arial" w:hAnsi="Arial"/>
          <w:sz w:val="17"/>
          <w:szCs w:val="17"/>
          <w:color w:val="010000"/>
        </w:rPr>
      </w:pPr>
    </w:p>
    <w:p>
      <w:pPr>
        <w:ind w:left="1240" w:hanging="648"/>
        <w:spacing w:after="0"/>
        <w:tabs>
          <w:tab w:leader="none" w:pos="1240"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adopt a plan of complete or partial liquidation, dissolution or other reorganization with respect to Buyer;</w:t>
      </w:r>
    </w:p>
    <w:p>
      <w:pPr>
        <w:spacing w:after="0" w:line="202" w:lineRule="exact"/>
        <w:rPr>
          <w:rFonts w:ascii="Arial" w:cs="Arial" w:eastAsia="Arial" w:hAnsi="Arial"/>
          <w:sz w:val="17"/>
          <w:szCs w:val="17"/>
          <w:color w:val="010000"/>
        </w:rPr>
      </w:pPr>
    </w:p>
    <w:p>
      <w:pPr>
        <w:ind w:left="1240" w:hanging="648"/>
        <w:spacing w:after="0"/>
        <w:tabs>
          <w:tab w:leader="none" w:pos="1240"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amend the Organizational Documents of Buyer;</w:t>
      </w:r>
    </w:p>
    <w:p>
      <w:pPr>
        <w:spacing w:after="0" w:line="202" w:lineRule="exact"/>
        <w:rPr>
          <w:rFonts w:ascii="Arial" w:cs="Arial" w:eastAsia="Arial" w:hAnsi="Arial"/>
          <w:sz w:val="17"/>
          <w:szCs w:val="17"/>
          <w:color w:val="010000"/>
        </w:rPr>
      </w:pPr>
    </w:p>
    <w:p>
      <w:pPr>
        <w:ind w:firstLine="592"/>
        <w:spacing w:after="0" w:line="264" w:lineRule="auto"/>
        <w:tabs>
          <w:tab w:leader="none" w:pos="1319"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make any material change in any method of accounting or accounting practice of Buyer, except as required by changes in GAAP, as agreed to by its independent public accountants;</w:t>
      </w:r>
    </w:p>
    <w:p>
      <w:pPr>
        <w:spacing w:after="0" w:line="167" w:lineRule="exact"/>
        <w:rPr>
          <w:rFonts w:ascii="Arial" w:cs="Arial" w:eastAsia="Arial" w:hAnsi="Arial"/>
          <w:sz w:val="17"/>
          <w:szCs w:val="17"/>
          <w:color w:val="010000"/>
        </w:rPr>
      </w:pPr>
    </w:p>
    <w:p>
      <w:pPr>
        <w:ind w:left="1260" w:hanging="668"/>
        <w:spacing w:after="0"/>
        <w:tabs>
          <w:tab w:leader="none" w:pos="1260"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merge or consolidate with any Person;</w:t>
      </w:r>
    </w:p>
    <w:p>
      <w:pPr>
        <w:spacing w:after="0" w:line="202" w:lineRule="exact"/>
        <w:rPr>
          <w:rFonts w:ascii="Arial" w:cs="Arial" w:eastAsia="Arial" w:hAnsi="Arial"/>
          <w:sz w:val="17"/>
          <w:szCs w:val="17"/>
          <w:color w:val="010000"/>
        </w:rPr>
      </w:pPr>
    </w:p>
    <w:p>
      <w:pPr>
        <w:ind w:left="1240" w:hanging="648"/>
        <w:spacing w:after="0"/>
        <w:tabs>
          <w:tab w:leader="none" w:pos="1240"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sell, lease, sublease, mortgage, pledge or otherwise encumber or dispose of any of the properties or assets of Buyer;</w:t>
      </w:r>
    </w:p>
    <w:p>
      <w:pPr>
        <w:spacing w:after="0" w:line="202" w:lineRule="exact"/>
        <w:rPr>
          <w:rFonts w:ascii="Arial" w:cs="Arial" w:eastAsia="Arial" w:hAnsi="Arial"/>
          <w:sz w:val="17"/>
          <w:szCs w:val="17"/>
          <w:color w:val="010000"/>
        </w:rPr>
      </w:pPr>
    </w:p>
    <w:p>
      <w:pPr>
        <w:ind w:left="1240" w:hanging="648"/>
        <w:spacing w:after="0"/>
        <w:tabs>
          <w:tab w:leader="none" w:pos="1240"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engage in any new business activity;</w:t>
      </w:r>
    </w:p>
    <w:p>
      <w:pPr>
        <w:spacing w:after="0" w:line="202" w:lineRule="exact"/>
        <w:rPr>
          <w:rFonts w:ascii="Arial" w:cs="Arial" w:eastAsia="Arial" w:hAnsi="Arial"/>
          <w:sz w:val="17"/>
          <w:szCs w:val="17"/>
          <w:color w:val="010000"/>
        </w:rPr>
      </w:pPr>
    </w:p>
    <w:p>
      <w:pPr>
        <w:ind w:firstLine="592"/>
        <w:spacing w:after="0" w:line="331" w:lineRule="auto"/>
        <w:tabs>
          <w:tab w:leader="none" w:pos="1389" w:val="left"/>
        </w:tabs>
        <w:numPr>
          <w:ilvl w:val="0"/>
          <w:numId w:val="46"/>
        </w:numPr>
        <w:rPr>
          <w:rFonts w:ascii="Arial" w:cs="Arial" w:eastAsia="Arial" w:hAnsi="Arial"/>
          <w:sz w:val="15"/>
          <w:szCs w:val="15"/>
          <w:color w:val="010000"/>
        </w:rPr>
      </w:pPr>
      <w:r>
        <w:rPr>
          <w:rFonts w:ascii="Arial" w:cs="Arial" w:eastAsia="Arial" w:hAnsi="Arial"/>
          <w:sz w:val="15"/>
          <w:szCs w:val="15"/>
          <w:color w:val="auto"/>
        </w:rPr>
        <w:t>hire or change the terms of employment or engagement of any employee, independent contractor or other Person compensated to provide services to Buyer (other than any third party advisors retained by Buyer in connection with the Contemplated Transactions;</w:t>
      </w:r>
    </w:p>
    <w:p>
      <w:pPr>
        <w:spacing w:after="0" w:line="121" w:lineRule="exact"/>
        <w:rPr>
          <w:rFonts w:ascii="Arial" w:cs="Arial" w:eastAsia="Arial" w:hAnsi="Arial"/>
          <w:sz w:val="15"/>
          <w:szCs w:val="15"/>
          <w:color w:val="010000"/>
        </w:rPr>
      </w:pPr>
    </w:p>
    <w:p>
      <w:pPr>
        <w:ind w:left="1320" w:hanging="728"/>
        <w:spacing w:after="0"/>
        <w:tabs>
          <w:tab w:leader="none" w:pos="1320" w:val="left"/>
        </w:tabs>
        <w:numPr>
          <w:ilvl w:val="0"/>
          <w:numId w:val="46"/>
        </w:numPr>
        <w:rPr>
          <w:rFonts w:ascii="Arial" w:cs="Arial" w:eastAsia="Arial" w:hAnsi="Arial"/>
          <w:sz w:val="15"/>
          <w:szCs w:val="15"/>
          <w:color w:val="010000"/>
        </w:rPr>
      </w:pPr>
      <w:r>
        <w:rPr>
          <w:rFonts w:ascii="Arial" w:cs="Arial" w:eastAsia="Arial" w:hAnsi="Arial"/>
          <w:sz w:val="15"/>
          <w:szCs w:val="15"/>
          <w:color w:val="auto"/>
        </w:rPr>
        <w:t>enter into any Contract limiting in any way the ability of Buyer to compete with any Person in any particular geographic location or</w:t>
      </w:r>
    </w:p>
    <w:p>
      <w:pPr>
        <w:spacing w:after="0" w:line="39"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7"/>
          <w:szCs w:val="17"/>
          <w:color w:val="auto"/>
        </w:rPr>
        <w:t>line of business;</w:t>
      </w:r>
    </w:p>
    <w:p>
      <w:pPr>
        <w:spacing w:after="0" w:line="190" w:lineRule="exact"/>
        <w:rPr>
          <w:rFonts w:ascii="Arial" w:cs="Arial" w:eastAsia="Arial" w:hAnsi="Arial"/>
          <w:sz w:val="15"/>
          <w:szCs w:val="15"/>
          <w:color w:val="010000"/>
        </w:rPr>
      </w:pPr>
    </w:p>
    <w:p>
      <w:pPr>
        <w:ind w:left="1260" w:hanging="668"/>
        <w:spacing w:after="0"/>
        <w:tabs>
          <w:tab w:leader="none" w:pos="1260"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declare, issue, make or pay any dividend or other distribution of assets in respect of any Equity Interests of Buyer;</w:t>
      </w:r>
    </w:p>
    <w:p>
      <w:pPr>
        <w:spacing w:after="0" w:line="202" w:lineRule="exact"/>
        <w:rPr>
          <w:rFonts w:ascii="Arial" w:cs="Arial" w:eastAsia="Arial" w:hAnsi="Arial"/>
          <w:sz w:val="17"/>
          <w:szCs w:val="17"/>
          <w:color w:val="010000"/>
        </w:rPr>
      </w:pPr>
    </w:p>
    <w:p>
      <w:pPr>
        <w:ind w:left="1240" w:hanging="648"/>
        <w:spacing w:after="0"/>
        <w:tabs>
          <w:tab w:leader="none" w:pos="1240"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of the Buyer Disclosure Letter, enter into any Related Party Contract;</w:t>
      </w:r>
    </w:p>
    <w:p>
      <w:pPr>
        <w:spacing w:after="0" w:line="202" w:lineRule="exact"/>
        <w:rPr>
          <w:rFonts w:ascii="Arial" w:cs="Arial" w:eastAsia="Arial" w:hAnsi="Arial"/>
          <w:sz w:val="17"/>
          <w:szCs w:val="17"/>
          <w:color w:val="010000"/>
        </w:rPr>
      </w:pPr>
    </w:p>
    <w:p>
      <w:pPr>
        <w:ind w:left="1300" w:hanging="708"/>
        <w:spacing w:after="0"/>
        <w:tabs>
          <w:tab w:leader="none" w:pos="1300" w:val="left"/>
        </w:tabs>
        <w:numPr>
          <w:ilvl w:val="0"/>
          <w:numId w:val="46"/>
        </w:numPr>
        <w:rPr>
          <w:rFonts w:ascii="Arial" w:cs="Arial" w:eastAsia="Arial" w:hAnsi="Arial"/>
          <w:sz w:val="15"/>
          <w:szCs w:val="15"/>
          <w:color w:val="010000"/>
        </w:rPr>
      </w:pPr>
      <w:r>
        <w:rPr>
          <w:rFonts w:ascii="Arial" w:cs="Arial" w:eastAsia="Arial" w:hAnsi="Arial"/>
          <w:sz w:val="15"/>
          <w:szCs w:val="15"/>
          <w:color w:val="auto"/>
        </w:rPr>
        <w:t xml:space="preserve">except as set forth in </w:t>
      </w:r>
      <w:r>
        <w:rPr>
          <w:rFonts w:ascii="Arial" w:cs="Arial" w:eastAsia="Arial" w:hAnsi="Arial"/>
          <w:sz w:val="15"/>
          <w:szCs w:val="15"/>
          <w:u w:val="single" w:color="auto"/>
          <w:color w:val="auto"/>
        </w:rPr>
        <w:t>Section 5.02</w:t>
      </w:r>
      <w:r>
        <w:rPr>
          <w:rFonts w:ascii="Arial" w:cs="Arial" w:eastAsia="Arial" w:hAnsi="Arial"/>
          <w:sz w:val="15"/>
          <w:szCs w:val="15"/>
          <w:color w:val="auto"/>
        </w:rPr>
        <w:t xml:space="preserve"> of the Buyer Disclosure Letter, incur any indebtedness or guarantee the indebtedness of any other</w:t>
      </w:r>
    </w:p>
    <w:p>
      <w:pPr>
        <w:spacing w:after="0" w:line="39"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7"/>
          <w:szCs w:val="17"/>
          <w:color w:val="auto"/>
        </w:rPr>
        <w:t>Person;</w:t>
      </w:r>
    </w:p>
    <w:p>
      <w:pPr>
        <w:spacing w:after="0" w:line="190" w:lineRule="exact"/>
        <w:rPr>
          <w:rFonts w:ascii="Arial" w:cs="Arial" w:eastAsia="Arial" w:hAnsi="Arial"/>
          <w:sz w:val="15"/>
          <w:szCs w:val="15"/>
          <w:color w:val="010000"/>
        </w:rPr>
      </w:pPr>
    </w:p>
    <w:p>
      <w:pPr>
        <w:ind w:left="1240" w:hanging="648"/>
        <w:spacing w:after="0"/>
        <w:tabs>
          <w:tab w:leader="none" w:pos="1240"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commence, settle or compromise any Proceeding;</w:t>
      </w:r>
    </w:p>
    <w:p>
      <w:pPr>
        <w:spacing w:after="0" w:line="303"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7257415" cy="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662" w:right="239" w:bottom="1440" w:gutter="0" w:footer="0" w:header="0"/>
        </w:sectPr>
      </w:pPr>
    </w:p>
    <w:bookmarkStart w:id="50" w:name="page51"/>
    <w:bookmarkEnd w:id="50"/>
    <w:p>
      <w:pPr>
        <w:ind w:left="1260" w:hanging="668"/>
        <w:spacing w:after="0"/>
        <w:tabs>
          <w:tab w:leader="none" w:pos="1260" w:val="left"/>
        </w:tabs>
        <w:numPr>
          <w:ilvl w:val="0"/>
          <w:numId w:val="47"/>
        </w:numPr>
        <w:rPr>
          <w:rFonts w:ascii="Arial" w:cs="Arial" w:eastAsia="Arial" w:hAnsi="Arial"/>
          <w:sz w:val="15"/>
          <w:szCs w:val="15"/>
          <w:color w:val="010000"/>
        </w:rPr>
      </w:pPr>
      <w:r>
        <w:rPr>
          <w:rFonts w:ascii="Arial" w:cs="Arial" w:eastAsia="Arial" w:hAnsi="Arial"/>
          <w:sz w:val="15"/>
          <w:szCs w:val="15"/>
          <w:color w:val="auto"/>
        </w:rPr>
        <w:t xml:space="preserve">take any action that would cause the representations and warranties of Buyer set forth in </w:t>
      </w:r>
      <w:r>
        <w:rPr>
          <w:rFonts w:ascii="Arial" w:cs="Arial" w:eastAsia="Arial" w:hAnsi="Arial"/>
          <w:sz w:val="15"/>
          <w:szCs w:val="15"/>
          <w:u w:val="single" w:color="auto"/>
          <w:color w:val="auto"/>
        </w:rPr>
        <w:t>Section 4.14(a)</w:t>
      </w:r>
      <w:r>
        <w:rPr>
          <w:rFonts w:ascii="Arial" w:cs="Arial" w:eastAsia="Arial" w:hAnsi="Arial"/>
          <w:sz w:val="15"/>
          <w:szCs w:val="15"/>
          <w:color w:val="auto"/>
        </w:rPr>
        <w:t xml:space="preserve"> to be untrue or inaccurate; or</w:t>
      </w:r>
    </w:p>
    <w:p>
      <w:pPr>
        <w:spacing w:after="0" w:line="225" w:lineRule="exact"/>
        <w:rPr>
          <w:rFonts w:ascii="Arial" w:cs="Arial" w:eastAsia="Arial" w:hAnsi="Arial"/>
          <w:sz w:val="15"/>
          <w:szCs w:val="15"/>
          <w:color w:val="010000"/>
        </w:rPr>
      </w:pPr>
    </w:p>
    <w:p>
      <w:pPr>
        <w:ind w:left="1260" w:hanging="668"/>
        <w:spacing w:after="0"/>
        <w:tabs>
          <w:tab w:leader="none" w:pos="1260" w:val="left"/>
        </w:tabs>
        <w:numPr>
          <w:ilvl w:val="0"/>
          <w:numId w:val="47"/>
        </w:numPr>
        <w:rPr>
          <w:rFonts w:ascii="Arial" w:cs="Arial" w:eastAsia="Arial" w:hAnsi="Arial"/>
          <w:sz w:val="17"/>
          <w:szCs w:val="17"/>
          <w:color w:val="010000"/>
        </w:rPr>
      </w:pPr>
      <w:r>
        <w:rPr>
          <w:rFonts w:ascii="Arial" w:cs="Arial" w:eastAsia="Arial" w:hAnsi="Arial"/>
          <w:sz w:val="17"/>
          <w:szCs w:val="17"/>
          <w:color w:val="auto"/>
        </w:rPr>
        <w:t xml:space="preserve">enter into any Contract to do anything prohibited by this </w:t>
      </w:r>
      <w:r>
        <w:rPr>
          <w:rFonts w:ascii="Arial" w:cs="Arial" w:eastAsia="Arial" w:hAnsi="Arial"/>
          <w:sz w:val="17"/>
          <w:szCs w:val="17"/>
          <w:u w:val="single" w:color="auto"/>
          <w:color w:val="auto"/>
        </w:rPr>
        <w:t>Section 5.02.</w:t>
      </w:r>
    </w:p>
    <w:p>
      <w:pPr>
        <w:spacing w:after="0" w:line="203"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010000"/>
        </w:rPr>
        <w:t>Section 5.03</w:t>
      </w:r>
      <w:r>
        <w:rPr>
          <w:sz w:val="20"/>
          <w:szCs w:val="20"/>
          <w:color w:val="auto"/>
        </w:rPr>
        <w:tab/>
      </w:r>
      <w:r>
        <w:rPr>
          <w:rFonts w:ascii="Arial" w:cs="Arial" w:eastAsia="Arial" w:hAnsi="Arial"/>
          <w:sz w:val="15"/>
          <w:szCs w:val="15"/>
          <w:u w:val="single" w:color="auto"/>
          <w:color w:val="auto"/>
        </w:rPr>
        <w:t>Access to Information</w:t>
      </w:r>
      <w:r>
        <w:rPr>
          <w:rFonts w:ascii="Arial" w:cs="Arial" w:eastAsia="Arial" w:hAnsi="Arial"/>
          <w:sz w:val="15"/>
          <w:szCs w:val="15"/>
          <w:color w:val="auto"/>
        </w:rPr>
        <w:t>.</w:t>
      </w:r>
    </w:p>
    <w:p>
      <w:pPr>
        <w:spacing w:after="0" w:line="203" w:lineRule="exact"/>
        <w:rPr>
          <w:sz w:val="20"/>
          <w:szCs w:val="20"/>
          <w:color w:val="auto"/>
        </w:rPr>
      </w:pPr>
    </w:p>
    <w:p>
      <w:pPr>
        <w:jc w:val="both"/>
        <w:ind w:left="-380" w:firstLine="599"/>
        <w:spacing w:after="0" w:line="280" w:lineRule="auto"/>
        <w:tabs>
          <w:tab w:leader="none" w:pos="817" w:val="left"/>
        </w:tabs>
        <w:numPr>
          <w:ilvl w:val="0"/>
          <w:numId w:val="48"/>
        </w:numPr>
        <w:rPr>
          <w:rFonts w:ascii="Arial" w:cs="Arial" w:eastAsia="Arial" w:hAnsi="Arial"/>
          <w:sz w:val="15"/>
          <w:szCs w:val="15"/>
          <w:color w:val="010000"/>
        </w:rPr>
      </w:pPr>
      <w:r>
        <w:rPr>
          <w:rFonts w:ascii="Arial" w:cs="Arial" w:eastAsia="Arial" w:hAnsi="Arial"/>
          <w:sz w:val="15"/>
          <w:szCs w:val="15"/>
          <w:color w:val="auto"/>
        </w:rPr>
        <w:t xml:space="preserve">From the date hereof until the Closing Date or, if earlier, termination of this Agreement, Sellers will (i) give, and will cause the Company and each of its Subsidiaries to give, Buyer and its Representatives such reasonable access, at reasonable times and during normal business hours, to the senior management, offices, properties, books and records of the Company and its Subsidiaries, as Buyer may reasonably request from time to time; and (i) furnish, and cause the Company and each of its Subsidiaries to furnish, to Buyer and its Representatives such financial and operating data and other information relating to the Company and its Subsidiaries, as Buyer may reasonably request from time to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any actions to be performed by Sellers, the Company or any of its Subsidiaries at the request of Buyer pursuant to this </w:t>
      </w:r>
      <w:r>
        <w:rPr>
          <w:rFonts w:ascii="Arial" w:cs="Arial" w:eastAsia="Arial" w:hAnsi="Arial"/>
          <w:sz w:val="15"/>
          <w:szCs w:val="15"/>
          <w:u w:val="single" w:color="auto"/>
          <w:color w:val="auto"/>
        </w:rPr>
        <w:t>Section 5.03(a)</w:t>
      </w:r>
      <w:r>
        <w:rPr>
          <w:rFonts w:ascii="Arial" w:cs="Arial" w:eastAsia="Arial" w:hAnsi="Arial"/>
          <w:sz w:val="15"/>
          <w:szCs w:val="15"/>
          <w:color w:val="auto"/>
        </w:rPr>
        <w:t xml:space="preserve"> shall be performed only following reasonable prior written notice from Buyer to Sellers, in such manner as not to interfere unreasonably with the conduct of the business and operations of the Company and its Subsidiaries, and so as not to unduly burden the management team or resources of the Company and its Subsidiaries (it being agreed that the terms of such access shall be based on reasonable access procedures specified by Sellers or, as applicable, customers or suppliers (after taking into account any proposals made by Buyer in such regard)); and (B) all out-of-pocket costs incurred by the Company and its Subsidiaries in connection with such actions shall be at the expense of Buyer;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without the prior written consent of Sellers, Buyer and its Representatives shall not be entitled to any such access, information or documents the disclosure of which is restricted by any Law or Order applicable to any Seller, the Company or any of its Subsidiaries. Notwithstanding anything to the contrary set forth herein, Buyer is not authorized to and shall not (and shall cause its Affiliates and its and their respective Representatives not to) (s) contact any customer, supplier, or other material business relation of the Company or any of its Subsidiaries in connection with the Contemplated Transactions; and (y) perform invasive or subsurface investigations of the Premises, in each case, prior to the Closing without the prior written consent of Sellers, which may be withheld for any reason or no reason. Buyer shall, and shall cause its Affiliates and its and their respective Representatives to, abide by the terms of the Confidentiality Agreement with respect to such access and any information furnished to it, its Affiliates or its or any of their respective Representatives pursuant to this </w:t>
      </w:r>
      <w:r>
        <w:rPr>
          <w:rFonts w:ascii="Arial" w:cs="Arial" w:eastAsia="Arial" w:hAnsi="Arial"/>
          <w:sz w:val="15"/>
          <w:szCs w:val="15"/>
          <w:u w:val="single" w:color="auto"/>
          <w:color w:val="auto"/>
        </w:rPr>
        <w:t>Section 5.03(a)</w:t>
      </w:r>
      <w:r>
        <w:rPr>
          <w:rFonts w:ascii="Arial" w:cs="Arial" w:eastAsia="Arial" w:hAnsi="Arial"/>
          <w:sz w:val="15"/>
          <w:szCs w:val="15"/>
          <w:color w:val="auto"/>
        </w:rPr>
        <w:t xml:space="preserve">. In connection with the access rights granted by this </w:t>
      </w:r>
      <w:r>
        <w:rPr>
          <w:rFonts w:ascii="Arial" w:cs="Arial" w:eastAsia="Arial" w:hAnsi="Arial"/>
          <w:sz w:val="15"/>
          <w:szCs w:val="15"/>
          <w:u w:val="single" w:color="auto"/>
          <w:color w:val="auto"/>
        </w:rPr>
        <w:t>Section 5.03(a)</w:t>
      </w:r>
      <w:r>
        <w:rPr>
          <w:rFonts w:ascii="Arial" w:cs="Arial" w:eastAsia="Arial" w:hAnsi="Arial"/>
          <w:sz w:val="15"/>
          <w:szCs w:val="15"/>
          <w:color w:val="auto"/>
        </w:rPr>
        <w:t>, Buyer covenants and agrees, for itself and on behalf of its Affiliates, that, prior to Closing, it and they will not enter into any agreements with any officers, directors or employees of the Company or any of its Subsidiaries without Sellers’ prior written consent.</w:t>
      </w:r>
    </w:p>
    <w:p>
      <w:pPr>
        <w:spacing w:after="0" w:line="258"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7257415" cy="23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662" w:right="239" w:bottom="1440" w:gutter="0" w:footer="0" w:header="0"/>
        </w:sectPr>
      </w:pPr>
    </w:p>
    <w:bookmarkStart w:id="51" w:name="page52"/>
    <w:bookmarkEnd w:id="51"/>
    <w:p>
      <w:pPr>
        <w:jc w:val="both"/>
        <w:ind w:left="820" w:firstLine="599"/>
        <w:spacing w:after="0" w:line="281" w:lineRule="auto"/>
        <w:tabs>
          <w:tab w:leader="none" w:pos="2350" w:val="left"/>
        </w:tabs>
        <w:numPr>
          <w:ilvl w:val="0"/>
          <w:numId w:val="49"/>
        </w:numPr>
        <w:rPr>
          <w:rFonts w:ascii="Arial" w:cs="Arial" w:eastAsia="Arial" w:hAnsi="Arial"/>
          <w:sz w:val="15"/>
          <w:szCs w:val="15"/>
          <w:color w:val="010000"/>
        </w:rPr>
      </w:pPr>
      <w:r>
        <w:rPr>
          <w:rFonts w:ascii="Arial" w:cs="Arial" w:eastAsia="Arial" w:hAnsi="Arial"/>
          <w:sz w:val="15"/>
          <w:szCs w:val="15"/>
          <w:color w:val="auto"/>
        </w:rPr>
        <w:t xml:space="preserve">From the date hereof until the Closing Date or, if earlier, termination of this Agreement, Buyer will (i) give each Seller and its Representatives such reasonable access, at reasonable times and during normal business hours, to the senior management, offices, properties, books and records of Buyer, as such Seller may reasonably request from time to time; and (i) furnish to each Seller and its Representatives such financial and operating data and other information relating to Buyer, as such Seller may reasonably request from time to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any actions to be performed by Buyer at the request of any Seller pursuant to this </w:t>
      </w:r>
      <w:r>
        <w:rPr>
          <w:rFonts w:ascii="Arial" w:cs="Arial" w:eastAsia="Arial" w:hAnsi="Arial"/>
          <w:sz w:val="15"/>
          <w:szCs w:val="15"/>
          <w:u w:val="single" w:color="auto"/>
          <w:color w:val="auto"/>
        </w:rPr>
        <w:t>Section 5.03(b)</w:t>
      </w:r>
      <w:r>
        <w:rPr>
          <w:rFonts w:ascii="Arial" w:cs="Arial" w:eastAsia="Arial" w:hAnsi="Arial"/>
          <w:sz w:val="15"/>
          <w:szCs w:val="15"/>
          <w:color w:val="auto"/>
        </w:rPr>
        <w:t xml:space="preserve"> shall be performed only following reasonable prior written notice from such Seller to Buyer, in such manner as not to interfere unreasonably with the conduct of the business and operations of Buyer, and so as not to unduly burden the management team or resources of Buyer (it being agreed that the terms of such access shall be based on reasonable access procedures specified by Buyer); and (B) all out-of-pocket costs incurred by Buyer in connection with such actions shall be at the expense of such Seller;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without the prior written consent of Buyer, each Seller and its Representatives shall not be entitled to any such access, information or documents (1) to the extent that access to, or disclosure of, such information or documents would, pursuant to the advice of Buyer’s legal counsel, waive or jeopardize, or reasonably be expected to waive or jeopardize, the attorney-client privilege or the application of the attorney-work-product doctrine; (2) the disclosure of which is restricted by any Law or Order applicable to Buyer; or (3) the disclosure of which would violate the terms and conditions of any confidentiality or similar agreements between Buyer, on the one hand, and a Third Party, on the other hand. Each Seller shall, and shall cause its Affiliates and its and their respective Representatives to, abide by the terms of the Confidentiality Agreement as if such Seller was a party thereto with respect to such access and any information furnished to it, its Affiliates or its or any of their respective Representatives pursuant to this </w:t>
      </w:r>
      <w:r>
        <w:rPr>
          <w:rFonts w:ascii="Arial" w:cs="Arial" w:eastAsia="Arial" w:hAnsi="Arial"/>
          <w:sz w:val="15"/>
          <w:szCs w:val="15"/>
          <w:u w:val="single" w:color="auto"/>
          <w:color w:val="auto"/>
        </w:rPr>
        <w:t>Section 5.03(b)</w:t>
      </w:r>
      <w:r>
        <w:rPr>
          <w:rFonts w:ascii="Arial" w:cs="Arial" w:eastAsia="Arial" w:hAnsi="Arial"/>
          <w:sz w:val="15"/>
          <w:szCs w:val="15"/>
          <w:color w:val="auto"/>
        </w:rPr>
        <w:t>.</w:t>
      </w:r>
    </w:p>
    <w:p>
      <w:pPr>
        <w:spacing w:after="0" w:line="158" w:lineRule="exact"/>
        <w:rPr>
          <w:sz w:val="20"/>
          <w:szCs w:val="20"/>
          <w:color w:val="auto"/>
        </w:rPr>
      </w:pPr>
    </w:p>
    <w:p>
      <w:pPr>
        <w:jc w:val="both"/>
        <w:ind w:firstLine="1195"/>
        <w:spacing w:after="0" w:line="247" w:lineRule="auto"/>
        <w:rPr>
          <w:sz w:val="20"/>
          <w:szCs w:val="20"/>
          <w:color w:val="auto"/>
        </w:rPr>
      </w:pPr>
      <w:r>
        <w:rPr>
          <w:rFonts w:ascii="Arial" w:cs="Arial" w:eastAsia="Arial" w:hAnsi="Arial"/>
          <w:sz w:val="17"/>
          <w:szCs w:val="17"/>
          <w:color w:val="010000"/>
        </w:rPr>
        <w:t xml:space="preserve">Section 5.04 </w:t>
      </w:r>
      <w:r>
        <w:rPr>
          <w:rFonts w:ascii="Arial" w:cs="Arial" w:eastAsia="Arial" w:hAnsi="Arial"/>
          <w:sz w:val="17"/>
          <w:szCs w:val="17"/>
          <w:u w:val="single" w:color="auto"/>
          <w:color w:val="000000"/>
        </w:rPr>
        <w:t>Form 8-K Filings</w:t>
      </w:r>
      <w:r>
        <w:rPr>
          <w:rFonts w:ascii="Arial" w:cs="Arial" w:eastAsia="Arial" w:hAnsi="Arial"/>
          <w:sz w:val="17"/>
          <w:szCs w:val="17"/>
          <w:color w:val="000000"/>
        </w:rPr>
        <w:t>. Buyer and Sellers shall cooperate in good faith with respect to the preparation of, and as promptly as practicable after</w:t>
      </w:r>
      <w:r>
        <w:rPr>
          <w:rFonts w:ascii="Arial" w:cs="Arial" w:eastAsia="Arial" w:hAnsi="Arial"/>
          <w:sz w:val="17"/>
          <w:szCs w:val="17"/>
          <w:color w:val="010000"/>
        </w:rPr>
        <w:t xml:space="preserve"> </w:t>
      </w:r>
      <w:r>
        <w:rPr>
          <w:rFonts w:ascii="Arial" w:cs="Arial" w:eastAsia="Arial" w:hAnsi="Arial"/>
          <w:sz w:val="17"/>
          <w:szCs w:val="17"/>
          <w:color w:val="000000"/>
        </w:rPr>
        <w:t>the execution of this Agreement, Buyer shall file with the SEC, a Current Report on Form 8-K (the “</w:t>
      </w:r>
      <w:r>
        <w:rPr>
          <w:rFonts w:ascii="Arial" w:cs="Arial" w:eastAsia="Arial" w:hAnsi="Arial"/>
          <w:sz w:val="17"/>
          <w:szCs w:val="17"/>
          <w:u w:val="single" w:color="auto"/>
          <w:color w:val="000000"/>
        </w:rPr>
        <w:t>Signing Form 8-K</w:t>
      </w:r>
      <w:r>
        <w:rPr>
          <w:rFonts w:ascii="Arial" w:cs="Arial" w:eastAsia="Arial" w:hAnsi="Arial"/>
          <w:sz w:val="17"/>
          <w:szCs w:val="17"/>
          <w:color w:val="000000"/>
        </w:rPr>
        <w:t>”) pursuant to the Exchange Act to report the execution of this Agreement. Buyer and Sellers shall cooperate in good faith with respect to the preparation of, and at least five (5) days prior to the Closing, Buyer shall prepare a draft Form 8-K announcing the Closing, together with, or incorporating by reference, the required pro forma financial statements and the historical financial statements prepared by the Company and its accountant (the “</w:t>
      </w:r>
      <w:r>
        <w:rPr>
          <w:rFonts w:ascii="Arial" w:cs="Arial" w:eastAsia="Arial" w:hAnsi="Arial"/>
          <w:sz w:val="17"/>
          <w:szCs w:val="17"/>
          <w:u w:val="single" w:color="auto"/>
          <w:color w:val="000000"/>
        </w:rPr>
        <w:t>Transaction Form 8-K</w:t>
      </w:r>
      <w:r>
        <w:rPr>
          <w:rFonts w:ascii="Arial" w:cs="Arial" w:eastAsia="Arial" w:hAnsi="Arial"/>
          <w:sz w:val="17"/>
          <w:szCs w:val="17"/>
          <w:color w:val="000000"/>
        </w:rPr>
        <w:t>”). Prior to the Closing, Buyer and Sellers shall prepare the press release announcing the consummation of the Contemplated Transactions (the “</w:t>
      </w:r>
      <w:r>
        <w:rPr>
          <w:rFonts w:ascii="Arial" w:cs="Arial" w:eastAsia="Arial" w:hAnsi="Arial"/>
          <w:sz w:val="17"/>
          <w:szCs w:val="17"/>
          <w:u w:val="single" w:color="auto"/>
          <w:color w:val="000000"/>
        </w:rPr>
        <w:t>Press Release</w:t>
      </w:r>
      <w:r>
        <w:rPr>
          <w:rFonts w:ascii="Arial" w:cs="Arial" w:eastAsia="Arial" w:hAnsi="Arial"/>
          <w:sz w:val="17"/>
          <w:szCs w:val="17"/>
          <w:color w:val="000000"/>
        </w:rPr>
        <w:t>”). Concurrently with the Closing, Buyer shall file the Transaction Form 8-K with the SEC and distribute the Press Release. Each of the Signing Form 8-K and the Transaction Form 8-K so filed and the Press Release so distributed shall be in a form mutually agreed by Sellers and Buyer.</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52" w:name="page53"/>
    <w:bookmarkEnd w:id="52"/>
    <w:p>
      <w:pPr>
        <w:spacing w:after="0"/>
        <w:tabs>
          <w:tab w:leader="none" w:pos="1020" w:val="left"/>
        </w:tabs>
        <w:rPr>
          <w:sz w:val="20"/>
          <w:szCs w:val="20"/>
          <w:color w:val="auto"/>
        </w:rPr>
      </w:pPr>
      <w:r>
        <w:rPr>
          <w:rFonts w:ascii="Arial" w:cs="Arial" w:eastAsia="Arial" w:hAnsi="Arial"/>
          <w:sz w:val="17"/>
          <w:szCs w:val="17"/>
          <w:color w:val="010000"/>
        </w:rPr>
        <w:t>Section 5.05</w:t>
      </w:r>
      <w:r>
        <w:rPr>
          <w:sz w:val="20"/>
          <w:szCs w:val="20"/>
          <w:color w:val="auto"/>
        </w:rPr>
        <w:tab/>
      </w:r>
      <w:r>
        <w:rPr>
          <w:rFonts w:ascii="Arial" w:cs="Arial" w:eastAsia="Arial" w:hAnsi="Arial"/>
          <w:sz w:val="15"/>
          <w:szCs w:val="15"/>
          <w:u w:val="single" w:color="auto"/>
          <w:color w:val="auto"/>
        </w:rPr>
        <w:t>Proxy Statement; Buyer Stockholders’ Meeting</w:t>
      </w:r>
      <w:r>
        <w:rPr>
          <w:rFonts w:ascii="Arial" w:cs="Arial" w:eastAsia="Arial" w:hAnsi="Arial"/>
          <w:sz w:val="15"/>
          <w:szCs w:val="15"/>
          <w:color w:val="auto"/>
        </w:rPr>
        <w:t>.</w:t>
      </w:r>
    </w:p>
    <w:p>
      <w:pPr>
        <w:spacing w:after="0" w:line="203" w:lineRule="exact"/>
        <w:rPr>
          <w:sz w:val="20"/>
          <w:szCs w:val="20"/>
          <w:color w:val="auto"/>
        </w:rPr>
      </w:pPr>
    </w:p>
    <w:p>
      <w:pPr>
        <w:jc w:val="both"/>
        <w:ind w:left="-380" w:firstLine="599"/>
        <w:spacing w:after="0" w:line="279" w:lineRule="auto"/>
        <w:tabs>
          <w:tab w:leader="none" w:pos="879" w:val="left"/>
        </w:tabs>
        <w:numPr>
          <w:ilvl w:val="0"/>
          <w:numId w:val="50"/>
        </w:numPr>
        <w:rPr>
          <w:rFonts w:ascii="Arial" w:cs="Arial" w:eastAsia="Arial" w:hAnsi="Arial"/>
          <w:sz w:val="15"/>
          <w:szCs w:val="15"/>
          <w:color w:val="010000"/>
        </w:rPr>
      </w:pPr>
      <w:r>
        <w:rPr>
          <w:rFonts w:ascii="Arial" w:cs="Arial" w:eastAsia="Arial" w:hAnsi="Arial"/>
          <w:sz w:val="15"/>
          <w:szCs w:val="15"/>
          <w:color w:val="auto"/>
        </w:rPr>
        <w:t>As promptly as reasonably practicable after the date hereof, Buyer shall prepare and file a proxy statement of Buyer with the SEC (as such filing is amended or supplemented, the “</w:t>
      </w:r>
      <w:r>
        <w:rPr>
          <w:rFonts w:ascii="Arial" w:cs="Arial" w:eastAsia="Arial" w:hAnsi="Arial"/>
          <w:sz w:val="15"/>
          <w:szCs w:val="15"/>
          <w:u w:val="single" w:color="auto"/>
          <w:color w:val="auto"/>
        </w:rPr>
        <w:t>Proxy Statement</w:t>
      </w:r>
      <w:r>
        <w:rPr>
          <w:rFonts w:ascii="Arial" w:cs="Arial" w:eastAsia="Arial" w:hAnsi="Arial"/>
          <w:sz w:val="15"/>
          <w:szCs w:val="15"/>
          <w:color w:val="auto"/>
        </w:rPr>
        <w:t>”) for the purposes of (i) providing the Buyer Stockholders with the opportunity to redeem their Buyer Issued Securities in connection with the Contemplated Transactions and (ii) soliciting proxies from the Buyer Stockholders to obtain the requisite approval of the Contemplated Transactions and the other matters to be voted on at a meeting of the Buyer Common Shares to be called and held for such purpose (the “</w:t>
      </w:r>
      <w:r>
        <w:rPr>
          <w:rFonts w:ascii="Arial" w:cs="Arial" w:eastAsia="Arial" w:hAnsi="Arial"/>
          <w:sz w:val="15"/>
          <w:szCs w:val="15"/>
          <w:u w:val="single" w:color="auto"/>
          <w:color w:val="auto"/>
        </w:rPr>
        <w:t>Buyer Stockholders Meeting</w:t>
      </w:r>
      <w:r>
        <w:rPr>
          <w:rFonts w:ascii="Arial" w:cs="Arial" w:eastAsia="Arial" w:hAnsi="Arial"/>
          <w:sz w:val="15"/>
          <w:szCs w:val="15"/>
          <w:color w:val="auto"/>
        </w:rPr>
        <w:t>”). The Proxy Statement, the Extension Proxy Statement, if any, and any Other Filings so filed shall be in a form mutually agreed by Sellers and Buyer. As promptly as practicable following the execution hereof, Buyer shall prepare and file any other filings required under the Exchange Act, the Securities Act or any other Laws relating to the Contemplated Transactions (the “</w:t>
      </w:r>
      <w:r>
        <w:rPr>
          <w:rFonts w:ascii="Arial" w:cs="Arial" w:eastAsia="Arial" w:hAnsi="Arial"/>
          <w:sz w:val="15"/>
          <w:szCs w:val="15"/>
          <w:u w:val="single" w:color="auto"/>
          <w:color w:val="auto"/>
        </w:rPr>
        <w:t>Other Filings</w:t>
      </w:r>
      <w:r>
        <w:rPr>
          <w:rFonts w:ascii="Arial" w:cs="Arial" w:eastAsia="Arial" w:hAnsi="Arial"/>
          <w:sz w:val="15"/>
          <w:szCs w:val="15"/>
          <w:color w:val="auto"/>
        </w:rPr>
        <w:t>”). Buyer shall notify Sellers promptly upon the receipt of any comments from the SEC or its staff and of any request by the SEC or its staff or any other Governmental Authority for amendments or supplements to the Proxy Statement or any Other Filing or for additional information. As promptly as practicable after receipt thereof, Buyer shall provide Sellers and their counsel with copies of all written correspondence between Buyer or any of its Representatives, on the one hand, and the SEC, or its staff or other governmental officials, on the other hand, with respect to the Proxy Statement or any Other Filing. Buyer shall permit Sellers and their counsel to review the Proxy Statement and any exhibits, amendments or supplements thereto and shall consult with Sellers and their Representatives concerning any comments from the SEC with respect thereto and shall not file the Proxy Statement or any exhibits, amendment or supplement thereto or any response letters to any comments from the SEC without the prior written consent of Sellers in their sole discretion. Buyer shall cause that each of the Proxy Statement and any Other Filing will comply as to form and substance with the requirements of all applicable Law and SEC Guidance. Buyer shall cause the Proxy Statement not to include, to the Knowledge of Buyer, as of the date the Proxy Statement is first mailed to the Buyer Stockholders, and as of the time of the Buyer Stockholders Meeting, any untrue statement of a material fact or omission of a statement of a material fact necessary in order to make the statements therein, in the light of the circumstances under which they were made, not misleading. Sellers shall each confirm in writing to Buyer, as of the date of mailing the Proxy Statement to the Buyer Stockholders, that the information relating to the Company and its Subsidiaries contained in the Proxy Statement does not, to the Knowledge of Sellers, contain any untrue statement of material fact or omit to state a material fact necessary in order to make the statements made, in the light of the circumstances under which they were made, not misleading. After the Proxy Statement is first mailed to the Buyer Stockholders, if any event occurs which would reasonably be expected to result in the Proxy Statement containing any untrue statement of a material fact or omitting to state a material fact necessary in order to make the statements made, in light of the circumstances under which they are made, not misleading, Buyer or Sellers, as the case may be, shall promptly inform the other Party of such occurrence and cooperate in filing with the SEC or its staff or any other government officials, and/or mailing to the Buyer Stockholders, an amendment or supplement to the Proxy Statement.</w:t>
      </w:r>
    </w:p>
    <w:p>
      <w:pPr>
        <w:spacing w:after="0" w:line="266"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7257415" cy="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662" w:right="239" w:bottom="1440" w:gutter="0" w:footer="0" w:header="0"/>
        </w:sectPr>
      </w:pPr>
    </w:p>
    <w:bookmarkStart w:id="53" w:name="page54"/>
    <w:bookmarkEnd w:id="53"/>
    <w:p>
      <w:pPr>
        <w:jc w:val="both"/>
        <w:ind w:left="-380" w:firstLine="599"/>
        <w:spacing w:after="0" w:line="278" w:lineRule="auto"/>
        <w:tabs>
          <w:tab w:leader="none" w:pos="926" w:val="left"/>
        </w:tabs>
        <w:numPr>
          <w:ilvl w:val="0"/>
          <w:numId w:val="51"/>
        </w:numPr>
        <w:rPr>
          <w:rFonts w:ascii="Arial" w:cs="Arial" w:eastAsia="Arial" w:hAnsi="Arial"/>
          <w:sz w:val="15"/>
          <w:szCs w:val="15"/>
          <w:color w:val="010000"/>
        </w:rPr>
      </w:pPr>
      <w:r>
        <w:rPr>
          <w:rFonts w:ascii="Arial" w:cs="Arial" w:eastAsia="Arial" w:hAnsi="Arial"/>
          <w:sz w:val="15"/>
          <w:szCs w:val="15"/>
          <w:color w:val="auto"/>
        </w:rPr>
        <w:t>As promptly as reasonably practicable following the expiration of the waiting period in Rule 14a-6(a) under the Exchange Act, or, in the event the preliminary Proxy Statement is reviewed by the SEC, receipt of oral or written notification of the completion of the review by the SEC, Buyer shall establish a record date (which date shall be approved by the Sellers, such approval not to be unreasonably withheld, delayed or conditioned) for, duly call, give notice of, convene and hold the Buyer Stockholders Meeting for the purpose of obtaining the affirmative vote of a majority of the outstanding Buyer Common Shares as of the record date for the Buyer Stockholders Meeting approving the Buyer Board Recommendation (the “</w:t>
      </w:r>
      <w:r>
        <w:rPr>
          <w:rFonts w:ascii="Arial" w:cs="Arial" w:eastAsia="Arial" w:hAnsi="Arial"/>
          <w:sz w:val="15"/>
          <w:szCs w:val="15"/>
          <w:u w:val="single" w:color="auto"/>
          <w:color w:val="auto"/>
        </w:rPr>
        <w:t>Buyer Stockholder Approval</w:t>
      </w:r>
      <w:r>
        <w:rPr>
          <w:rFonts w:ascii="Arial" w:cs="Arial" w:eastAsia="Arial" w:hAnsi="Arial"/>
          <w:sz w:val="15"/>
          <w:szCs w:val="15"/>
          <w:color w:val="auto"/>
        </w:rPr>
        <w:t>”). The Buyer Stockholders Meeting shall be held not more than 30 days after the date on which Buyer mails the Proxy Statement to the Buyer Stockholders. Buyer shall use its reasonably best efforts to obtain the Buyer Stockholder Approval, including by soliciting proxies as promptly as practicable in accordance with applicable Law for the purpose of seeking the Buyer Stockholder Approval. Subject to the following sentence, Buyer shall, through the board of directors of Buyer (the “</w:t>
      </w:r>
      <w:r>
        <w:rPr>
          <w:rFonts w:ascii="Arial" w:cs="Arial" w:eastAsia="Arial" w:hAnsi="Arial"/>
          <w:sz w:val="15"/>
          <w:szCs w:val="15"/>
          <w:u w:val="single" w:color="auto"/>
          <w:color w:val="auto"/>
        </w:rPr>
        <w:t>Buyer Board</w:t>
      </w:r>
      <w:r>
        <w:rPr>
          <w:rFonts w:ascii="Arial" w:cs="Arial" w:eastAsia="Arial" w:hAnsi="Arial"/>
          <w:sz w:val="15"/>
          <w:szCs w:val="15"/>
          <w:color w:val="auto"/>
        </w:rPr>
        <w:t>”), recommend to the Buyer Stockholders that they vote in favor of (i) the adoption of this Agreement and approval of the Contemplated Transactions, including an increase in the authorized number of shares of Common Stock and the issuance of the Consideration Shares to Sellers in accordance with the terms hereof, (ii) the amendment and restatement of the certificate of incorporation of Buyer in the form of the A&amp;R Buyer Charter and, to the extent a vote of stockholders is necessary, the amendment and restatement of the by-laws of Buyer in the form of the Buyer A&amp;R By-laws, (iii) the adoption of the Earnout Incentive Plan, and (iv) any other proposals the Parties deem necessary or advisable to consummate the Contemplated Transactions (the “</w:t>
      </w:r>
      <w:r>
        <w:rPr>
          <w:rFonts w:ascii="Arial" w:cs="Arial" w:eastAsia="Arial" w:hAnsi="Arial"/>
          <w:sz w:val="15"/>
          <w:szCs w:val="15"/>
          <w:u w:val="single" w:color="auto"/>
          <w:color w:val="auto"/>
        </w:rPr>
        <w:t>Buyer Board</w:t>
      </w:r>
      <w:r>
        <w:rPr>
          <w:rFonts w:ascii="Arial" w:cs="Arial" w:eastAsia="Arial" w:hAnsi="Arial"/>
          <w:sz w:val="15"/>
          <w:szCs w:val="15"/>
          <w:color w:val="auto"/>
        </w:rPr>
        <w:t xml:space="preserve"> </w:t>
      </w:r>
      <w:r>
        <w:rPr>
          <w:rFonts w:ascii="Arial" w:cs="Arial" w:eastAsia="Arial" w:hAnsi="Arial"/>
          <w:sz w:val="15"/>
          <w:szCs w:val="15"/>
          <w:u w:val="single" w:color="auto"/>
          <w:color w:val="auto"/>
        </w:rPr>
        <w:t>Recommendation</w:t>
      </w:r>
      <w:r>
        <w:rPr>
          <w:rFonts w:ascii="Arial" w:cs="Arial" w:eastAsia="Arial" w:hAnsi="Arial"/>
          <w:sz w:val="15"/>
          <w:szCs w:val="15"/>
          <w:color w:val="auto"/>
        </w:rPr>
        <w:t>”), and Buyer shall include the Buyer Board Recommendation in the Proxy Statement. The Buyer Board shall not (and no committee or subgroup thereof shall) change, withdraw, withhold, qualify or modify, or publicly propose to change, withdraw, withhold, qualify or modify, the Buyer Board Recommendation (any such change, withdrawal, withholding, qualification, modification or proposal, a “</w:t>
      </w:r>
      <w:r>
        <w:rPr>
          <w:rFonts w:ascii="Arial" w:cs="Arial" w:eastAsia="Arial" w:hAnsi="Arial"/>
          <w:sz w:val="15"/>
          <w:szCs w:val="15"/>
          <w:u w:val="single" w:color="auto"/>
          <w:color w:val="auto"/>
        </w:rPr>
        <w:t>Change in Recommendation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without limiting Buyer’s obligations set forth in </w:t>
      </w:r>
      <w:r>
        <w:rPr>
          <w:rFonts w:ascii="Arial" w:cs="Arial" w:eastAsia="Arial" w:hAnsi="Arial"/>
          <w:sz w:val="15"/>
          <w:szCs w:val="15"/>
          <w:u w:val="single" w:color="auto"/>
          <w:color w:val="auto"/>
        </w:rPr>
        <w:t>Section 5.06</w:t>
      </w:r>
      <w:r>
        <w:rPr>
          <w:rFonts w:ascii="Arial" w:cs="Arial" w:eastAsia="Arial" w:hAnsi="Arial"/>
          <w:sz w:val="15"/>
          <w:szCs w:val="15"/>
          <w:color w:val="auto"/>
        </w:rPr>
        <w:t>, the Buyer Board may make a Change in Recommendation if it determines in good faith, after consultation with and being advised by outside legal counsel, that a failure to make a Change in Recommendation would reasonably be expected to constitute a breach by the Buyer Board of its fiduciary obligations to the Buyer Stockholders under applicable Law. Buyer agrees that its obligation to establish a record date for, duly call, give notice of, convene and hold the Buyer Stockholders Meeting for the purpose of seeking the Buyer Stockholder Approval shall not be affected by any Change of Recommendation, and Buyer agrees to establish a record date for, duly call, give notice of, convene and hold the Buyer Stockholders Meeting and submit for the approval of the Buyer Stockholders the matters contemplated by the Proxy Statement, regardless of whether or not there shall be a Change in Recommendation. Notwithstanding anything herein to the contrary, Buyer shall be entitled to postpone or adjourn the Buyer Stockholders Meeting (A) to ensure that any supplement or amendment to the Proxy Statement that the Buyer Board has determined in good faith is required by applicable Law is disclosed to the Buyer Stockholders and for such supplement or amendment to be promptly disseminated to the Buyer Stockholders prior to the Buyer Stockholders Meeting, (B) if, as of the time for which the Buyer Stockholders Meeting is originally scheduled (as set forth in the Proxy Statement), there are insufficient Buyer Common Shares represented (either in person or by proxy) to constitute a quorum necessary to conduct the business to be conducted at the Buyer Stockholders Meeting or (C) by up to 10 Business Days in order to solicit additional proxies from Buyer Stockholders for the purpose of obtaining the Buyer Stockholder Approval; provided, that in the event of a postponement or adjournment pursuant to clauses (A) or (B) above, the Buyer Stockholders Meeting shall be reconvened as promptly as practicable following such time as the matters described in such clauses have been resolved, and in no event shall the Buyer Stockholders Meeting be reconvened on a date that is later than five (5) Business Days prior to the Termination Date.</w:t>
      </w:r>
    </w:p>
    <w:p>
      <w:pPr>
        <w:spacing w:after="0" w:line="280"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7257415" cy="23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662" w:right="239" w:bottom="1440" w:gutter="0" w:footer="0" w:header="0"/>
        </w:sectPr>
      </w:pPr>
    </w:p>
    <w:bookmarkStart w:id="54" w:name="page55"/>
    <w:bookmarkEnd w:id="54"/>
    <w:p>
      <w:pPr>
        <w:jc w:val="both"/>
        <w:ind w:firstLine="1195"/>
        <w:spacing w:after="0" w:line="295" w:lineRule="auto"/>
        <w:rPr>
          <w:sz w:val="20"/>
          <w:szCs w:val="20"/>
          <w:color w:val="auto"/>
        </w:rPr>
      </w:pPr>
      <w:r>
        <w:rPr>
          <w:rFonts w:ascii="Arial" w:cs="Arial" w:eastAsia="Arial" w:hAnsi="Arial"/>
          <w:sz w:val="15"/>
          <w:szCs w:val="15"/>
          <w:color w:val="010000"/>
        </w:rPr>
        <w:t xml:space="preserve">Section 5.06 </w:t>
      </w:r>
      <w:r>
        <w:rPr>
          <w:rFonts w:ascii="Arial" w:cs="Arial" w:eastAsia="Arial" w:hAnsi="Arial"/>
          <w:sz w:val="15"/>
          <w:szCs w:val="15"/>
          <w:u w:val="single" w:color="auto"/>
          <w:color w:val="000000"/>
        </w:rPr>
        <w:t>Exclusivity</w:t>
      </w:r>
      <w:r>
        <w:rPr>
          <w:rFonts w:ascii="Arial" w:cs="Arial" w:eastAsia="Arial" w:hAnsi="Arial"/>
          <w:sz w:val="15"/>
          <w:szCs w:val="15"/>
          <w:color w:val="000000"/>
        </w:rPr>
        <w:t>. Between the date hereof and the Closing, neither Buyer nor any Seller shall take, nor shall such Party permit any of its</w:t>
      </w:r>
      <w:r>
        <w:rPr>
          <w:rFonts w:ascii="Arial" w:cs="Arial" w:eastAsia="Arial" w:hAnsi="Arial"/>
          <w:sz w:val="15"/>
          <w:szCs w:val="15"/>
          <w:color w:val="010000"/>
        </w:rPr>
        <w:t xml:space="preserve"> </w:t>
      </w:r>
      <w:r>
        <w:rPr>
          <w:rFonts w:ascii="Arial" w:cs="Arial" w:eastAsia="Arial" w:hAnsi="Arial"/>
          <w:sz w:val="15"/>
          <w:szCs w:val="15"/>
          <w:color w:val="000000"/>
        </w:rPr>
        <w:t>Affiliates or Representatives to take, any action to solicit, encourage, initiate or engage in any discussions or negotiations with, or provide any information to or enter into any Contract with any Person (other than the other Parties) concerning, in the case of Buyer, any Business Combination, and in the case of any Seller, any merger or purchase of all or substantially all of the Equity Securities or assets of the Company and its Subsidiaries, taken as a whole, to any other Person (other than Buyer).</w:t>
      </w:r>
    </w:p>
    <w:p>
      <w:pPr>
        <w:spacing w:after="0" w:line="148" w:lineRule="exact"/>
        <w:rPr>
          <w:sz w:val="20"/>
          <w:szCs w:val="20"/>
          <w:color w:val="auto"/>
        </w:rPr>
      </w:pPr>
    </w:p>
    <w:p>
      <w:pPr>
        <w:jc w:val="both"/>
        <w:ind w:firstLine="1195"/>
        <w:spacing w:after="0" w:line="278" w:lineRule="auto"/>
        <w:rPr>
          <w:sz w:val="20"/>
          <w:szCs w:val="20"/>
          <w:color w:val="auto"/>
        </w:rPr>
      </w:pPr>
      <w:r>
        <w:rPr>
          <w:rFonts w:ascii="Arial" w:cs="Arial" w:eastAsia="Arial" w:hAnsi="Arial"/>
          <w:sz w:val="16"/>
          <w:szCs w:val="16"/>
          <w:color w:val="010000"/>
        </w:rPr>
        <w:t xml:space="preserve">Section 5.07 </w:t>
      </w:r>
      <w:r>
        <w:rPr>
          <w:rFonts w:ascii="Arial" w:cs="Arial" w:eastAsia="Arial" w:hAnsi="Arial"/>
          <w:sz w:val="16"/>
          <w:szCs w:val="16"/>
          <w:u w:val="single" w:color="auto"/>
          <w:color w:val="000000"/>
        </w:rPr>
        <w:t>Listing</w:t>
      </w:r>
      <w:r>
        <w:rPr>
          <w:rFonts w:ascii="Arial" w:cs="Arial" w:eastAsia="Arial" w:hAnsi="Arial"/>
          <w:sz w:val="16"/>
          <w:szCs w:val="16"/>
          <w:color w:val="000000"/>
        </w:rPr>
        <w:t>. Buyer shall (a) cause the Consideration Shares to be approved for listing on and tradable over NASDAQ on a tier no lower than</w:t>
      </w:r>
      <w:r>
        <w:rPr>
          <w:rFonts w:ascii="Arial" w:cs="Arial" w:eastAsia="Arial" w:hAnsi="Arial"/>
          <w:sz w:val="16"/>
          <w:szCs w:val="16"/>
          <w:color w:val="010000"/>
        </w:rPr>
        <w:t xml:space="preserve"> </w:t>
      </w:r>
      <w:r>
        <w:rPr>
          <w:rFonts w:ascii="Arial" w:cs="Arial" w:eastAsia="Arial" w:hAnsi="Arial"/>
          <w:sz w:val="16"/>
          <w:szCs w:val="16"/>
          <w:color w:val="000000"/>
        </w:rPr>
        <w:t xml:space="preserve">the Buyer Common Shares trade on the date hereof, (b) cause the Buyer Common Shares and the Buyer Public Warrants to remain listed on NASDAQ from and after the date hereof until the earlier of the Closing Date and the termination of this Agreement in accordance with </w:t>
      </w:r>
      <w:r>
        <w:rPr>
          <w:rFonts w:ascii="Arial" w:cs="Arial" w:eastAsia="Arial" w:hAnsi="Arial"/>
          <w:sz w:val="16"/>
          <w:szCs w:val="16"/>
          <w:u w:val="single" w:color="auto"/>
          <w:color w:val="000000"/>
        </w:rPr>
        <w:t>Article VII</w:t>
      </w:r>
      <w:r>
        <w:rPr>
          <w:rFonts w:ascii="Arial" w:cs="Arial" w:eastAsia="Arial" w:hAnsi="Arial"/>
          <w:sz w:val="16"/>
          <w:szCs w:val="16"/>
          <w:color w:val="000000"/>
        </w:rPr>
        <w:t>.</w:t>
      </w:r>
    </w:p>
    <w:p>
      <w:pPr>
        <w:spacing w:after="0" w:line="157"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5.08 </w:t>
      </w:r>
      <w:r>
        <w:rPr>
          <w:rFonts w:ascii="Arial" w:cs="Arial" w:eastAsia="Arial" w:hAnsi="Arial"/>
          <w:sz w:val="17"/>
          <w:szCs w:val="17"/>
          <w:u w:val="single" w:color="auto"/>
          <w:color w:val="000000"/>
        </w:rPr>
        <w:t>Related Party Contracts</w:t>
      </w:r>
      <w:r>
        <w:rPr>
          <w:rFonts w:ascii="Arial" w:cs="Arial" w:eastAsia="Arial" w:hAnsi="Arial"/>
          <w:sz w:val="17"/>
          <w:szCs w:val="17"/>
          <w:color w:val="000000"/>
        </w:rPr>
        <w:t>. Except as expressly provided herein, Buyer shall cause, effective as of the Closing, each outstanding Related</w:t>
      </w:r>
      <w:r>
        <w:rPr>
          <w:rFonts w:ascii="Arial" w:cs="Arial" w:eastAsia="Arial" w:hAnsi="Arial"/>
          <w:sz w:val="17"/>
          <w:szCs w:val="17"/>
          <w:color w:val="010000"/>
        </w:rPr>
        <w:t xml:space="preserve"> </w:t>
      </w:r>
      <w:r>
        <w:rPr>
          <w:rFonts w:ascii="Arial" w:cs="Arial" w:eastAsia="Arial" w:hAnsi="Arial"/>
          <w:sz w:val="17"/>
          <w:szCs w:val="17"/>
          <w:color w:val="000000"/>
        </w:rPr>
        <w:t>Party Contract to be terminated, without any post-Closing liability or obligation of Buyer, the Company, any of its Subsidiaries or any of their respective Affiliates, as applicable, thereunder.</w:t>
      </w:r>
    </w:p>
    <w:p>
      <w:pPr>
        <w:spacing w:after="0" w:line="176" w:lineRule="exact"/>
        <w:rPr>
          <w:sz w:val="20"/>
          <w:szCs w:val="20"/>
          <w:color w:val="auto"/>
        </w:rPr>
      </w:pPr>
    </w:p>
    <w:p>
      <w:pPr>
        <w:jc w:val="both"/>
        <w:ind w:firstLine="1195"/>
        <w:spacing w:after="0" w:line="279" w:lineRule="auto"/>
        <w:rPr>
          <w:sz w:val="20"/>
          <w:szCs w:val="20"/>
          <w:color w:val="auto"/>
        </w:rPr>
      </w:pPr>
      <w:r>
        <w:rPr>
          <w:rFonts w:ascii="Arial" w:cs="Arial" w:eastAsia="Arial" w:hAnsi="Arial"/>
          <w:sz w:val="15"/>
          <w:szCs w:val="15"/>
          <w:color w:val="010000"/>
        </w:rPr>
        <w:t xml:space="preserve">Section 5.09 </w:t>
      </w:r>
      <w:r>
        <w:rPr>
          <w:rFonts w:ascii="Arial" w:cs="Arial" w:eastAsia="Arial" w:hAnsi="Arial"/>
          <w:sz w:val="15"/>
          <w:szCs w:val="15"/>
          <w:u w:val="single" w:color="auto"/>
          <w:color w:val="000000"/>
        </w:rPr>
        <w:t>Updates to the Disclosure Letter</w:t>
      </w:r>
      <w:r>
        <w:rPr>
          <w:rFonts w:ascii="Arial" w:cs="Arial" w:eastAsia="Arial" w:hAnsi="Arial"/>
          <w:sz w:val="15"/>
          <w:szCs w:val="15"/>
          <w:color w:val="000000"/>
        </w:rPr>
        <w:t>. From the date hereof through the Closing, Sellers shall have the right (but not the obligation) to</w:t>
      </w:r>
      <w:r>
        <w:rPr>
          <w:rFonts w:ascii="Arial" w:cs="Arial" w:eastAsia="Arial" w:hAnsi="Arial"/>
          <w:sz w:val="15"/>
          <w:szCs w:val="15"/>
          <w:color w:val="010000"/>
        </w:rPr>
        <w:t xml:space="preserve"> </w:t>
      </w:r>
      <w:r>
        <w:rPr>
          <w:rFonts w:ascii="Arial" w:cs="Arial" w:eastAsia="Arial" w:hAnsi="Arial"/>
          <w:sz w:val="15"/>
          <w:szCs w:val="15"/>
          <w:color w:val="000000"/>
        </w:rPr>
        <w:t xml:space="preserve">supplement or amend, by written notice delivered to Buyer, the Disclosure Letter, if and to the extent applicable, with respect to any matter hereafter arising or of which Sellers becomes aware after the date hereof. In such event, unless such event would be reasonably expected to have, individually or in the aggregate with the events described in other written notices previously delivered to Buyer pursuant to this </w:t>
      </w:r>
      <w:r>
        <w:rPr>
          <w:rFonts w:ascii="Arial" w:cs="Arial" w:eastAsia="Arial" w:hAnsi="Arial"/>
          <w:sz w:val="15"/>
          <w:szCs w:val="15"/>
          <w:u w:val="single" w:color="auto"/>
          <w:color w:val="000000"/>
        </w:rPr>
        <w:t>Section 5.09</w:t>
      </w:r>
      <w:r>
        <w:rPr>
          <w:rFonts w:ascii="Arial" w:cs="Arial" w:eastAsia="Arial" w:hAnsi="Arial"/>
          <w:sz w:val="15"/>
          <w:szCs w:val="15"/>
          <w:color w:val="000000"/>
        </w:rPr>
        <w:t xml:space="preserve">, a Material Adverse Effect, as applicable, such written notice shall be deemed to have amended the Disclosure Letter, and to have qualified the representations and warranties contained in </w:t>
      </w:r>
      <w:r>
        <w:rPr>
          <w:rFonts w:ascii="Arial" w:cs="Arial" w:eastAsia="Arial" w:hAnsi="Arial"/>
          <w:sz w:val="15"/>
          <w:szCs w:val="15"/>
          <w:u w:val="single" w:color="auto"/>
          <w:color w:val="000000"/>
        </w:rPr>
        <w:t>Article III</w:t>
      </w:r>
      <w:r>
        <w:rPr>
          <w:rFonts w:ascii="Arial" w:cs="Arial" w:eastAsia="Arial" w:hAnsi="Arial"/>
          <w:sz w:val="15"/>
          <w:szCs w:val="15"/>
          <w:color w:val="000000"/>
        </w:rPr>
        <w:t xml:space="preserve">, as applicable, for all purposes hereunder, including for the purpose of determining whether the conditions specified in </w:t>
      </w:r>
      <w:r>
        <w:rPr>
          <w:rFonts w:ascii="Arial" w:cs="Arial" w:eastAsia="Arial" w:hAnsi="Arial"/>
          <w:sz w:val="15"/>
          <w:szCs w:val="15"/>
          <w:u w:val="single" w:color="auto"/>
          <w:color w:val="000000"/>
        </w:rPr>
        <w:t>Section 6.02</w:t>
      </w:r>
      <w:r>
        <w:rPr>
          <w:rFonts w:ascii="Arial" w:cs="Arial" w:eastAsia="Arial" w:hAnsi="Arial"/>
          <w:sz w:val="15"/>
          <w:szCs w:val="15"/>
          <w:color w:val="000000"/>
        </w:rPr>
        <w:t>, have been satisfied. From the date hereof through the Closing, each of Buyer and Sellers shall promptly give written notice to the other Party if it breaches any of its representations, warranties, covenants or obligations contained in this Agreement if such breach</w:t>
      </w:r>
    </w:p>
    <w:p>
      <w:pPr>
        <w:spacing w:after="0" w:line="3" w:lineRule="exact"/>
        <w:rPr>
          <w:sz w:val="20"/>
          <w:szCs w:val="20"/>
          <w:color w:val="auto"/>
        </w:rPr>
      </w:pPr>
    </w:p>
    <w:p>
      <w:pPr>
        <w:spacing w:after="0" w:line="314" w:lineRule="auto"/>
        <w:tabs>
          <w:tab w:leader="none" w:pos="233" w:val="left"/>
        </w:tabs>
        <w:numPr>
          <w:ilvl w:val="0"/>
          <w:numId w:val="52"/>
        </w:numPr>
        <w:rPr>
          <w:rFonts w:ascii="Arial" w:cs="Arial" w:eastAsia="Arial" w:hAnsi="Arial"/>
          <w:sz w:val="15"/>
          <w:szCs w:val="15"/>
          <w:color w:val="auto"/>
        </w:rPr>
      </w:pPr>
      <w:r>
        <w:rPr>
          <w:rFonts w:ascii="Arial" w:cs="Arial" w:eastAsia="Arial" w:hAnsi="Arial"/>
          <w:sz w:val="15"/>
          <w:szCs w:val="15"/>
          <w:color w:val="auto"/>
        </w:rPr>
        <w:t xml:space="preserve">has resulted in, or would reasonably be expected to result in, the failure of any condition set forth in </w:t>
      </w:r>
      <w:r>
        <w:rPr>
          <w:rFonts w:ascii="Arial" w:cs="Arial" w:eastAsia="Arial" w:hAnsi="Arial"/>
          <w:sz w:val="15"/>
          <w:szCs w:val="15"/>
          <w:u w:val="single" w:color="auto"/>
          <w:color w:val="auto"/>
        </w:rPr>
        <w:t>Article VI</w:t>
      </w:r>
      <w:r>
        <w:rPr>
          <w:rFonts w:ascii="Arial" w:cs="Arial" w:eastAsia="Arial" w:hAnsi="Arial"/>
          <w:sz w:val="15"/>
          <w:szCs w:val="15"/>
          <w:color w:val="auto"/>
        </w:rPr>
        <w:t>; or (b) has prevented or materially impeded, interfered with, hindered or delayed, or would reasonably be expected to prevent or materially impede, interfere with, hinder or delay, the Contemplated Transactions.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55" w:name="page56"/>
    <w:bookmarkEnd w:id="55"/>
    <w:p>
      <w:pPr>
        <w:jc w:val="both"/>
        <w:ind w:firstLine="1195"/>
        <w:spacing w:after="0" w:line="264" w:lineRule="auto"/>
        <w:rPr>
          <w:sz w:val="20"/>
          <w:szCs w:val="20"/>
          <w:color w:val="auto"/>
        </w:rPr>
      </w:pPr>
      <w:r>
        <w:rPr>
          <w:rFonts w:ascii="Arial" w:cs="Arial" w:eastAsia="Arial" w:hAnsi="Arial"/>
          <w:sz w:val="16"/>
          <w:szCs w:val="16"/>
          <w:color w:val="010000"/>
        </w:rPr>
        <w:t xml:space="preserve">Section 5.10 </w:t>
      </w:r>
      <w:r>
        <w:rPr>
          <w:rFonts w:ascii="Arial" w:cs="Arial" w:eastAsia="Arial" w:hAnsi="Arial"/>
          <w:sz w:val="16"/>
          <w:szCs w:val="16"/>
          <w:u w:val="single" w:color="auto"/>
          <w:color w:val="000000"/>
        </w:rPr>
        <w:t>Reasonable Best Efforts; Further Assurances</w:t>
      </w:r>
      <w:r>
        <w:rPr>
          <w:rFonts w:ascii="Arial" w:cs="Arial" w:eastAsia="Arial" w:hAnsi="Arial"/>
          <w:sz w:val="16"/>
          <w:szCs w:val="16"/>
          <w:color w:val="000000"/>
        </w:rPr>
        <w:t>. Subject to the terms and conditions hereof, including the specific requirements set forth in</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Section 5.11</w:t>
      </w:r>
      <w:r>
        <w:rPr>
          <w:rFonts w:ascii="Arial" w:cs="Arial" w:eastAsia="Arial" w:hAnsi="Arial"/>
          <w:sz w:val="16"/>
          <w:szCs w:val="16"/>
          <w:color w:val="000000"/>
        </w:rPr>
        <w:t>, Buyer and Sellers will use their respective reasonable best efforts to take, or cause to be taken (including by causing any Affiliates to take actions), all actions and to do, or cause to be done, all things necessary or desirable under applicable Laws to consummate the Contemplated Transactions, including (a) preparing and filing as promptly as practicable with any Governmental Authority or other Third Party all documentation to effect all registrations, filings, applications and notices that are necessary, proper or advisable to consummate the Contemplated Transactions; and (b) obtaining and maintaining all consents, approvals or waivers from any Governmental Authority or other Third Party that are necessary, proper or advisable to consummate the Contemplated Transactions. Sellers and Buyer agree to (and Sellers, prior to the Closing, agrees to cause the Company and its Subsidiaries to, and Buyer, after the Closing, agrees to cause the Company and its Subsidiaries to) execute and deliver such other documents, certificates, agreements and other writings and to take such other actions as may be necessary or desirable in order to consummate or implement expeditiously the Contemplated Transactions.</w:t>
      </w:r>
    </w:p>
    <w:p>
      <w:pPr>
        <w:spacing w:after="0" w:line="170" w:lineRule="exact"/>
        <w:rPr>
          <w:sz w:val="20"/>
          <w:szCs w:val="20"/>
          <w:color w:val="auto"/>
        </w:rPr>
      </w:pPr>
    </w:p>
    <w:p>
      <w:pPr>
        <w:jc w:val="both"/>
        <w:ind w:firstLine="1195"/>
        <w:spacing w:after="0" w:line="265" w:lineRule="auto"/>
        <w:rPr>
          <w:sz w:val="20"/>
          <w:szCs w:val="20"/>
          <w:color w:val="auto"/>
        </w:rPr>
      </w:pPr>
      <w:r>
        <w:rPr>
          <w:rFonts w:ascii="Arial" w:cs="Arial" w:eastAsia="Arial" w:hAnsi="Arial"/>
          <w:sz w:val="16"/>
          <w:szCs w:val="16"/>
          <w:color w:val="010000"/>
        </w:rPr>
        <w:t xml:space="preserve">Section 5.11 </w:t>
      </w:r>
      <w:r>
        <w:rPr>
          <w:rFonts w:ascii="Arial" w:cs="Arial" w:eastAsia="Arial" w:hAnsi="Arial"/>
          <w:sz w:val="16"/>
          <w:szCs w:val="16"/>
          <w:u w:val="single" w:color="auto"/>
          <w:color w:val="000000"/>
        </w:rPr>
        <w:t>Certain Filings/Consents</w:t>
      </w:r>
      <w:r>
        <w:rPr>
          <w:rFonts w:ascii="Arial" w:cs="Arial" w:eastAsia="Arial" w:hAnsi="Arial"/>
          <w:sz w:val="16"/>
          <w:szCs w:val="16"/>
          <w:color w:val="000000"/>
        </w:rPr>
        <w:t>. From the date hereof until the earlier of the Closing Date or the termination of this Agreement, Sellers and</w:t>
      </w:r>
      <w:r>
        <w:rPr>
          <w:rFonts w:ascii="Arial" w:cs="Arial" w:eastAsia="Arial" w:hAnsi="Arial"/>
          <w:sz w:val="16"/>
          <w:szCs w:val="16"/>
          <w:color w:val="010000"/>
        </w:rPr>
        <w:t xml:space="preserve"> </w:t>
      </w:r>
      <w:r>
        <w:rPr>
          <w:rFonts w:ascii="Arial" w:cs="Arial" w:eastAsia="Arial" w:hAnsi="Arial"/>
          <w:sz w:val="16"/>
          <w:szCs w:val="16"/>
          <w:color w:val="000000"/>
        </w:rPr>
        <w:t xml:space="preserve">Buyer shall (i) cooperate with each other (A) in determining whether any action, consent, approval or waiver of, or registration, filing or application with, or giving of any notice to, any Governmental Authority or other Person (whether a party to a Material Contract or otherwise), in addition to those set forth in Section 3.03 of the Disclosure Letter and Section 4.03 of the Buyer Disclosure Letter, is necessary or advisable in connection with the consummation of the Contemplated Transactions; and (B) in obtaining any action, consent, approval or waiver, or making a registration, filing or application with, or giving any notice to, any Person identified pursuant to clause (A) of this sentence or </w:t>
      </w:r>
      <w:r>
        <w:rPr>
          <w:rFonts w:ascii="Arial" w:cs="Arial" w:eastAsia="Arial" w:hAnsi="Arial"/>
          <w:sz w:val="16"/>
          <w:szCs w:val="16"/>
          <w:u w:val="single" w:color="auto"/>
          <w:color w:val="000000"/>
        </w:rPr>
        <w:t>Section 5.11</w:t>
      </w:r>
      <w:r>
        <w:rPr>
          <w:rFonts w:ascii="Arial" w:cs="Arial" w:eastAsia="Arial" w:hAnsi="Arial"/>
          <w:sz w:val="16"/>
          <w:szCs w:val="16"/>
          <w:color w:val="000000"/>
        </w:rPr>
        <w:t xml:space="preserve"> or set forth in Section 3.03 of the Disclosure Letter or Section 4.03 of the Buyer Disclosure Letter; and (ii) seek to use their respective reasonable best efforts to obtain, make or give any of the foregoing on a timely basis.</w:t>
      </w:r>
    </w:p>
    <w:p>
      <w:pPr>
        <w:spacing w:after="0" w:line="172" w:lineRule="exact"/>
        <w:rPr>
          <w:sz w:val="20"/>
          <w:szCs w:val="20"/>
          <w:color w:val="auto"/>
        </w:rPr>
      </w:pPr>
    </w:p>
    <w:p>
      <w:pPr>
        <w:jc w:val="both"/>
        <w:ind w:firstLine="1195"/>
        <w:spacing w:after="0" w:line="290" w:lineRule="auto"/>
        <w:rPr>
          <w:sz w:val="20"/>
          <w:szCs w:val="20"/>
          <w:color w:val="auto"/>
        </w:rPr>
      </w:pPr>
      <w:r>
        <w:rPr>
          <w:rFonts w:ascii="Arial" w:cs="Arial" w:eastAsia="Arial" w:hAnsi="Arial"/>
          <w:sz w:val="15"/>
          <w:szCs w:val="15"/>
          <w:color w:val="010000"/>
        </w:rPr>
        <w:t xml:space="preserve">Section 5.12 </w:t>
      </w:r>
      <w:r>
        <w:rPr>
          <w:rFonts w:ascii="Arial" w:cs="Arial" w:eastAsia="Arial" w:hAnsi="Arial"/>
          <w:sz w:val="15"/>
          <w:szCs w:val="15"/>
          <w:u w:val="single" w:color="auto"/>
          <w:color w:val="000000"/>
        </w:rPr>
        <w:t>Public Announcements</w:t>
      </w:r>
      <w:r>
        <w:rPr>
          <w:rFonts w:ascii="Arial" w:cs="Arial" w:eastAsia="Arial" w:hAnsi="Arial"/>
          <w:sz w:val="15"/>
          <w:szCs w:val="15"/>
          <w:color w:val="000000"/>
        </w:rPr>
        <w:t>. Except for the Press Release, neither Buyer nor any Seller shall issue any press release or public announcement</w:t>
      </w:r>
      <w:r>
        <w:rPr>
          <w:rFonts w:ascii="Arial" w:cs="Arial" w:eastAsia="Arial" w:hAnsi="Arial"/>
          <w:sz w:val="15"/>
          <w:szCs w:val="15"/>
          <w:color w:val="010000"/>
        </w:rPr>
        <w:t xml:space="preserve"> </w:t>
      </w:r>
      <w:r>
        <w:rPr>
          <w:rFonts w:ascii="Arial" w:cs="Arial" w:eastAsia="Arial" w:hAnsi="Arial"/>
          <w:sz w:val="15"/>
          <w:szCs w:val="15"/>
          <w:color w:val="000000"/>
        </w:rPr>
        <w:t xml:space="preserve">concerning this Agreement or the Contemplated Transactions without obtaining the prior written approval of the other Parties (which approval shall not be unreasonably withheld, delayed or conditioned) unless, such Party is advised by outside legal counsel that disclosure is otherwise required by applicable Law; </w:t>
      </w:r>
      <w:r>
        <w:rPr>
          <w:rFonts w:ascii="Arial" w:cs="Arial" w:eastAsia="Arial" w:hAnsi="Arial"/>
          <w:sz w:val="15"/>
          <w:szCs w:val="15"/>
          <w:u w:val="single" w:color="auto"/>
          <w:color w:val="000000"/>
        </w:rPr>
        <w:t>provided</w:t>
      </w:r>
      <w:r>
        <w:rPr>
          <w:rFonts w:ascii="Arial" w:cs="Arial" w:eastAsia="Arial" w:hAnsi="Arial"/>
          <w:sz w:val="15"/>
          <w:szCs w:val="15"/>
          <w:color w:val="000000"/>
        </w:rPr>
        <w:t xml:space="preserve"> that, to the extent any such disclosure is required by applicable Law, the Party intending to make such disclosure shall use reasonable best efforts consistent with applicable Law to consult with the other Parties with respect to the content and timing of any such disclosure before such disclosure is made.</w:t>
      </w:r>
    </w:p>
    <w:p>
      <w:pPr>
        <w:spacing w:after="0" w:line="153" w:lineRule="exact"/>
        <w:rPr>
          <w:sz w:val="20"/>
          <w:szCs w:val="20"/>
          <w:color w:val="auto"/>
        </w:rPr>
      </w:pPr>
    </w:p>
    <w:p>
      <w:pPr>
        <w:ind w:left="1200"/>
        <w:spacing w:after="0"/>
        <w:tabs>
          <w:tab w:leader="none" w:pos="2220" w:val="left"/>
        </w:tabs>
        <w:rPr>
          <w:sz w:val="20"/>
          <w:szCs w:val="20"/>
          <w:color w:val="auto"/>
        </w:rPr>
      </w:pPr>
      <w:r>
        <w:rPr>
          <w:rFonts w:ascii="Arial" w:cs="Arial" w:eastAsia="Arial" w:hAnsi="Arial"/>
          <w:sz w:val="17"/>
          <w:szCs w:val="17"/>
          <w:color w:val="010000"/>
        </w:rPr>
        <w:t>Section 5.13</w:t>
      </w:r>
      <w:r>
        <w:rPr>
          <w:sz w:val="20"/>
          <w:szCs w:val="20"/>
          <w:color w:val="auto"/>
        </w:rPr>
        <w:tab/>
      </w:r>
      <w:r>
        <w:rPr>
          <w:rFonts w:ascii="Arial" w:cs="Arial" w:eastAsia="Arial" w:hAnsi="Arial"/>
          <w:sz w:val="15"/>
          <w:szCs w:val="15"/>
          <w:u w:val="single" w:color="auto"/>
          <w:color w:val="auto"/>
        </w:rPr>
        <w:t>Certain Tax Matters</w:t>
      </w:r>
      <w:r>
        <w:rPr>
          <w:rFonts w:ascii="Arial" w:cs="Arial" w:eastAsia="Arial" w:hAnsi="Arial"/>
          <w:sz w:val="15"/>
          <w:szCs w:val="15"/>
          <w:color w:val="auto"/>
        </w:rPr>
        <w:t>.</w:t>
      </w:r>
    </w:p>
    <w:p>
      <w:pPr>
        <w:spacing w:after="0" w:line="203" w:lineRule="exact"/>
        <w:rPr>
          <w:sz w:val="20"/>
          <w:szCs w:val="20"/>
          <w:color w:val="auto"/>
        </w:rPr>
      </w:pPr>
    </w:p>
    <w:p>
      <w:pPr>
        <w:jc w:val="both"/>
        <w:ind w:left="820" w:firstLine="599"/>
        <w:spacing w:after="0" w:line="271" w:lineRule="auto"/>
        <w:tabs>
          <w:tab w:leader="none" w:pos="2116" w:val="left"/>
        </w:tabs>
        <w:numPr>
          <w:ilvl w:val="0"/>
          <w:numId w:val="53"/>
        </w:numPr>
        <w:rPr>
          <w:rFonts w:ascii="Arial" w:cs="Arial" w:eastAsia="Arial" w:hAnsi="Arial"/>
          <w:sz w:val="16"/>
          <w:szCs w:val="16"/>
          <w:color w:val="010000"/>
        </w:rPr>
      </w:pPr>
      <w:r>
        <w:rPr>
          <w:rFonts w:ascii="Arial" w:cs="Arial" w:eastAsia="Arial" w:hAnsi="Arial"/>
          <w:sz w:val="16"/>
          <w:szCs w:val="16"/>
          <w:color w:val="auto"/>
        </w:rPr>
        <w:t>Buyer shall be liable for, and shall pay, in a due and timely manner any sales, use, value added, documentary, stamp duty, gross receipts, registration, transfer, transfer gain, conveyance, excise, recording, license and other similar Taxes (“</w:t>
      </w:r>
      <w:r>
        <w:rPr>
          <w:rFonts w:ascii="Arial" w:cs="Arial" w:eastAsia="Arial" w:hAnsi="Arial"/>
          <w:sz w:val="16"/>
          <w:szCs w:val="16"/>
          <w:u w:val="single" w:color="auto"/>
          <w:color w:val="auto"/>
        </w:rPr>
        <w:t>Transfer Taxes</w:t>
      </w:r>
      <w:r>
        <w:rPr>
          <w:rFonts w:ascii="Arial" w:cs="Arial" w:eastAsia="Arial" w:hAnsi="Arial"/>
          <w:sz w:val="16"/>
          <w:szCs w:val="16"/>
          <w:color w:val="auto"/>
        </w:rPr>
        <w:t>”) arising out of or in connection with or attributable to the transfer and sale of the Acquired Interests at the Closing. Buyer shall prepare all Tax Returns in respect of Transfer Taxes and Sellers shall use commercially reasonable efforts to cooperate in the preparation and filing of such returns.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56" w:name="page57"/>
    <w:bookmarkEnd w:id="56"/>
    <w:p>
      <w:pPr>
        <w:jc w:val="both"/>
        <w:ind w:left="820" w:firstLine="599"/>
        <w:spacing w:after="0" w:line="254" w:lineRule="auto"/>
        <w:tabs>
          <w:tab w:leader="none" w:pos="2038" w:val="left"/>
        </w:tabs>
        <w:numPr>
          <w:ilvl w:val="0"/>
          <w:numId w:val="54"/>
        </w:numPr>
        <w:rPr>
          <w:rFonts w:ascii="Arial" w:cs="Arial" w:eastAsia="Arial" w:hAnsi="Arial"/>
          <w:sz w:val="17"/>
          <w:szCs w:val="17"/>
          <w:color w:val="010000"/>
        </w:rPr>
      </w:pPr>
      <w:r>
        <w:rPr>
          <w:rFonts w:ascii="Arial" w:cs="Arial" w:eastAsia="Arial" w:hAnsi="Arial"/>
          <w:sz w:val="17"/>
          <w:szCs w:val="17"/>
          <w:color w:val="auto"/>
        </w:rPr>
        <w:t>With respect to the Company or any of its Subsidiaries, Buyer shall not amend any Tax Returns filed with respect to any taxable year ending on or before the Closing Date or make any Tax election or take any other action that has retroactive effect to any such taxable year, in each case, without the prior written consent of Sellers.</w:t>
      </w:r>
    </w:p>
    <w:p>
      <w:pPr>
        <w:spacing w:after="0" w:line="176" w:lineRule="exact"/>
        <w:rPr>
          <w:rFonts w:ascii="Arial" w:cs="Arial" w:eastAsia="Arial" w:hAnsi="Arial"/>
          <w:sz w:val="17"/>
          <w:szCs w:val="17"/>
          <w:color w:val="010000"/>
        </w:rPr>
      </w:pPr>
    </w:p>
    <w:p>
      <w:pPr>
        <w:jc w:val="both"/>
        <w:ind w:left="820" w:firstLine="599"/>
        <w:spacing w:after="0" w:line="286" w:lineRule="auto"/>
        <w:tabs>
          <w:tab w:leader="none" w:pos="2029" w:val="left"/>
        </w:tabs>
        <w:numPr>
          <w:ilvl w:val="0"/>
          <w:numId w:val="54"/>
        </w:numPr>
        <w:rPr>
          <w:rFonts w:ascii="Arial" w:cs="Arial" w:eastAsia="Arial" w:hAnsi="Arial"/>
          <w:sz w:val="15"/>
          <w:szCs w:val="15"/>
          <w:color w:val="010000"/>
        </w:rPr>
      </w:pPr>
      <w:r>
        <w:rPr>
          <w:rFonts w:ascii="Arial" w:cs="Arial" w:eastAsia="Arial" w:hAnsi="Arial"/>
          <w:sz w:val="15"/>
          <w:szCs w:val="15"/>
          <w:color w:val="auto"/>
        </w:rPr>
        <w:t>For federal (and applicable state and local) tax purposes (i) the contribution of the Acquired Interests by Sellers and the issuance to Sellers of the Consideration Shares in exchange therefor is intended to be treated as an “exchange” by Sellers of all of the assets of the Company within the meaning of Section 351(a) of the Code, and (ii) the acquisition of the Acquired Interests by Buyer is intended to be treated as the acquisition of the assets and assumption of the liabilities of the Company in accordance with IRS Revenue Ruling 99-6, Situation 2 (collectively, the “</w:t>
      </w:r>
      <w:r>
        <w:rPr>
          <w:rFonts w:ascii="Arial" w:cs="Arial" w:eastAsia="Arial" w:hAnsi="Arial"/>
          <w:sz w:val="15"/>
          <w:szCs w:val="15"/>
          <w:u w:val="single" w:color="auto"/>
          <w:color w:val="auto"/>
        </w:rPr>
        <w:t>Intended Tax Treatment</w:t>
      </w:r>
      <w:r>
        <w:rPr>
          <w:rFonts w:ascii="Arial" w:cs="Arial" w:eastAsia="Arial" w:hAnsi="Arial"/>
          <w:sz w:val="15"/>
          <w:szCs w:val="15"/>
          <w:color w:val="auto"/>
        </w:rPr>
        <w:t>”). No Party shall take any action, or fail to take any action, that would cause the contribution of the Acquired Interests by Sellers and the issuance to Sellers of the Consideration Shares by Buyer to fail to qualify for the Intended Tax Treatment. Except as otherwise required by applicable Law, no Party shall take any position on its Tax Returns or in connection with any Proceeding that is inconsistent with the Intended Tax Treatment.</w:t>
      </w:r>
    </w:p>
    <w:p>
      <w:pPr>
        <w:spacing w:after="0" w:line="155" w:lineRule="exact"/>
        <w:rPr>
          <w:sz w:val="20"/>
          <w:szCs w:val="20"/>
          <w:color w:val="auto"/>
        </w:rPr>
      </w:pPr>
    </w:p>
    <w:p>
      <w:pPr>
        <w:jc w:val="both"/>
        <w:ind w:firstLine="1195"/>
        <w:spacing w:after="0" w:line="267" w:lineRule="auto"/>
        <w:rPr>
          <w:sz w:val="20"/>
          <w:szCs w:val="20"/>
          <w:color w:val="auto"/>
        </w:rPr>
      </w:pPr>
      <w:r>
        <w:rPr>
          <w:rFonts w:ascii="Arial" w:cs="Arial" w:eastAsia="Arial" w:hAnsi="Arial"/>
          <w:sz w:val="16"/>
          <w:szCs w:val="16"/>
          <w:color w:val="010000"/>
        </w:rPr>
        <w:t xml:space="preserve">Section 5.14 </w:t>
      </w:r>
      <w:r>
        <w:rPr>
          <w:rFonts w:ascii="Arial" w:cs="Arial" w:eastAsia="Arial" w:hAnsi="Arial"/>
          <w:sz w:val="16"/>
          <w:szCs w:val="16"/>
          <w:u w:val="single" w:color="auto"/>
          <w:color w:val="000000"/>
        </w:rPr>
        <w:t>No Claim Against Trust Account</w:t>
      </w:r>
      <w:r>
        <w:rPr>
          <w:rFonts w:ascii="Arial" w:cs="Arial" w:eastAsia="Arial" w:hAnsi="Arial"/>
          <w:sz w:val="16"/>
          <w:szCs w:val="16"/>
          <w:color w:val="000000"/>
        </w:rPr>
        <w:t>. Sellers have read the final prospectus of Buyer, dated September 13, 2016 (the “</w:t>
      </w:r>
      <w:r>
        <w:rPr>
          <w:rFonts w:ascii="Arial" w:cs="Arial" w:eastAsia="Arial" w:hAnsi="Arial"/>
          <w:sz w:val="16"/>
          <w:szCs w:val="16"/>
          <w:u w:val="single" w:color="auto"/>
          <w:color w:val="000000"/>
        </w:rPr>
        <w:t>Prospectus</w:t>
      </w:r>
      <w:r>
        <w:rPr>
          <w:rFonts w:ascii="Arial" w:cs="Arial" w:eastAsia="Arial" w:hAnsi="Arial"/>
          <w:sz w:val="16"/>
          <w:szCs w:val="16"/>
          <w:color w:val="000000"/>
        </w:rPr>
        <w:t>”), and</w:t>
      </w:r>
      <w:r>
        <w:rPr>
          <w:rFonts w:ascii="Arial" w:cs="Arial" w:eastAsia="Arial" w:hAnsi="Arial"/>
          <w:sz w:val="16"/>
          <w:szCs w:val="16"/>
          <w:color w:val="010000"/>
        </w:rPr>
        <w:t xml:space="preserve"> </w:t>
      </w:r>
      <w:r>
        <w:rPr>
          <w:rFonts w:ascii="Arial" w:cs="Arial" w:eastAsia="Arial" w:hAnsi="Arial"/>
          <w:sz w:val="16"/>
          <w:szCs w:val="16"/>
          <w:color w:val="000000"/>
        </w:rPr>
        <w:t>understand that Buyer has established the Trust Account for the benefit of the public stockholders of Buyer and the Underwriters pursuant to the Trust Agreement and that, except for a portion of the interest earned on the amounts held in the Trust Account, Buyer may disburse monies from the trust account only for the purposes set forth in the Trust Agreement. For and in consideration of Buyer agreeing to enter into this Agreement with the Company, Sellers each hereby agree that they do not have any right, title, interest or claim of any kind in or to any monies in the Trust Account and hereby agrees that it will not seek recourse against the Trust Account for any claim it may have in the future as a result of, or arising out of, any negotiations, contracts or agreements with Buyer.</w:t>
      </w:r>
    </w:p>
    <w:p>
      <w:pPr>
        <w:spacing w:after="0" w:line="166" w:lineRule="exact"/>
        <w:rPr>
          <w:sz w:val="20"/>
          <w:szCs w:val="20"/>
          <w:color w:val="auto"/>
        </w:rPr>
      </w:pPr>
    </w:p>
    <w:p>
      <w:pPr>
        <w:ind w:left="1200"/>
        <w:spacing w:after="0"/>
        <w:tabs>
          <w:tab w:leader="none" w:pos="2220" w:val="left"/>
        </w:tabs>
        <w:rPr>
          <w:sz w:val="20"/>
          <w:szCs w:val="20"/>
          <w:color w:val="auto"/>
        </w:rPr>
      </w:pPr>
      <w:r>
        <w:rPr>
          <w:rFonts w:ascii="Arial" w:cs="Arial" w:eastAsia="Arial" w:hAnsi="Arial"/>
          <w:sz w:val="17"/>
          <w:szCs w:val="17"/>
          <w:color w:val="010000"/>
        </w:rPr>
        <w:t>Section 5.15</w:t>
      </w:r>
      <w:r>
        <w:rPr>
          <w:sz w:val="20"/>
          <w:szCs w:val="20"/>
          <w:color w:val="auto"/>
        </w:rPr>
        <w:tab/>
      </w:r>
      <w:r>
        <w:rPr>
          <w:rFonts w:ascii="Arial" w:cs="Arial" w:eastAsia="Arial" w:hAnsi="Arial"/>
          <w:sz w:val="15"/>
          <w:szCs w:val="15"/>
          <w:u w:val="single" w:color="auto"/>
          <w:color w:val="auto"/>
        </w:rPr>
        <w:t>Earnout Incentive Plan</w:t>
      </w:r>
      <w:r>
        <w:rPr>
          <w:rFonts w:ascii="Arial" w:cs="Arial" w:eastAsia="Arial" w:hAnsi="Arial"/>
          <w:sz w:val="15"/>
          <w:szCs w:val="15"/>
          <w:color w:val="auto"/>
        </w:rPr>
        <w:t>.</w:t>
      </w:r>
    </w:p>
    <w:p>
      <w:pPr>
        <w:spacing w:after="0" w:line="203" w:lineRule="exact"/>
        <w:rPr>
          <w:sz w:val="20"/>
          <w:szCs w:val="20"/>
          <w:color w:val="auto"/>
        </w:rPr>
      </w:pPr>
    </w:p>
    <w:p>
      <w:pPr>
        <w:ind w:left="2120" w:hanging="701"/>
        <w:spacing w:after="0"/>
        <w:tabs>
          <w:tab w:leader="none" w:pos="2120" w:val="left"/>
        </w:tabs>
        <w:numPr>
          <w:ilvl w:val="0"/>
          <w:numId w:val="55"/>
        </w:numPr>
        <w:rPr>
          <w:rFonts w:ascii="Arial" w:cs="Arial" w:eastAsia="Arial" w:hAnsi="Arial"/>
          <w:sz w:val="15"/>
          <w:szCs w:val="15"/>
          <w:color w:val="010000"/>
        </w:rPr>
      </w:pPr>
      <w:r>
        <w:rPr>
          <w:rFonts w:ascii="Arial" w:cs="Arial" w:eastAsia="Arial" w:hAnsi="Arial"/>
          <w:sz w:val="15"/>
          <w:szCs w:val="15"/>
          <w:color w:val="auto"/>
        </w:rPr>
        <w:t>At or prior to the Closing, Buyer shall adopt an incentive equity plan (the “</w:t>
      </w:r>
      <w:r>
        <w:rPr>
          <w:rFonts w:ascii="Arial" w:cs="Arial" w:eastAsia="Arial" w:hAnsi="Arial"/>
          <w:sz w:val="15"/>
          <w:szCs w:val="15"/>
          <w:u w:val="single" w:color="auto"/>
          <w:color w:val="auto"/>
        </w:rPr>
        <w:t>Earnout Incentive Plan</w:t>
      </w:r>
      <w:r>
        <w:rPr>
          <w:rFonts w:ascii="Arial" w:cs="Arial" w:eastAsia="Arial" w:hAnsi="Arial"/>
          <w:sz w:val="15"/>
          <w:szCs w:val="15"/>
          <w:color w:val="auto"/>
        </w:rPr>
        <w:t>”) substantially in the form attached as</w:t>
      </w:r>
    </w:p>
    <w:p>
      <w:pPr>
        <w:spacing w:after="0" w:line="39" w:lineRule="exact"/>
        <w:rPr>
          <w:rFonts w:ascii="Arial" w:cs="Arial" w:eastAsia="Arial" w:hAnsi="Arial"/>
          <w:sz w:val="15"/>
          <w:szCs w:val="15"/>
          <w:color w:val="010000"/>
        </w:rPr>
      </w:pPr>
    </w:p>
    <w:p>
      <w:pPr>
        <w:ind w:left="820"/>
        <w:spacing w:after="0"/>
        <w:rPr>
          <w:rFonts w:ascii="Arial" w:cs="Arial" w:eastAsia="Arial" w:hAnsi="Arial"/>
          <w:sz w:val="15"/>
          <w:szCs w:val="15"/>
          <w:color w:val="010000"/>
        </w:rPr>
      </w:pP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hereto.</w:t>
      </w:r>
    </w:p>
    <w:p>
      <w:pPr>
        <w:spacing w:after="0" w:line="190" w:lineRule="exact"/>
        <w:rPr>
          <w:rFonts w:ascii="Arial" w:cs="Arial" w:eastAsia="Arial" w:hAnsi="Arial"/>
          <w:sz w:val="15"/>
          <w:szCs w:val="15"/>
          <w:color w:val="010000"/>
        </w:rPr>
      </w:pPr>
    </w:p>
    <w:p>
      <w:pPr>
        <w:jc w:val="both"/>
        <w:ind w:left="820" w:firstLine="599"/>
        <w:spacing w:after="0" w:line="286" w:lineRule="auto"/>
        <w:tabs>
          <w:tab w:leader="none" w:pos="2063" w:val="left"/>
        </w:tabs>
        <w:numPr>
          <w:ilvl w:val="0"/>
          <w:numId w:val="55"/>
        </w:numPr>
        <w:rPr>
          <w:rFonts w:ascii="Arial" w:cs="Arial" w:eastAsia="Arial" w:hAnsi="Arial"/>
          <w:sz w:val="15"/>
          <w:szCs w:val="15"/>
          <w:color w:val="010000"/>
        </w:rPr>
      </w:pPr>
      <w:r>
        <w:rPr>
          <w:rFonts w:ascii="Arial" w:cs="Arial" w:eastAsia="Arial" w:hAnsi="Arial"/>
          <w:sz w:val="15"/>
          <w:szCs w:val="15"/>
          <w:color w:val="auto"/>
        </w:rPr>
        <w:t xml:space="preserve">If Buyer would be permitted to issue any shares of Common Stock pursuant to Section 2.1(a)(i) of the Earnout Incentive Plan as in effect as of the Closing, then Buyer shall issue 1,960,000 shares of Common Stock to the Sellers or their respective designees. If Buyer would be permitted to issue 2,940,000 shares of Common Stock pursuant to Section 2.1(a)(ii) the Earnout Incentive Plan as in effect as of the Closing, then Buyer shall issue 1,960,000 shares of Common Stock to the Sellers or their respective designees. If Buyer would be permitted to issue 5,880,000 shares of Common Stock pursuant to Section 2.1(a)(iii) of the Earnout Incentive Plan as in effect as of the Closing, then Buyer shall issue 3,920,000 shares of Common Stock to Sellers or their respective designees. For the avoidance of doubt, this </w:t>
      </w:r>
      <w:r>
        <w:rPr>
          <w:rFonts w:ascii="Arial" w:cs="Arial" w:eastAsia="Arial" w:hAnsi="Arial"/>
          <w:sz w:val="15"/>
          <w:szCs w:val="15"/>
          <w:u w:val="single" w:color="auto"/>
          <w:color w:val="auto"/>
        </w:rPr>
        <w:t>Section 5.15(b)</w:t>
      </w:r>
      <w:r>
        <w:rPr>
          <w:rFonts w:ascii="Arial" w:cs="Arial" w:eastAsia="Arial" w:hAnsi="Arial"/>
          <w:sz w:val="15"/>
          <w:szCs w:val="15"/>
          <w:color w:val="auto"/>
        </w:rPr>
        <w:t xml:space="preserve"> shall not be interpreted to authorize the issuance of shares of Common Stock to Sellers in excess of 3,920,000. PIEH hereby designates PIH as its designee for purposes of this </w:t>
      </w:r>
      <w:r>
        <w:rPr>
          <w:rFonts w:ascii="Arial" w:cs="Arial" w:eastAsia="Arial" w:hAnsi="Arial"/>
          <w:sz w:val="15"/>
          <w:szCs w:val="15"/>
          <w:u w:val="single" w:color="auto"/>
          <w:color w:val="auto"/>
        </w:rPr>
        <w:t>Section 5.15(b)</w:t>
      </w:r>
      <w:r>
        <w:rPr>
          <w:rFonts w:ascii="Arial" w:cs="Arial" w:eastAsia="Arial" w:hAnsi="Arial"/>
          <w:sz w:val="15"/>
          <w:szCs w:val="15"/>
          <w:color w:val="auto"/>
        </w:rPr>
        <w: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57" w:name="page58"/>
    <w:bookmarkEnd w:id="57"/>
    <w:p>
      <w:pPr>
        <w:jc w:val="both"/>
        <w:ind w:firstLine="1195"/>
        <w:spacing w:after="0" w:line="304" w:lineRule="auto"/>
        <w:rPr>
          <w:sz w:val="20"/>
          <w:szCs w:val="20"/>
          <w:color w:val="auto"/>
        </w:rPr>
      </w:pPr>
      <w:r>
        <w:rPr>
          <w:rFonts w:ascii="Arial" w:cs="Arial" w:eastAsia="Arial" w:hAnsi="Arial"/>
          <w:sz w:val="15"/>
          <w:szCs w:val="15"/>
          <w:color w:val="010000"/>
        </w:rPr>
        <w:t xml:space="preserve">Section 5.16 </w:t>
      </w:r>
      <w:r>
        <w:rPr>
          <w:rFonts w:ascii="Arial" w:cs="Arial" w:eastAsia="Arial" w:hAnsi="Arial"/>
          <w:sz w:val="15"/>
          <w:szCs w:val="15"/>
          <w:u w:val="single" w:color="auto"/>
          <w:color w:val="000000"/>
        </w:rPr>
        <w:t>D&amp;O Insurance</w:t>
      </w:r>
      <w:r>
        <w:rPr>
          <w:rFonts w:ascii="Arial" w:cs="Arial" w:eastAsia="Arial" w:hAnsi="Arial"/>
          <w:sz w:val="15"/>
          <w:szCs w:val="15"/>
          <w:color w:val="000000"/>
        </w:rPr>
        <w:t>. Prior to the Closing, Buyer shall purchase a “tail” directors’ and officers’ liability insurance policy (the “</w:t>
      </w:r>
      <w:r>
        <w:rPr>
          <w:rFonts w:ascii="Arial" w:cs="Arial" w:eastAsia="Arial" w:hAnsi="Arial"/>
          <w:sz w:val="15"/>
          <w:szCs w:val="15"/>
          <w:u w:val="single" w:color="auto"/>
          <w:color w:val="000000"/>
        </w:rPr>
        <w:t>D&amp;O Policy</w:t>
      </w:r>
      <w:r>
        <w:rPr>
          <w:rFonts w:ascii="Arial" w:cs="Arial" w:eastAsia="Arial" w:hAnsi="Arial"/>
          <w:sz w:val="15"/>
          <w:szCs w:val="15"/>
          <w:color w:val="000000"/>
        </w:rPr>
        <w:t>”)</w:t>
      </w:r>
      <w:r>
        <w:rPr>
          <w:rFonts w:ascii="Arial" w:cs="Arial" w:eastAsia="Arial" w:hAnsi="Arial"/>
          <w:sz w:val="15"/>
          <w:szCs w:val="15"/>
          <w:color w:val="010000"/>
        </w:rPr>
        <w:t xml:space="preserve"> </w:t>
      </w:r>
      <w:r>
        <w:rPr>
          <w:rFonts w:ascii="Arial" w:cs="Arial" w:eastAsia="Arial" w:hAnsi="Arial"/>
          <w:sz w:val="15"/>
          <w:szCs w:val="15"/>
          <w:color w:val="000000"/>
        </w:rPr>
        <w:t>effective as of Closing that (a) has an effective term of six (6) years from the Closing, (b) covers each of the officers and directors of the Buyer as of immediately prior to the Closing and (c) contains terms that are substantially comparable those of Buyer’s directors’ and officers’ insurance coverage in effect on the date hereof.</w:t>
      </w:r>
    </w:p>
    <w:p>
      <w:pPr>
        <w:spacing w:after="0" w:line="141" w:lineRule="exact"/>
        <w:rPr>
          <w:sz w:val="20"/>
          <w:szCs w:val="20"/>
          <w:color w:val="auto"/>
        </w:rPr>
      </w:pPr>
    </w:p>
    <w:p>
      <w:pPr>
        <w:ind w:left="1200"/>
        <w:spacing w:after="0"/>
        <w:tabs>
          <w:tab w:leader="none" w:pos="2220" w:val="left"/>
        </w:tabs>
        <w:rPr>
          <w:sz w:val="20"/>
          <w:szCs w:val="20"/>
          <w:color w:val="auto"/>
        </w:rPr>
      </w:pPr>
      <w:r>
        <w:rPr>
          <w:rFonts w:ascii="Arial" w:cs="Arial" w:eastAsia="Arial" w:hAnsi="Arial"/>
          <w:sz w:val="17"/>
          <w:szCs w:val="17"/>
          <w:color w:val="010000"/>
        </w:rPr>
        <w:t>Section 5.17</w:t>
      </w:r>
      <w:r>
        <w:rPr>
          <w:sz w:val="20"/>
          <w:szCs w:val="20"/>
          <w:color w:val="auto"/>
        </w:rPr>
        <w:tab/>
      </w:r>
      <w:r>
        <w:rPr>
          <w:rFonts w:ascii="Arial" w:cs="Arial" w:eastAsia="Arial" w:hAnsi="Arial"/>
          <w:sz w:val="13"/>
          <w:szCs w:val="13"/>
          <w:u w:val="single" w:color="auto"/>
          <w:color w:val="auto"/>
        </w:rPr>
        <w:t>Trust Extension</w:t>
      </w:r>
      <w:r>
        <w:rPr>
          <w:rFonts w:ascii="Arial" w:cs="Arial" w:eastAsia="Arial" w:hAnsi="Arial"/>
          <w:sz w:val="13"/>
          <w:szCs w:val="13"/>
          <w:color w:val="auto"/>
        </w:rPr>
        <w:t>.</w:t>
      </w:r>
    </w:p>
    <w:p>
      <w:pPr>
        <w:spacing w:after="0" w:line="203" w:lineRule="exact"/>
        <w:rPr>
          <w:sz w:val="20"/>
          <w:szCs w:val="20"/>
          <w:color w:val="auto"/>
        </w:rPr>
      </w:pPr>
    </w:p>
    <w:p>
      <w:pPr>
        <w:jc w:val="both"/>
        <w:ind w:left="820" w:firstLine="599"/>
        <w:spacing w:after="0" w:line="288" w:lineRule="auto"/>
        <w:tabs>
          <w:tab w:leader="none" w:pos="2141" w:val="left"/>
        </w:tabs>
        <w:numPr>
          <w:ilvl w:val="0"/>
          <w:numId w:val="56"/>
        </w:numPr>
        <w:rPr>
          <w:rFonts w:ascii="Arial" w:cs="Arial" w:eastAsia="Arial" w:hAnsi="Arial"/>
          <w:sz w:val="15"/>
          <w:szCs w:val="15"/>
          <w:color w:val="010000"/>
        </w:rPr>
      </w:pPr>
      <w:r>
        <w:rPr>
          <w:rFonts w:ascii="Arial" w:cs="Arial" w:eastAsia="Arial" w:hAnsi="Arial"/>
          <w:sz w:val="15"/>
          <w:szCs w:val="15"/>
          <w:color w:val="auto"/>
        </w:rPr>
        <w:t>In the event that the Closing has not taken place on or before the date that is the 18-month anniversary of the IPO (the “</w:t>
      </w:r>
      <w:r>
        <w:rPr>
          <w:rFonts w:ascii="Arial" w:cs="Arial" w:eastAsia="Arial" w:hAnsi="Arial"/>
          <w:sz w:val="15"/>
          <w:szCs w:val="15"/>
          <w:u w:val="single" w:color="auto"/>
          <w:color w:val="auto"/>
        </w:rPr>
        <w:t>First Extension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Deadline</w:t>
      </w:r>
      <w:r>
        <w:rPr>
          <w:rFonts w:ascii="Arial" w:cs="Arial" w:eastAsia="Arial" w:hAnsi="Arial"/>
          <w:sz w:val="15"/>
          <w:szCs w:val="15"/>
          <w:color w:val="auto"/>
        </w:rPr>
        <w:t>”), Buyer hereby agrees, in order to extend the time the Buyer has available to complete a Business Combination pursuant to Section 1(l) of the Trust Agreement, to deposit an amount in cash equal to $132,753 (the “</w:t>
      </w:r>
      <w:r>
        <w:rPr>
          <w:rFonts w:ascii="Arial" w:cs="Arial" w:eastAsia="Arial" w:hAnsi="Arial"/>
          <w:sz w:val="15"/>
          <w:szCs w:val="15"/>
          <w:u w:val="single" w:color="auto"/>
          <w:color w:val="auto"/>
        </w:rPr>
        <w:t>Extension Deposit Amount</w:t>
      </w:r>
      <w:r>
        <w:rPr>
          <w:rFonts w:ascii="Arial" w:cs="Arial" w:eastAsia="Arial" w:hAnsi="Arial"/>
          <w:sz w:val="15"/>
          <w:szCs w:val="15"/>
          <w:color w:val="auto"/>
        </w:rPr>
        <w:t xml:space="preserve">”) into the Trust Account on or before the First Extension Deadline;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(i) the Extension Deposit Amount is paid by Buyer pursuant to this </w:t>
      </w:r>
      <w:r>
        <w:rPr>
          <w:rFonts w:ascii="Arial" w:cs="Arial" w:eastAsia="Arial" w:hAnsi="Arial"/>
          <w:sz w:val="15"/>
          <w:szCs w:val="15"/>
          <w:u w:val="single" w:color="auto"/>
          <w:color w:val="auto"/>
        </w:rPr>
        <w:t>Section 5.17(a)</w:t>
      </w:r>
      <w:r>
        <w:rPr>
          <w:rFonts w:ascii="Arial" w:cs="Arial" w:eastAsia="Arial" w:hAnsi="Arial"/>
          <w:sz w:val="15"/>
          <w:szCs w:val="15"/>
          <w:color w:val="auto"/>
        </w:rPr>
        <w:t xml:space="preserve"> and (ii) the Closing has occurred on or prior to the Second Extension Deadline, then Sellers shall reimburse Buyer for one-half of the Extension Deposit Amount;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for the avoidance of doubt, if any Extension Deposit Amount is paid by Sellers pursuant to </w:t>
      </w:r>
      <w:r>
        <w:rPr>
          <w:rFonts w:ascii="Arial" w:cs="Arial" w:eastAsia="Arial" w:hAnsi="Arial"/>
          <w:sz w:val="15"/>
          <w:szCs w:val="15"/>
          <w:u w:val="single" w:color="auto"/>
          <w:color w:val="auto"/>
        </w:rPr>
        <w:t>Section 5.17(b)</w:t>
      </w:r>
      <w:r>
        <w:rPr>
          <w:rFonts w:ascii="Arial" w:cs="Arial" w:eastAsia="Arial" w:hAnsi="Arial"/>
          <w:sz w:val="15"/>
          <w:szCs w:val="15"/>
          <w:color w:val="auto"/>
        </w:rPr>
        <w:t>, then Buyer shall not be entitled to any such reimbursement.</w:t>
      </w:r>
    </w:p>
    <w:p>
      <w:pPr>
        <w:spacing w:after="0" w:line="152" w:lineRule="exact"/>
        <w:rPr>
          <w:rFonts w:ascii="Arial" w:cs="Arial" w:eastAsia="Arial" w:hAnsi="Arial"/>
          <w:sz w:val="15"/>
          <w:szCs w:val="15"/>
          <w:color w:val="010000"/>
        </w:rPr>
      </w:pPr>
    </w:p>
    <w:p>
      <w:pPr>
        <w:jc w:val="both"/>
        <w:ind w:left="820" w:firstLine="599"/>
        <w:spacing w:after="0" w:line="271" w:lineRule="auto"/>
        <w:tabs>
          <w:tab w:leader="none" w:pos="2101" w:val="left"/>
        </w:tabs>
        <w:numPr>
          <w:ilvl w:val="0"/>
          <w:numId w:val="56"/>
        </w:numPr>
        <w:rPr>
          <w:rFonts w:ascii="Arial" w:cs="Arial" w:eastAsia="Arial" w:hAnsi="Arial"/>
          <w:sz w:val="16"/>
          <w:szCs w:val="16"/>
          <w:color w:val="010000"/>
        </w:rPr>
      </w:pPr>
      <w:r>
        <w:rPr>
          <w:rFonts w:ascii="Arial" w:cs="Arial" w:eastAsia="Arial" w:hAnsi="Arial"/>
          <w:sz w:val="16"/>
          <w:szCs w:val="16"/>
          <w:color w:val="auto"/>
        </w:rPr>
        <w:t>In the event that the Closing has not taken place on or before the date that is the 19-month anniversary of the IPO (the “</w:t>
      </w:r>
      <w:r>
        <w:rPr>
          <w:rFonts w:ascii="Arial" w:cs="Arial" w:eastAsia="Arial" w:hAnsi="Arial"/>
          <w:sz w:val="16"/>
          <w:szCs w:val="16"/>
          <w:u w:val="single" w:color="auto"/>
          <w:color w:val="auto"/>
        </w:rPr>
        <w:t>Second Extension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Deadline</w:t>
      </w:r>
      <w:r>
        <w:rPr>
          <w:rFonts w:ascii="Arial" w:cs="Arial" w:eastAsia="Arial" w:hAnsi="Arial"/>
          <w:sz w:val="16"/>
          <w:szCs w:val="16"/>
          <w:color w:val="auto"/>
        </w:rPr>
        <w:t>”) or the 20- month anniversary of the IPO (the “</w:t>
      </w:r>
      <w:r>
        <w:rPr>
          <w:rFonts w:ascii="Arial" w:cs="Arial" w:eastAsia="Arial" w:hAnsi="Arial"/>
          <w:sz w:val="16"/>
          <w:szCs w:val="16"/>
          <w:u w:val="single" w:color="auto"/>
          <w:color w:val="auto"/>
        </w:rPr>
        <w:t>Third Extension Deadline</w:t>
      </w:r>
      <w:r>
        <w:rPr>
          <w:rFonts w:ascii="Arial" w:cs="Arial" w:eastAsia="Arial" w:hAnsi="Arial"/>
          <w:sz w:val="16"/>
          <w:szCs w:val="16"/>
          <w:color w:val="auto"/>
        </w:rPr>
        <w:t>”), Sellers hereby agree, in order to extend the time Buyer has available to complete a Business Combination pursuant to Section 1(l) of the Trust Agreement, to deposit an amount in cash equal to the Extension Deposit Amount into the Trust Account on or before the Second Extension Deadline and the Third Extension Deadline, as applicable.</w:t>
      </w:r>
    </w:p>
    <w:p>
      <w:pPr>
        <w:spacing w:after="0" w:line="164" w:lineRule="exact"/>
        <w:rPr>
          <w:rFonts w:ascii="Arial" w:cs="Arial" w:eastAsia="Arial" w:hAnsi="Arial"/>
          <w:sz w:val="16"/>
          <w:szCs w:val="16"/>
          <w:color w:val="010000"/>
        </w:rPr>
      </w:pPr>
    </w:p>
    <w:p>
      <w:pPr>
        <w:jc w:val="both"/>
        <w:ind w:left="820" w:firstLine="599"/>
        <w:spacing w:after="0" w:line="282" w:lineRule="auto"/>
        <w:tabs>
          <w:tab w:leader="none" w:pos="2079" w:val="left"/>
        </w:tabs>
        <w:numPr>
          <w:ilvl w:val="0"/>
          <w:numId w:val="56"/>
        </w:numPr>
        <w:rPr>
          <w:rFonts w:ascii="Arial" w:cs="Arial" w:eastAsia="Arial" w:hAnsi="Arial"/>
          <w:sz w:val="15"/>
          <w:szCs w:val="15"/>
          <w:color w:val="010000"/>
        </w:rPr>
      </w:pPr>
      <w:r>
        <w:rPr>
          <w:rFonts w:ascii="Arial" w:cs="Arial" w:eastAsia="Arial" w:hAnsi="Arial"/>
          <w:sz w:val="15"/>
          <w:szCs w:val="15"/>
          <w:color w:val="auto"/>
        </w:rPr>
        <w:t>If either Buyer or Sellers reasonably believe that the Closing may not occur on or prior to June 18, 2018 but that the Parties are reasonably capable of causing the Closing to occur on or prior to September 18, 2018, then, at the request of the Sellers’ Representative, Buyer shall (i) seek the approval of the Buyer Stockholders to extend the deadline for Buyer to consummate a Business Combination beyond June 18, 2018 to a date no earlier than September 18, 2018 (or such other date as Sellers’ Representative and Buyer may otherwise agree, and which may be structured, as agreed by the Buyer and the Sellers’ Representative, as multiple monthly or other periodic extensions at the election of Buyer (which Buyer will elect to extend, in each case, at the written request of the Sellers’ Representative) without the requirement to seek additional Buyer stockholder approval (such applicable date, the “</w:t>
      </w:r>
      <w:r>
        <w:rPr>
          <w:rFonts w:ascii="Arial" w:cs="Arial" w:eastAsia="Arial" w:hAnsi="Arial"/>
          <w:sz w:val="15"/>
          <w:szCs w:val="15"/>
          <w:u w:val="single" w:color="auto"/>
          <w:color w:val="auto"/>
        </w:rPr>
        <w:t>Additional Extension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Deadline</w:t>
      </w:r>
      <w:r>
        <w:rPr>
          <w:rFonts w:ascii="Arial" w:cs="Arial" w:eastAsia="Arial" w:hAnsi="Arial"/>
          <w:sz w:val="15"/>
          <w:szCs w:val="15"/>
          <w:color w:val="auto"/>
        </w:rPr>
        <w:t>”) and (ii) use commercially reasonable efforts to obtain such approval. Without limiting the foregoing, in order to seek such approval, on or prior to April 18, 2018 (or such other date as the Sellers’ Representative and Buyer may otherwise agree), Buyer shall prepare and file with the SEC under the Exchange Act, and with all other applicable regulatory bodies, materials in the form of a preliminary proxy statement (the “</w:t>
      </w:r>
      <w:r>
        <w:rPr>
          <w:rFonts w:ascii="Arial" w:cs="Arial" w:eastAsia="Arial" w:hAnsi="Arial"/>
          <w:sz w:val="15"/>
          <w:szCs w:val="15"/>
          <w:u w:val="single" w:color="auto"/>
          <w:color w:val="auto"/>
        </w:rPr>
        <w:t>Extension Proxy Statement</w:t>
      </w:r>
      <w:r>
        <w:rPr>
          <w:rFonts w:ascii="Arial" w:cs="Arial" w:eastAsia="Arial" w:hAnsi="Arial"/>
          <w:sz w:val="15"/>
          <w:szCs w:val="15"/>
          <w:color w:val="auto"/>
        </w:rPr>
        <w:t>”) to be used for the purpose of soliciting proxies from the Buyer Stockholders to approve, at a special meeting of the Buyer Stockholders to be held prior to June 18, 2018, an amendment to Buyer’s certificate of incorporation to extend the deadline for Buyer to consummate a Business Combination to the Additional Extension Deadline, and providing the Buyer Stockholders with an opportunity to have their Buyer Common Shares redeemed in connection therewith.</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58" w:name="page59"/>
    <w:bookmarkEnd w:id="58"/>
    <w:p>
      <w:pPr>
        <w:jc w:val="both"/>
        <w:ind w:firstLine="1195"/>
        <w:spacing w:after="0" w:line="288" w:lineRule="auto"/>
        <w:rPr>
          <w:sz w:val="20"/>
          <w:szCs w:val="20"/>
          <w:color w:val="auto"/>
        </w:rPr>
      </w:pPr>
      <w:r>
        <w:rPr>
          <w:rFonts w:ascii="Arial" w:cs="Arial" w:eastAsia="Arial" w:hAnsi="Arial"/>
          <w:sz w:val="15"/>
          <w:szCs w:val="15"/>
          <w:color w:val="010000"/>
        </w:rPr>
        <w:t xml:space="preserve">Section 5.18 </w:t>
      </w:r>
      <w:r>
        <w:rPr>
          <w:rFonts w:ascii="Arial" w:cs="Arial" w:eastAsia="Arial" w:hAnsi="Arial"/>
          <w:sz w:val="15"/>
          <w:szCs w:val="15"/>
          <w:u w:val="single" w:color="auto"/>
          <w:color w:val="000000"/>
        </w:rPr>
        <w:t>Goldman Warrant</w:t>
      </w:r>
      <w:r>
        <w:rPr>
          <w:rFonts w:ascii="Arial" w:cs="Arial" w:eastAsia="Arial" w:hAnsi="Arial"/>
          <w:sz w:val="15"/>
          <w:szCs w:val="15"/>
          <w:color w:val="000000"/>
        </w:rPr>
        <w:t>. At the Closing, Buyer shall issue to GS &amp; Co. a warrant (the “</w:t>
      </w:r>
      <w:r>
        <w:rPr>
          <w:rFonts w:ascii="Arial" w:cs="Arial" w:eastAsia="Arial" w:hAnsi="Arial"/>
          <w:sz w:val="15"/>
          <w:szCs w:val="15"/>
          <w:u w:val="single" w:color="auto"/>
          <w:color w:val="000000"/>
        </w:rPr>
        <w:t>Replacement GS Warrant</w:t>
      </w:r>
      <w:r>
        <w:rPr>
          <w:rFonts w:ascii="Arial" w:cs="Arial" w:eastAsia="Arial" w:hAnsi="Arial"/>
          <w:sz w:val="15"/>
          <w:szCs w:val="15"/>
          <w:color w:val="000000"/>
        </w:rPr>
        <w:t>”), in exchange for the</w:t>
      </w:r>
      <w:r>
        <w:rPr>
          <w:rFonts w:ascii="Arial" w:cs="Arial" w:eastAsia="Arial" w:hAnsi="Arial"/>
          <w:sz w:val="15"/>
          <w:szCs w:val="15"/>
          <w:color w:val="010000"/>
        </w:rPr>
        <w:t xml:space="preserve"> </w:t>
      </w:r>
      <w:r>
        <w:rPr>
          <w:rFonts w:ascii="Arial" w:cs="Arial" w:eastAsia="Arial" w:hAnsi="Arial"/>
          <w:sz w:val="15"/>
          <w:szCs w:val="15"/>
          <w:color w:val="000000"/>
        </w:rPr>
        <w:t xml:space="preserve">cancellation of the Goldman Warrant, on substantially the same terms of the Goldman Warrant and in a form acceptable to the Sellers’ Representative and GS &amp; Co., which shall be exercisable for an aggregate number of shares of Common Stock, rounded to the nearest whole share, equal to (a) (i)0.0217 </w:t>
      </w:r>
      <w:r>
        <w:rPr>
          <w:rFonts w:ascii="Arial" w:cs="Arial" w:eastAsia="Arial" w:hAnsi="Arial"/>
          <w:sz w:val="15"/>
          <w:szCs w:val="15"/>
          <w:u w:val="single" w:color="auto"/>
          <w:color w:val="000000"/>
        </w:rPr>
        <w:t>multiplied by</w:t>
      </w:r>
      <w:r>
        <w:rPr>
          <w:rFonts w:ascii="Arial" w:cs="Arial" w:eastAsia="Arial" w:hAnsi="Arial"/>
          <w:sz w:val="15"/>
          <w:szCs w:val="15"/>
          <w:color w:val="000000"/>
        </w:rPr>
        <w:t xml:space="preserve"> (ii) the Company Equity Value, </w:t>
      </w:r>
      <w:r>
        <w:rPr>
          <w:rFonts w:ascii="Arial" w:cs="Arial" w:eastAsia="Arial" w:hAnsi="Arial"/>
          <w:sz w:val="15"/>
          <w:szCs w:val="15"/>
          <w:u w:val="single" w:color="auto"/>
          <w:color w:val="000000"/>
        </w:rPr>
        <w:t>divided by</w:t>
      </w:r>
      <w:r>
        <w:rPr>
          <w:rFonts w:ascii="Arial" w:cs="Arial" w:eastAsia="Arial" w:hAnsi="Arial"/>
          <w:sz w:val="15"/>
          <w:szCs w:val="15"/>
          <w:color w:val="000000"/>
        </w:rPr>
        <w:t xml:space="preserve"> (b) $10.30. Sellers shall have obtained prior written agreement from GS &amp; Co. with respect to the issuance of the Replacement Warrant in exchange for the cancellation of the Goldman Warrant prior to such issuance. Notwithstanding the foregoing, if the Goldman Warrant is exercised or is otherwise no longer outstanding as of immediately prior to the Closing, then no Replacement GS Warrant shall be issued pursuant to this </w:t>
      </w:r>
      <w:r>
        <w:rPr>
          <w:rFonts w:ascii="Arial" w:cs="Arial" w:eastAsia="Arial" w:hAnsi="Arial"/>
          <w:sz w:val="15"/>
          <w:szCs w:val="15"/>
          <w:u w:val="single" w:color="auto"/>
          <w:color w:val="000000"/>
        </w:rPr>
        <w:t>Section 5.18</w:t>
      </w:r>
      <w:r>
        <w:rPr>
          <w:rFonts w:ascii="Arial" w:cs="Arial" w:eastAsia="Arial" w:hAnsi="Arial"/>
          <w:sz w:val="15"/>
          <w:szCs w:val="15"/>
          <w:color w:val="000000"/>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VI</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CONDITIONS TO CLOSING</w:t>
      </w:r>
    </w:p>
    <w:p>
      <w:pPr>
        <w:spacing w:after="0" w:line="203" w:lineRule="exact"/>
        <w:rPr>
          <w:sz w:val="20"/>
          <w:szCs w:val="20"/>
          <w:color w:val="auto"/>
        </w:rPr>
      </w:pPr>
    </w:p>
    <w:p>
      <w:pPr>
        <w:jc w:val="both"/>
        <w:ind w:firstLine="1195"/>
        <w:spacing w:after="0" w:line="264" w:lineRule="auto"/>
        <w:rPr>
          <w:sz w:val="20"/>
          <w:szCs w:val="20"/>
          <w:color w:val="auto"/>
        </w:rPr>
      </w:pPr>
      <w:r>
        <w:rPr>
          <w:rFonts w:ascii="Arial" w:cs="Arial" w:eastAsia="Arial" w:hAnsi="Arial"/>
          <w:sz w:val="17"/>
          <w:szCs w:val="17"/>
          <w:color w:val="010000"/>
        </w:rPr>
        <w:t xml:space="preserve">Section 6.01 </w:t>
      </w:r>
      <w:r>
        <w:rPr>
          <w:rFonts w:ascii="Arial" w:cs="Arial" w:eastAsia="Arial" w:hAnsi="Arial"/>
          <w:sz w:val="17"/>
          <w:szCs w:val="17"/>
          <w:u w:val="single" w:color="auto"/>
          <w:color w:val="000000"/>
        </w:rPr>
        <w:t>Conditions to Obligation of Each Party</w:t>
      </w:r>
      <w:r>
        <w:rPr>
          <w:rFonts w:ascii="Arial" w:cs="Arial" w:eastAsia="Arial" w:hAnsi="Arial"/>
          <w:sz w:val="17"/>
          <w:szCs w:val="17"/>
          <w:color w:val="000000"/>
        </w:rPr>
        <w:t>. The respective obligation of each Party to consummate the Closing shall be subject to the</w:t>
      </w:r>
      <w:r>
        <w:rPr>
          <w:rFonts w:ascii="Arial" w:cs="Arial" w:eastAsia="Arial" w:hAnsi="Arial"/>
          <w:sz w:val="17"/>
          <w:szCs w:val="17"/>
          <w:color w:val="010000"/>
        </w:rPr>
        <w:t xml:space="preserve"> </w:t>
      </w:r>
      <w:r>
        <w:rPr>
          <w:rFonts w:ascii="Arial" w:cs="Arial" w:eastAsia="Arial" w:hAnsi="Arial"/>
          <w:sz w:val="17"/>
          <w:szCs w:val="17"/>
          <w:color w:val="000000"/>
        </w:rPr>
        <w:t>satisfaction or (to the extent permitted by applicable Law) waiver by each Party on or prior to the Closing Date of each of the following conditions:</w:t>
      </w:r>
    </w:p>
    <w:p>
      <w:pPr>
        <w:spacing w:after="0" w:line="168" w:lineRule="exact"/>
        <w:rPr>
          <w:sz w:val="20"/>
          <w:szCs w:val="20"/>
          <w:color w:val="auto"/>
        </w:rPr>
      </w:pPr>
    </w:p>
    <w:p>
      <w:pPr>
        <w:ind w:left="2020" w:hanging="601"/>
        <w:spacing w:after="0"/>
        <w:tabs>
          <w:tab w:leader="none" w:pos="2020" w:val="left"/>
        </w:tabs>
        <w:numPr>
          <w:ilvl w:val="0"/>
          <w:numId w:val="57"/>
        </w:numPr>
        <w:rPr>
          <w:rFonts w:ascii="Arial" w:cs="Arial" w:eastAsia="Arial" w:hAnsi="Arial"/>
          <w:sz w:val="15"/>
          <w:szCs w:val="15"/>
          <w:color w:val="010000"/>
        </w:rPr>
      </w:pPr>
      <w:r>
        <w:rPr>
          <w:rFonts w:ascii="Arial" w:cs="Arial" w:eastAsia="Arial" w:hAnsi="Arial"/>
          <w:sz w:val="15"/>
          <w:szCs w:val="15"/>
          <w:color w:val="auto"/>
        </w:rPr>
        <w:t>no applicable Order or Law shall be in effect that would prohibit or make illegal the consummation of any of the Contemplated Transactions;</w:t>
      </w:r>
    </w:p>
    <w:p>
      <w:pPr>
        <w:spacing w:after="0" w:line="225" w:lineRule="exact"/>
        <w:rPr>
          <w:rFonts w:ascii="Arial" w:cs="Arial" w:eastAsia="Arial" w:hAnsi="Arial"/>
          <w:sz w:val="15"/>
          <w:szCs w:val="15"/>
          <w:color w:val="010000"/>
        </w:rPr>
      </w:pPr>
    </w:p>
    <w:p>
      <w:pPr>
        <w:ind w:left="820" w:firstLine="599"/>
        <w:spacing w:after="0" w:line="264" w:lineRule="auto"/>
        <w:tabs>
          <w:tab w:leader="none" w:pos="2101" w:val="left"/>
        </w:tabs>
        <w:numPr>
          <w:ilvl w:val="0"/>
          <w:numId w:val="57"/>
        </w:numPr>
        <w:rPr>
          <w:rFonts w:ascii="Arial" w:cs="Arial" w:eastAsia="Arial" w:hAnsi="Arial"/>
          <w:sz w:val="17"/>
          <w:szCs w:val="17"/>
          <w:color w:val="010000"/>
        </w:rPr>
      </w:pPr>
      <w:r>
        <w:rPr>
          <w:rFonts w:ascii="Arial" w:cs="Arial" w:eastAsia="Arial" w:hAnsi="Arial"/>
          <w:sz w:val="17"/>
          <w:szCs w:val="17"/>
          <w:color w:val="auto"/>
        </w:rPr>
        <w:t>the Buyer Stockholder Approval shall have been duly obtained in accordance with the DGCL, Buyer’s Organizational Documents and the NASDAQ rules and regulations;</w:t>
      </w:r>
    </w:p>
    <w:p>
      <w:pPr>
        <w:spacing w:after="0" w:line="167" w:lineRule="exact"/>
        <w:rPr>
          <w:rFonts w:ascii="Arial" w:cs="Arial" w:eastAsia="Arial" w:hAnsi="Arial"/>
          <w:sz w:val="17"/>
          <w:szCs w:val="17"/>
          <w:color w:val="010000"/>
        </w:rPr>
      </w:pPr>
    </w:p>
    <w:p>
      <w:pPr>
        <w:ind w:left="2320" w:hanging="901"/>
        <w:spacing w:after="0"/>
        <w:tabs>
          <w:tab w:leader="none" w:pos="2320" w:val="left"/>
        </w:tabs>
        <w:numPr>
          <w:ilvl w:val="0"/>
          <w:numId w:val="57"/>
        </w:numPr>
        <w:rPr>
          <w:rFonts w:ascii="Arial" w:cs="Arial" w:eastAsia="Arial" w:hAnsi="Arial"/>
          <w:sz w:val="15"/>
          <w:szCs w:val="15"/>
          <w:color w:val="010000"/>
        </w:rPr>
      </w:pPr>
      <w:r>
        <w:rPr>
          <w:rFonts w:ascii="Arial" w:cs="Arial" w:eastAsia="Arial" w:hAnsi="Arial"/>
          <w:sz w:val="15"/>
          <w:szCs w:val="15"/>
          <w:color w:val="auto"/>
        </w:rPr>
        <w:t>the Buyer Stockholder Redemptions shall have been consummated in accordance with this Agreement and Buyer’s Organizational</w:t>
      </w:r>
    </w:p>
    <w:p>
      <w:pPr>
        <w:spacing w:after="0" w:line="39" w:lineRule="exact"/>
        <w:rPr>
          <w:rFonts w:ascii="Arial" w:cs="Arial" w:eastAsia="Arial" w:hAnsi="Arial"/>
          <w:sz w:val="15"/>
          <w:szCs w:val="15"/>
          <w:color w:val="010000"/>
        </w:rPr>
      </w:pPr>
    </w:p>
    <w:p>
      <w:pPr>
        <w:ind w:left="820"/>
        <w:spacing w:after="0"/>
        <w:rPr>
          <w:rFonts w:ascii="Arial" w:cs="Arial" w:eastAsia="Arial" w:hAnsi="Arial"/>
          <w:sz w:val="15"/>
          <w:szCs w:val="15"/>
          <w:color w:val="010000"/>
        </w:rPr>
      </w:pPr>
      <w:r>
        <w:rPr>
          <w:rFonts w:ascii="Arial" w:cs="Arial" w:eastAsia="Arial" w:hAnsi="Arial"/>
          <w:sz w:val="17"/>
          <w:szCs w:val="17"/>
          <w:color w:val="auto"/>
        </w:rPr>
        <w:t>Documents; and</w:t>
      </w:r>
    </w:p>
    <w:p>
      <w:pPr>
        <w:spacing w:after="0" w:line="190" w:lineRule="exact"/>
        <w:rPr>
          <w:rFonts w:ascii="Arial" w:cs="Arial" w:eastAsia="Arial" w:hAnsi="Arial"/>
          <w:sz w:val="15"/>
          <w:szCs w:val="15"/>
          <w:color w:val="010000"/>
        </w:rPr>
      </w:pPr>
    </w:p>
    <w:p>
      <w:pPr>
        <w:ind w:left="2020" w:hanging="601"/>
        <w:spacing w:after="0"/>
        <w:tabs>
          <w:tab w:leader="none" w:pos="2020" w:val="left"/>
        </w:tabs>
        <w:numPr>
          <w:ilvl w:val="0"/>
          <w:numId w:val="57"/>
        </w:numPr>
        <w:rPr>
          <w:rFonts w:ascii="Arial" w:cs="Arial" w:eastAsia="Arial" w:hAnsi="Arial"/>
          <w:sz w:val="17"/>
          <w:szCs w:val="17"/>
          <w:color w:val="010000"/>
        </w:rPr>
      </w:pPr>
      <w:r>
        <w:rPr>
          <w:rFonts w:ascii="Arial" w:cs="Arial" w:eastAsia="Arial" w:hAnsi="Arial"/>
          <w:sz w:val="17"/>
          <w:szCs w:val="17"/>
          <w:color w:val="auto"/>
        </w:rPr>
        <w:t>the amount of Available Cash shall not be less than the Minimum Cash Amount.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59" w:name="page60"/>
    <w:bookmarkEnd w:id="59"/>
    <w:p>
      <w:pPr>
        <w:jc w:val="both"/>
        <w:ind w:firstLine="1195"/>
        <w:spacing w:after="0" w:line="254" w:lineRule="auto"/>
        <w:rPr>
          <w:sz w:val="20"/>
          <w:szCs w:val="20"/>
          <w:color w:val="auto"/>
        </w:rPr>
      </w:pPr>
      <w:r>
        <w:rPr>
          <w:rFonts w:ascii="Arial" w:cs="Arial" w:eastAsia="Arial" w:hAnsi="Arial"/>
          <w:sz w:val="17"/>
          <w:szCs w:val="17"/>
          <w:color w:val="010000"/>
        </w:rPr>
        <w:t xml:space="preserve">Section 6.02 </w:t>
      </w:r>
      <w:r>
        <w:rPr>
          <w:rFonts w:ascii="Arial" w:cs="Arial" w:eastAsia="Arial" w:hAnsi="Arial"/>
          <w:sz w:val="17"/>
          <w:szCs w:val="17"/>
          <w:u w:val="single" w:color="auto"/>
          <w:color w:val="000000"/>
        </w:rPr>
        <w:t>Conditions to Obligation of Buyer</w:t>
      </w:r>
      <w:r>
        <w:rPr>
          <w:rFonts w:ascii="Arial" w:cs="Arial" w:eastAsia="Arial" w:hAnsi="Arial"/>
          <w:sz w:val="17"/>
          <w:szCs w:val="17"/>
          <w:color w:val="000000"/>
        </w:rPr>
        <w:t>. In addition to the conditions set forth in</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6.01</w:t>
      </w:r>
      <w:r>
        <w:rPr>
          <w:rFonts w:ascii="Arial" w:cs="Arial" w:eastAsia="Arial" w:hAnsi="Arial"/>
          <w:sz w:val="17"/>
          <w:szCs w:val="17"/>
          <w:color w:val="000000"/>
        </w:rPr>
        <w:t>, the obligation of Buyer to consummate the</w:t>
      </w:r>
      <w:r>
        <w:rPr>
          <w:rFonts w:ascii="Arial" w:cs="Arial" w:eastAsia="Arial" w:hAnsi="Arial"/>
          <w:sz w:val="17"/>
          <w:szCs w:val="17"/>
          <w:color w:val="010000"/>
        </w:rPr>
        <w:t xml:space="preserve"> </w:t>
      </w:r>
      <w:r>
        <w:rPr>
          <w:rFonts w:ascii="Arial" w:cs="Arial" w:eastAsia="Arial" w:hAnsi="Arial"/>
          <w:sz w:val="17"/>
          <w:szCs w:val="17"/>
          <w:color w:val="000000"/>
        </w:rPr>
        <w:t>Closing shall be subject to the satisfaction, or (to the extent permitted by applicable Law) waiver by Buyer on or prior to the Closing Date, of each of the following further conditions:</w:t>
      </w:r>
    </w:p>
    <w:p>
      <w:pPr>
        <w:spacing w:after="0" w:line="176" w:lineRule="exact"/>
        <w:rPr>
          <w:sz w:val="20"/>
          <w:szCs w:val="20"/>
          <w:color w:val="auto"/>
        </w:rPr>
      </w:pPr>
    </w:p>
    <w:p>
      <w:pPr>
        <w:jc w:val="both"/>
        <w:ind w:left="820" w:firstLine="599"/>
        <w:spacing w:after="0" w:line="249" w:lineRule="auto"/>
        <w:tabs>
          <w:tab w:leader="none" w:pos="2203" w:val="left"/>
        </w:tabs>
        <w:numPr>
          <w:ilvl w:val="0"/>
          <w:numId w:val="58"/>
        </w:numPr>
        <w:rPr>
          <w:rFonts w:ascii="Arial" w:cs="Arial" w:eastAsia="Arial" w:hAnsi="Arial"/>
          <w:sz w:val="17"/>
          <w:szCs w:val="17"/>
          <w:color w:val="010000"/>
        </w:rPr>
      </w:pPr>
      <w:r>
        <w:rPr>
          <w:rFonts w:ascii="Arial" w:cs="Arial" w:eastAsia="Arial" w:hAnsi="Arial"/>
          <w:sz w:val="17"/>
          <w:szCs w:val="17"/>
          <w:color w:val="auto"/>
        </w:rPr>
        <w:t xml:space="preserve">the representations and warranties of Sellers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taken together, excluding for purposes of this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any reference to any materiality, “Material Adverse Effect” or similar standards or qualifiers contained therein, shall be true and correct as of the Closing Date as if made on such date (except to the extent such representations and warranties relate to an earlier date, in which case such representations and warranties shall be true and correct on and as of such earlier date), except for any breaches of such representations and warranties that would not, individually or in the aggregate, have a Material Adverse Effect; and</w:t>
      </w:r>
    </w:p>
    <w:p>
      <w:pPr>
        <w:spacing w:after="0" w:line="181" w:lineRule="exact"/>
        <w:rPr>
          <w:rFonts w:ascii="Arial" w:cs="Arial" w:eastAsia="Arial" w:hAnsi="Arial"/>
          <w:sz w:val="17"/>
          <w:szCs w:val="17"/>
          <w:color w:val="010000"/>
        </w:rPr>
      </w:pPr>
    </w:p>
    <w:p>
      <w:pPr>
        <w:ind w:left="820" w:firstLine="599"/>
        <w:spacing w:after="0" w:line="264" w:lineRule="auto"/>
        <w:tabs>
          <w:tab w:leader="none" w:pos="2188" w:val="left"/>
        </w:tabs>
        <w:numPr>
          <w:ilvl w:val="0"/>
          <w:numId w:val="58"/>
        </w:numPr>
        <w:rPr>
          <w:rFonts w:ascii="Arial" w:cs="Arial" w:eastAsia="Arial" w:hAnsi="Arial"/>
          <w:sz w:val="17"/>
          <w:szCs w:val="17"/>
          <w:color w:val="010000"/>
        </w:rPr>
      </w:pPr>
      <w:r>
        <w:rPr>
          <w:rFonts w:ascii="Arial" w:cs="Arial" w:eastAsia="Arial" w:hAnsi="Arial"/>
          <w:sz w:val="17"/>
          <w:szCs w:val="17"/>
          <w:color w:val="auto"/>
        </w:rPr>
        <w:t>Sellers shall have performed and complied in all material respects with all of its other obligations under this Agreement required to be performed and complied with by it as of the Closing Date.</w:t>
      </w:r>
    </w:p>
    <w:p>
      <w:pPr>
        <w:spacing w:after="0" w:line="168"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6.03 </w:t>
      </w:r>
      <w:r>
        <w:rPr>
          <w:rFonts w:ascii="Arial" w:cs="Arial" w:eastAsia="Arial" w:hAnsi="Arial"/>
          <w:sz w:val="17"/>
          <w:szCs w:val="17"/>
          <w:u w:val="single" w:color="auto"/>
          <w:color w:val="000000"/>
        </w:rPr>
        <w:t>Conditions to Obligation of Sellers</w:t>
      </w:r>
      <w:r>
        <w:rPr>
          <w:rFonts w:ascii="Arial" w:cs="Arial" w:eastAsia="Arial" w:hAnsi="Arial"/>
          <w:sz w:val="17"/>
          <w:szCs w:val="17"/>
          <w:color w:val="000000"/>
        </w:rPr>
        <w:t>. In addition to the conditions set forth in</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6.01</w:t>
      </w:r>
      <w:r>
        <w:rPr>
          <w:rFonts w:ascii="Arial" w:cs="Arial" w:eastAsia="Arial" w:hAnsi="Arial"/>
          <w:sz w:val="17"/>
          <w:szCs w:val="17"/>
          <w:color w:val="010000"/>
        </w:rPr>
        <w:t xml:space="preserve"> </w:t>
      </w:r>
      <w:r>
        <w:rPr>
          <w:rFonts w:ascii="Arial" w:cs="Arial" w:eastAsia="Arial" w:hAnsi="Arial"/>
          <w:sz w:val="17"/>
          <w:szCs w:val="17"/>
          <w:color w:val="000000"/>
        </w:rPr>
        <w:t>above, the obligation of Sellers to consummate</w:t>
      </w:r>
      <w:r>
        <w:rPr>
          <w:rFonts w:ascii="Arial" w:cs="Arial" w:eastAsia="Arial" w:hAnsi="Arial"/>
          <w:sz w:val="17"/>
          <w:szCs w:val="17"/>
          <w:color w:val="010000"/>
        </w:rPr>
        <w:t xml:space="preserve"> </w:t>
      </w:r>
      <w:r>
        <w:rPr>
          <w:rFonts w:ascii="Arial" w:cs="Arial" w:eastAsia="Arial" w:hAnsi="Arial"/>
          <w:sz w:val="17"/>
          <w:szCs w:val="17"/>
          <w:color w:val="000000"/>
        </w:rPr>
        <w:t>the Closing shall be subject to the satisfaction, or (to the extent permitted by applicable Law) waiver by Sellers, on or prior to the Closing Date, of each of the following further conditions:</w:t>
      </w:r>
    </w:p>
    <w:p>
      <w:pPr>
        <w:spacing w:after="0" w:line="176" w:lineRule="exact"/>
        <w:rPr>
          <w:sz w:val="20"/>
          <w:szCs w:val="20"/>
          <w:color w:val="auto"/>
        </w:rPr>
      </w:pPr>
    </w:p>
    <w:p>
      <w:pPr>
        <w:jc w:val="both"/>
        <w:ind w:left="820" w:firstLine="599"/>
        <w:spacing w:after="0" w:line="249" w:lineRule="auto"/>
        <w:tabs>
          <w:tab w:leader="none" w:pos="2216" w:val="left"/>
        </w:tabs>
        <w:numPr>
          <w:ilvl w:val="0"/>
          <w:numId w:val="59"/>
        </w:numPr>
        <w:rPr>
          <w:rFonts w:ascii="Arial" w:cs="Arial" w:eastAsia="Arial" w:hAnsi="Arial"/>
          <w:sz w:val="17"/>
          <w:szCs w:val="17"/>
          <w:color w:val="010000"/>
        </w:rPr>
      </w:pPr>
      <w:r>
        <w:rPr>
          <w:rFonts w:ascii="Arial" w:cs="Arial" w:eastAsia="Arial" w:hAnsi="Arial"/>
          <w:sz w:val="17"/>
          <w:szCs w:val="17"/>
          <w:color w:val="auto"/>
        </w:rPr>
        <w:t xml:space="preserve">the representations and warranties of Buyer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taken together, excluding for purposes of this </w:t>
      </w:r>
      <w:r>
        <w:rPr>
          <w:rFonts w:ascii="Arial" w:cs="Arial" w:eastAsia="Arial" w:hAnsi="Arial"/>
          <w:sz w:val="17"/>
          <w:szCs w:val="17"/>
          <w:u w:val="single" w:color="auto"/>
          <w:color w:val="auto"/>
        </w:rPr>
        <w:t>Section 6.03(a)</w:t>
      </w:r>
      <w:r>
        <w:rPr>
          <w:rFonts w:ascii="Arial" w:cs="Arial" w:eastAsia="Arial" w:hAnsi="Arial"/>
          <w:sz w:val="17"/>
          <w:szCs w:val="17"/>
          <w:color w:val="auto"/>
        </w:rPr>
        <w:t xml:space="preserve"> any reference to any materiality, “Buyer Material Adverse Effect” or similar standards or qualifiers contained therein, shall be true and correct as of the Closing Date as if made on such date (except to the extent such representations and warranties relate to an earlier date, in which case such representations and warranties shall be true and correct on and as of such earlier date), except for any breaches of such representations and warranties that would not, individually or in the aggregate, have a Buyer Material Adverse Effect;</w:t>
      </w:r>
    </w:p>
    <w:p>
      <w:pPr>
        <w:spacing w:after="0" w:line="181" w:lineRule="exact"/>
        <w:rPr>
          <w:rFonts w:ascii="Arial" w:cs="Arial" w:eastAsia="Arial" w:hAnsi="Arial"/>
          <w:sz w:val="17"/>
          <w:szCs w:val="17"/>
          <w:color w:val="010000"/>
        </w:rPr>
      </w:pPr>
    </w:p>
    <w:p>
      <w:pPr>
        <w:jc w:val="both"/>
        <w:ind w:left="820" w:firstLine="599"/>
        <w:spacing w:after="0" w:line="254" w:lineRule="auto"/>
        <w:tabs>
          <w:tab w:leader="none" w:pos="2200" w:val="left"/>
        </w:tabs>
        <w:numPr>
          <w:ilvl w:val="0"/>
          <w:numId w:val="59"/>
        </w:numPr>
        <w:rPr>
          <w:rFonts w:ascii="Arial" w:cs="Arial" w:eastAsia="Arial" w:hAnsi="Arial"/>
          <w:sz w:val="17"/>
          <w:szCs w:val="17"/>
          <w:color w:val="010000"/>
        </w:rPr>
      </w:pPr>
      <w:r>
        <w:rPr>
          <w:rFonts w:ascii="Arial" w:cs="Arial" w:eastAsia="Arial" w:hAnsi="Arial"/>
          <w:sz w:val="17"/>
          <w:szCs w:val="17"/>
          <w:color w:val="auto"/>
        </w:rPr>
        <w:t xml:space="preserve">Buyer shall have performed and complied in all material respects with all of its other covenants and obligations under this Agreement required to be performed and complied with by it as of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Buyer shall be required to have performed and complied with its covenants set forth in </w:t>
      </w:r>
      <w:r>
        <w:rPr>
          <w:rFonts w:ascii="Arial" w:cs="Arial" w:eastAsia="Arial" w:hAnsi="Arial"/>
          <w:sz w:val="17"/>
          <w:szCs w:val="17"/>
          <w:u w:val="single" w:color="auto"/>
          <w:color w:val="auto"/>
        </w:rPr>
        <w:t>Section 5.13(c)</w:t>
      </w:r>
      <w:r>
        <w:rPr>
          <w:rFonts w:ascii="Arial" w:cs="Arial" w:eastAsia="Arial" w:hAnsi="Arial"/>
          <w:sz w:val="17"/>
          <w:szCs w:val="17"/>
          <w:color w:val="auto"/>
        </w:rPr>
        <w:t xml:space="preserve"> in all respects; and</w:t>
      </w:r>
    </w:p>
    <w:p>
      <w:pPr>
        <w:spacing w:after="0" w:line="176" w:lineRule="exact"/>
        <w:rPr>
          <w:rFonts w:ascii="Arial" w:cs="Arial" w:eastAsia="Arial" w:hAnsi="Arial"/>
          <w:sz w:val="17"/>
          <w:szCs w:val="17"/>
          <w:color w:val="010000"/>
        </w:rPr>
      </w:pPr>
    </w:p>
    <w:p>
      <w:pPr>
        <w:ind w:left="2020" w:hanging="601"/>
        <w:spacing w:after="0"/>
        <w:tabs>
          <w:tab w:leader="none" w:pos="2020" w:val="left"/>
        </w:tabs>
        <w:numPr>
          <w:ilvl w:val="0"/>
          <w:numId w:val="59"/>
        </w:numPr>
        <w:rPr>
          <w:rFonts w:ascii="Arial" w:cs="Arial" w:eastAsia="Arial" w:hAnsi="Arial"/>
          <w:sz w:val="17"/>
          <w:szCs w:val="17"/>
          <w:color w:val="010000"/>
        </w:rPr>
      </w:pPr>
      <w:r>
        <w:rPr>
          <w:rFonts w:ascii="Arial" w:cs="Arial" w:eastAsia="Arial" w:hAnsi="Arial"/>
          <w:sz w:val="17"/>
          <w:szCs w:val="17"/>
          <w:color w:val="auto"/>
        </w:rPr>
        <w:t>the Common Stock shall be listed for trading on NASDAQ.</w:t>
      </w:r>
    </w:p>
    <w:p>
      <w:pPr>
        <w:spacing w:after="0" w:line="203" w:lineRule="exact"/>
        <w:rPr>
          <w:sz w:val="20"/>
          <w:szCs w:val="20"/>
          <w:color w:val="auto"/>
        </w:rPr>
      </w:pPr>
    </w:p>
    <w:p>
      <w:pPr>
        <w:jc w:val="both"/>
        <w:ind w:firstLine="1195"/>
        <w:spacing w:after="0" w:line="271" w:lineRule="auto"/>
        <w:rPr>
          <w:sz w:val="20"/>
          <w:szCs w:val="20"/>
          <w:color w:val="auto"/>
        </w:rPr>
      </w:pPr>
      <w:r>
        <w:rPr>
          <w:rFonts w:ascii="Arial" w:cs="Arial" w:eastAsia="Arial" w:hAnsi="Arial"/>
          <w:sz w:val="16"/>
          <w:szCs w:val="16"/>
          <w:color w:val="010000"/>
        </w:rPr>
        <w:t xml:space="preserve">Section 6.04 </w:t>
      </w:r>
      <w:r>
        <w:rPr>
          <w:rFonts w:ascii="Arial" w:cs="Arial" w:eastAsia="Arial" w:hAnsi="Arial"/>
          <w:sz w:val="16"/>
          <w:szCs w:val="16"/>
          <w:u w:val="single" w:color="auto"/>
          <w:color w:val="000000"/>
        </w:rPr>
        <w:t>Failure or Waiver of Conditions</w:t>
      </w:r>
      <w:r>
        <w:rPr>
          <w:rFonts w:ascii="Arial" w:cs="Arial" w:eastAsia="Arial" w:hAnsi="Arial"/>
          <w:sz w:val="16"/>
          <w:szCs w:val="16"/>
          <w:color w:val="000000"/>
        </w:rPr>
        <w:t>. Neither Buyer nor Sellers may rely on the failure of any condition to its obligations to consummate the</w:t>
      </w:r>
      <w:r>
        <w:rPr>
          <w:rFonts w:ascii="Arial" w:cs="Arial" w:eastAsia="Arial" w:hAnsi="Arial"/>
          <w:sz w:val="16"/>
          <w:szCs w:val="16"/>
          <w:color w:val="010000"/>
        </w:rPr>
        <w:t xml:space="preserve"> </w:t>
      </w:r>
      <w:r>
        <w:rPr>
          <w:rFonts w:ascii="Arial" w:cs="Arial" w:eastAsia="Arial" w:hAnsi="Arial"/>
          <w:sz w:val="16"/>
          <w:szCs w:val="16"/>
          <w:color w:val="000000"/>
        </w:rPr>
        <w:t xml:space="preserve">Closing set forth in </w:t>
      </w:r>
      <w:r>
        <w:rPr>
          <w:rFonts w:ascii="Arial" w:cs="Arial" w:eastAsia="Arial" w:hAnsi="Arial"/>
          <w:sz w:val="16"/>
          <w:szCs w:val="16"/>
          <w:u w:val="single" w:color="auto"/>
          <w:color w:val="000000"/>
        </w:rPr>
        <w:t>Section 6.01</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Section 6.02</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Section 6.03</w:t>
      </w:r>
      <w:r>
        <w:rPr>
          <w:rFonts w:ascii="Arial" w:cs="Arial" w:eastAsia="Arial" w:hAnsi="Arial"/>
          <w:sz w:val="16"/>
          <w:szCs w:val="16"/>
          <w:color w:val="000000"/>
        </w:rPr>
        <w:t>, as the case may be, to be satisfied if such failure was caused by such Party’s or its Affiliates’ failure to use reasonable best efforts to satisfy the conditions to the Contemplated Transactions or by any other breach by such Party of a representation, warranty or covenant hereunder. All conditions to the Closing shall be deemed to have been satisfied or waived following the Closing.</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color w:val="010000"/>
        </w:rPr>
        <w:t>ARTICLE VII</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TERMINATION</w:t>
      </w:r>
    </w:p>
    <w:p>
      <w:pPr>
        <w:spacing w:after="0" w:line="203" w:lineRule="exact"/>
        <w:rPr>
          <w:sz w:val="20"/>
          <w:szCs w:val="20"/>
          <w:color w:val="auto"/>
        </w:rPr>
      </w:pPr>
    </w:p>
    <w:p>
      <w:pPr>
        <w:ind w:left="1200"/>
        <w:spacing w:after="0"/>
        <w:tabs>
          <w:tab w:leader="none" w:pos="2240" w:val="left"/>
        </w:tabs>
        <w:rPr>
          <w:sz w:val="20"/>
          <w:szCs w:val="20"/>
          <w:color w:val="auto"/>
        </w:rPr>
      </w:pPr>
      <w:r>
        <w:rPr>
          <w:rFonts w:ascii="Arial" w:cs="Arial" w:eastAsia="Arial" w:hAnsi="Arial"/>
          <w:sz w:val="17"/>
          <w:szCs w:val="17"/>
          <w:color w:val="010000"/>
        </w:rPr>
        <w:t>Section 7.01</w:t>
      </w:r>
      <w:r>
        <w:rPr>
          <w:sz w:val="20"/>
          <w:szCs w:val="20"/>
          <w:color w:val="auto"/>
        </w:rPr>
        <w:tab/>
      </w:r>
      <w:r>
        <w:rPr>
          <w:rFonts w:ascii="Arial" w:cs="Arial" w:eastAsia="Arial" w:hAnsi="Arial"/>
          <w:sz w:val="15"/>
          <w:szCs w:val="15"/>
          <w:u w:val="single" w:color="auto"/>
          <w:color w:val="auto"/>
        </w:rPr>
        <w:t>Grounds for Termination</w:t>
      </w:r>
      <w:r>
        <w:rPr>
          <w:rFonts w:ascii="Arial" w:cs="Arial" w:eastAsia="Arial" w:hAnsi="Arial"/>
          <w:sz w:val="15"/>
          <w:szCs w:val="15"/>
          <w:color w:val="auto"/>
        </w:rPr>
        <w:t>. This Agreement may be terminated and the Contemplated Transactions may be abandoned at any time prior to</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the Closing:</w:t>
      </w:r>
    </w:p>
    <w:p>
      <w:pPr>
        <w:spacing w:after="0" w:line="190" w:lineRule="exact"/>
        <w:rPr>
          <w:sz w:val="20"/>
          <w:szCs w:val="20"/>
          <w:color w:val="auto"/>
        </w:rPr>
      </w:pPr>
    </w:p>
    <w:p>
      <w:pPr>
        <w:ind w:left="2020" w:hanging="601"/>
        <w:spacing w:after="0"/>
        <w:tabs>
          <w:tab w:leader="none" w:pos="2020" w:val="left"/>
        </w:tabs>
        <w:numPr>
          <w:ilvl w:val="0"/>
          <w:numId w:val="60"/>
        </w:numPr>
        <w:rPr>
          <w:rFonts w:ascii="Arial" w:cs="Arial" w:eastAsia="Arial" w:hAnsi="Arial"/>
          <w:sz w:val="17"/>
          <w:szCs w:val="17"/>
          <w:color w:val="010000"/>
        </w:rPr>
      </w:pPr>
      <w:r>
        <w:rPr>
          <w:rFonts w:ascii="Arial" w:cs="Arial" w:eastAsia="Arial" w:hAnsi="Arial"/>
          <w:sz w:val="17"/>
          <w:szCs w:val="17"/>
          <w:color w:val="auto"/>
        </w:rPr>
        <w:t>by the mutual written agreement of Sellers and Buyer;</w:t>
      </w:r>
    </w:p>
    <w:p>
      <w:pPr>
        <w:spacing w:after="0" w:line="202" w:lineRule="exact"/>
        <w:rPr>
          <w:rFonts w:ascii="Arial" w:cs="Arial" w:eastAsia="Arial" w:hAnsi="Arial"/>
          <w:sz w:val="17"/>
          <w:szCs w:val="17"/>
          <w:color w:val="010000"/>
        </w:rPr>
      </w:pPr>
    </w:p>
    <w:p>
      <w:pPr>
        <w:ind w:left="820" w:firstLine="599"/>
        <w:spacing w:after="0" w:line="264" w:lineRule="auto"/>
        <w:tabs>
          <w:tab w:leader="none" w:pos="2163" w:val="left"/>
        </w:tabs>
        <w:numPr>
          <w:ilvl w:val="0"/>
          <w:numId w:val="60"/>
        </w:numPr>
        <w:rPr>
          <w:rFonts w:ascii="Arial" w:cs="Arial" w:eastAsia="Arial" w:hAnsi="Arial"/>
          <w:sz w:val="17"/>
          <w:szCs w:val="17"/>
          <w:color w:val="010000"/>
        </w:rPr>
      </w:pPr>
      <w:r>
        <w:rPr>
          <w:rFonts w:ascii="Arial" w:cs="Arial" w:eastAsia="Arial" w:hAnsi="Arial"/>
          <w:sz w:val="17"/>
          <w:szCs w:val="17"/>
          <w:color w:val="auto"/>
        </w:rPr>
        <w:t xml:space="preserve">by Buyer if the Closing has not occurred on or prior to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Buyer is not at the time of such election to terminate in breach in any material respect of any of its obligations hereunder;</w:t>
      </w:r>
    </w:p>
    <w:p>
      <w:pPr>
        <w:spacing w:after="0" w:line="167" w:lineRule="exact"/>
        <w:rPr>
          <w:rFonts w:ascii="Arial" w:cs="Arial" w:eastAsia="Arial" w:hAnsi="Arial"/>
          <w:sz w:val="17"/>
          <w:szCs w:val="17"/>
          <w:color w:val="010000"/>
        </w:rPr>
      </w:pPr>
    </w:p>
    <w:p>
      <w:pPr>
        <w:ind w:left="820" w:firstLine="599"/>
        <w:spacing w:after="0" w:line="264" w:lineRule="auto"/>
        <w:tabs>
          <w:tab w:leader="none" w:pos="2166" w:val="left"/>
        </w:tabs>
        <w:numPr>
          <w:ilvl w:val="0"/>
          <w:numId w:val="60"/>
        </w:numPr>
        <w:rPr>
          <w:rFonts w:ascii="Arial" w:cs="Arial" w:eastAsia="Arial" w:hAnsi="Arial"/>
          <w:sz w:val="17"/>
          <w:szCs w:val="17"/>
          <w:color w:val="010000"/>
        </w:rPr>
      </w:pPr>
      <w:r>
        <w:rPr>
          <w:rFonts w:ascii="Arial" w:cs="Arial" w:eastAsia="Arial" w:hAnsi="Arial"/>
          <w:sz w:val="17"/>
          <w:szCs w:val="17"/>
          <w:color w:val="auto"/>
        </w:rPr>
        <w:t xml:space="preserve">by Sellers if the Closing has not occurred on or prior to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Seller is at the time of such election to terminate in breach in any material respect of any of its obligations hereunder;</w:t>
      </w:r>
    </w:p>
    <w:p>
      <w:pPr>
        <w:spacing w:after="0" w:line="167" w:lineRule="exact"/>
        <w:rPr>
          <w:rFonts w:ascii="Arial" w:cs="Arial" w:eastAsia="Arial" w:hAnsi="Arial"/>
          <w:sz w:val="17"/>
          <w:szCs w:val="17"/>
          <w:color w:val="010000"/>
        </w:rPr>
      </w:pPr>
    </w:p>
    <w:p>
      <w:pPr>
        <w:jc w:val="both"/>
        <w:ind w:left="820" w:firstLine="599"/>
        <w:spacing w:after="0" w:line="268" w:lineRule="auto"/>
        <w:tabs>
          <w:tab w:leader="none" w:pos="2101" w:val="left"/>
        </w:tabs>
        <w:numPr>
          <w:ilvl w:val="0"/>
          <w:numId w:val="60"/>
        </w:numPr>
        <w:rPr>
          <w:rFonts w:ascii="Arial" w:cs="Arial" w:eastAsia="Arial" w:hAnsi="Arial"/>
          <w:sz w:val="16"/>
          <w:szCs w:val="16"/>
          <w:color w:val="010000"/>
        </w:rPr>
      </w:pPr>
      <w:r>
        <w:rPr>
          <w:rFonts w:ascii="Arial" w:cs="Arial" w:eastAsia="Arial" w:hAnsi="Arial"/>
          <w:sz w:val="16"/>
          <w:szCs w:val="16"/>
          <w:color w:val="auto"/>
        </w:rPr>
        <w:t xml:space="preserve">by Buyer if there has been a breach by any Seller of any representation, warranty, covenant or agreement set forth herein and the effect of such breach would be to cause the conditions to Buyer’s obligation to consummate the Closing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not to be capable of being satisfied, and such breach is not cured or is not reasonably capable of being cured within 30 days of receiving written notice of such breach or alleged breach from Buyer, it being understood and agreed that this Agreement may not be terminated pursuant to this </w:t>
      </w:r>
      <w:r>
        <w:rPr>
          <w:rFonts w:ascii="Arial" w:cs="Arial" w:eastAsia="Arial" w:hAnsi="Arial"/>
          <w:sz w:val="16"/>
          <w:szCs w:val="16"/>
          <w:u w:val="single" w:color="auto"/>
          <w:color w:val="auto"/>
        </w:rPr>
        <w:t>Section 7.01(d)</w:t>
      </w:r>
      <w:r>
        <w:rPr>
          <w:rFonts w:ascii="Arial" w:cs="Arial" w:eastAsia="Arial" w:hAnsi="Arial"/>
          <w:sz w:val="16"/>
          <w:szCs w:val="16"/>
          <w:color w:val="auto"/>
        </w:rPr>
        <w:t xml:space="preserve"> during such 30-day period or following such 30-day period if such breach is cured during such 30-day period;</w:t>
      </w:r>
    </w:p>
    <w:p>
      <w:pPr>
        <w:spacing w:after="0" w:line="167" w:lineRule="exact"/>
        <w:rPr>
          <w:rFonts w:ascii="Arial" w:cs="Arial" w:eastAsia="Arial" w:hAnsi="Arial"/>
          <w:sz w:val="16"/>
          <w:szCs w:val="16"/>
          <w:color w:val="010000"/>
        </w:rPr>
      </w:pPr>
    </w:p>
    <w:p>
      <w:pPr>
        <w:jc w:val="both"/>
        <w:ind w:left="820" w:firstLine="599"/>
        <w:spacing w:after="0" w:line="268" w:lineRule="auto"/>
        <w:tabs>
          <w:tab w:leader="none" w:pos="2054" w:val="left"/>
        </w:tabs>
        <w:numPr>
          <w:ilvl w:val="0"/>
          <w:numId w:val="60"/>
        </w:numPr>
        <w:rPr>
          <w:rFonts w:ascii="Arial" w:cs="Arial" w:eastAsia="Arial" w:hAnsi="Arial"/>
          <w:sz w:val="16"/>
          <w:szCs w:val="16"/>
          <w:color w:val="010000"/>
        </w:rPr>
      </w:pPr>
      <w:r>
        <w:rPr>
          <w:rFonts w:ascii="Arial" w:cs="Arial" w:eastAsia="Arial" w:hAnsi="Arial"/>
          <w:sz w:val="16"/>
          <w:szCs w:val="16"/>
          <w:color w:val="auto"/>
        </w:rPr>
        <w:t xml:space="preserve">by Sellers if there has been a breach by Buyer of any representation, warranty, covenant or agreement set forth herein and the effect of such breach would be to cause the conditions to Sellers’ obligation to consummate the Closing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not to be capable of being satisfied, and such breach is not cured or is not reasonably capable of being cured within 30 days of receiving written notice of such breach or alleged breach from Sellers, it being understood and agreed that this Agreement may not be terminated pursuant to this </w:t>
      </w:r>
      <w:r>
        <w:rPr>
          <w:rFonts w:ascii="Arial" w:cs="Arial" w:eastAsia="Arial" w:hAnsi="Arial"/>
          <w:sz w:val="16"/>
          <w:szCs w:val="16"/>
          <w:u w:val="single" w:color="auto"/>
          <w:color w:val="auto"/>
        </w:rPr>
        <w:t>Section 7.01(e)</w:t>
      </w:r>
      <w:r>
        <w:rPr>
          <w:rFonts w:ascii="Arial" w:cs="Arial" w:eastAsia="Arial" w:hAnsi="Arial"/>
          <w:sz w:val="16"/>
          <w:szCs w:val="16"/>
          <w:color w:val="auto"/>
        </w:rPr>
        <w:t xml:space="preserve"> during such 30-day period or following such 30-day period if such breach is cured during such 30-day period;</w:t>
      </w:r>
    </w:p>
    <w:p>
      <w:pPr>
        <w:spacing w:after="0" w:line="167" w:lineRule="exact"/>
        <w:rPr>
          <w:rFonts w:ascii="Arial" w:cs="Arial" w:eastAsia="Arial" w:hAnsi="Arial"/>
          <w:sz w:val="16"/>
          <w:szCs w:val="16"/>
          <w:color w:val="010000"/>
        </w:rPr>
      </w:pPr>
    </w:p>
    <w:p>
      <w:pPr>
        <w:jc w:val="both"/>
        <w:ind w:left="820" w:firstLine="599"/>
        <w:spacing w:after="0" w:line="249" w:lineRule="auto"/>
        <w:tabs>
          <w:tab w:leader="none" w:pos="2110" w:val="left"/>
        </w:tabs>
        <w:numPr>
          <w:ilvl w:val="0"/>
          <w:numId w:val="60"/>
        </w:numPr>
        <w:rPr>
          <w:rFonts w:ascii="Arial" w:cs="Arial" w:eastAsia="Arial" w:hAnsi="Arial"/>
          <w:sz w:val="17"/>
          <w:szCs w:val="17"/>
          <w:color w:val="010000"/>
        </w:rPr>
      </w:pPr>
      <w:r>
        <w:rPr>
          <w:rFonts w:ascii="Arial" w:cs="Arial" w:eastAsia="Arial" w:hAnsi="Arial"/>
          <w:sz w:val="17"/>
          <w:szCs w:val="17"/>
          <w:color w:val="auto"/>
        </w:rPr>
        <w:t xml:space="preserve">by either Party if there shall be in effect a final, non-appealable Order of a Governmental Authority of competent jurisdiction restraining, enjoining or otherwise prohibiting the consummation of the Contemplated Transactions; it being agreed that the Parties shall promptly appeal any adverse determination that is appealable (and pursue such appeal with reasonable diligence);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7.01(f)</w:t>
      </w:r>
      <w:r>
        <w:rPr>
          <w:rFonts w:ascii="Arial" w:cs="Arial" w:eastAsia="Arial" w:hAnsi="Arial"/>
          <w:sz w:val="17"/>
          <w:szCs w:val="17"/>
          <w:color w:val="auto"/>
        </w:rPr>
        <w:t xml:space="preserve"> shall not be available to a Party if such Order was primarily due to the failure of such Party to perform any of its obligations under this Agreement; or</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61" w:name="page62"/>
    <w:bookmarkEnd w:id="61"/>
    <w:p>
      <w:pPr>
        <w:jc w:val="both"/>
        <w:ind w:left="820" w:firstLine="599"/>
        <w:spacing w:after="0" w:line="254" w:lineRule="auto"/>
        <w:tabs>
          <w:tab w:leader="none" w:pos="2163" w:val="left"/>
        </w:tabs>
        <w:numPr>
          <w:ilvl w:val="0"/>
          <w:numId w:val="61"/>
        </w:numPr>
        <w:rPr>
          <w:rFonts w:ascii="Arial" w:cs="Arial" w:eastAsia="Arial" w:hAnsi="Arial"/>
          <w:sz w:val="17"/>
          <w:szCs w:val="17"/>
          <w:color w:val="010000"/>
        </w:rPr>
      </w:pPr>
      <w:r>
        <w:rPr>
          <w:rFonts w:ascii="Arial" w:cs="Arial" w:eastAsia="Arial" w:hAnsi="Arial"/>
          <w:sz w:val="17"/>
          <w:szCs w:val="17"/>
          <w:color w:val="auto"/>
        </w:rPr>
        <w:t xml:space="preserve">by Sellers if (i) the Buyer Stockholder Approval is not obtained at the Buyer Stockholders Meeting (including any adjournment thereof pursuant to </w:t>
      </w:r>
      <w:r>
        <w:rPr>
          <w:rFonts w:ascii="Arial" w:cs="Arial" w:eastAsia="Arial" w:hAnsi="Arial"/>
          <w:sz w:val="17"/>
          <w:szCs w:val="17"/>
          <w:u w:val="single" w:color="auto"/>
          <w:color w:val="auto"/>
        </w:rPr>
        <w:t>Section 5.05(b)</w:t>
      </w:r>
      <w:r>
        <w:rPr>
          <w:rFonts w:ascii="Arial" w:cs="Arial" w:eastAsia="Arial" w:hAnsi="Arial"/>
          <w:sz w:val="17"/>
          <w:szCs w:val="17"/>
          <w:color w:val="auto"/>
        </w:rPr>
        <w:t>) or (ii) after the date the Buyer Stockholder Redemptions have been consummated if the Buyer Stockholder Redemptions result in Available Cash of immediately prior to the Closing being less than the Minimum Cash Amount.</w:t>
      </w:r>
    </w:p>
    <w:p>
      <w:pPr>
        <w:spacing w:after="0" w:line="176" w:lineRule="exact"/>
        <w:rPr>
          <w:sz w:val="20"/>
          <w:szCs w:val="20"/>
          <w:color w:val="auto"/>
        </w:rPr>
      </w:pPr>
    </w:p>
    <w:p>
      <w:pPr>
        <w:ind w:firstLine="1195"/>
        <w:spacing w:after="0" w:line="264" w:lineRule="auto"/>
        <w:rPr>
          <w:sz w:val="20"/>
          <w:szCs w:val="20"/>
          <w:color w:val="auto"/>
        </w:rPr>
      </w:pPr>
      <w:r>
        <w:rPr>
          <w:rFonts w:ascii="Arial" w:cs="Arial" w:eastAsia="Arial" w:hAnsi="Arial"/>
          <w:sz w:val="17"/>
          <w:szCs w:val="17"/>
          <w:color w:val="010000"/>
        </w:rPr>
        <w:t xml:space="preserve">Section 7.02 </w:t>
      </w:r>
      <w:r>
        <w:rPr>
          <w:rFonts w:ascii="Arial" w:cs="Arial" w:eastAsia="Arial" w:hAnsi="Arial"/>
          <w:sz w:val="17"/>
          <w:szCs w:val="17"/>
          <w:u w:val="single" w:color="auto"/>
          <w:color w:val="000000"/>
        </w:rPr>
        <w:t>Procedure and Effect of Termination</w:t>
      </w:r>
      <w:r>
        <w:rPr>
          <w:rFonts w:ascii="Arial" w:cs="Arial" w:eastAsia="Arial" w:hAnsi="Arial"/>
          <w:sz w:val="17"/>
          <w:szCs w:val="17"/>
          <w:color w:val="000000"/>
        </w:rPr>
        <w:t>. If this Agreement is terminated by Sellers or Buyer pursuant to</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7.01</w:t>
      </w:r>
      <w:r>
        <w:rPr>
          <w:rFonts w:ascii="Arial" w:cs="Arial" w:eastAsia="Arial" w:hAnsi="Arial"/>
          <w:sz w:val="17"/>
          <w:szCs w:val="17"/>
          <w:color w:val="000000"/>
        </w:rPr>
        <w:t>, written notice thereof</w:t>
      </w:r>
      <w:r>
        <w:rPr>
          <w:rFonts w:ascii="Arial" w:cs="Arial" w:eastAsia="Arial" w:hAnsi="Arial"/>
          <w:sz w:val="17"/>
          <w:szCs w:val="17"/>
          <w:color w:val="010000"/>
        </w:rPr>
        <w:t xml:space="preserve"> </w:t>
      </w:r>
      <w:r>
        <w:rPr>
          <w:rFonts w:ascii="Arial" w:cs="Arial" w:eastAsia="Arial" w:hAnsi="Arial"/>
          <w:sz w:val="17"/>
          <w:szCs w:val="17"/>
          <w:color w:val="000000"/>
        </w:rPr>
        <w:t>shall be given to the other Party. If this Agreement is terminated and the Contemplated Transactions are abandoned as provided herein:</w:t>
      </w:r>
    </w:p>
    <w:p>
      <w:pPr>
        <w:spacing w:after="0" w:line="168" w:lineRule="exact"/>
        <w:rPr>
          <w:sz w:val="20"/>
          <w:szCs w:val="20"/>
          <w:color w:val="auto"/>
        </w:rPr>
      </w:pPr>
    </w:p>
    <w:p>
      <w:pPr>
        <w:ind w:left="820" w:firstLine="599"/>
        <w:spacing w:after="0" w:line="264" w:lineRule="auto"/>
        <w:tabs>
          <w:tab w:leader="none" w:pos="2191" w:val="left"/>
        </w:tabs>
        <w:numPr>
          <w:ilvl w:val="0"/>
          <w:numId w:val="62"/>
        </w:numPr>
        <w:rPr>
          <w:rFonts w:ascii="Arial" w:cs="Arial" w:eastAsia="Arial" w:hAnsi="Arial"/>
          <w:sz w:val="17"/>
          <w:szCs w:val="17"/>
          <w:color w:val="010000"/>
        </w:rPr>
      </w:pPr>
      <w:r>
        <w:rPr>
          <w:rFonts w:ascii="Arial" w:cs="Arial" w:eastAsia="Arial" w:hAnsi="Arial"/>
          <w:sz w:val="17"/>
          <w:szCs w:val="17"/>
          <w:color w:val="auto"/>
        </w:rPr>
        <w:t>each Party shall redeliver all documents, work papers and other material of any other Party relating to the Contemplated Transactions, whether so obtained before or after the execution hereof, to the Party furnishing the same;</w:t>
      </w:r>
    </w:p>
    <w:p>
      <w:pPr>
        <w:spacing w:after="0" w:line="167" w:lineRule="exact"/>
        <w:rPr>
          <w:rFonts w:ascii="Arial" w:cs="Arial" w:eastAsia="Arial" w:hAnsi="Arial"/>
          <w:sz w:val="17"/>
          <w:szCs w:val="17"/>
          <w:color w:val="010000"/>
        </w:rPr>
      </w:pPr>
    </w:p>
    <w:p>
      <w:pPr>
        <w:ind w:left="820" w:firstLine="599"/>
        <w:spacing w:after="0" w:line="264" w:lineRule="auto"/>
        <w:tabs>
          <w:tab w:leader="none" w:pos="2113" w:val="left"/>
        </w:tabs>
        <w:numPr>
          <w:ilvl w:val="0"/>
          <w:numId w:val="62"/>
        </w:numPr>
        <w:rPr>
          <w:rFonts w:ascii="Arial" w:cs="Arial" w:eastAsia="Arial" w:hAnsi="Arial"/>
          <w:sz w:val="17"/>
          <w:szCs w:val="17"/>
          <w:color w:val="010000"/>
        </w:rPr>
      </w:pPr>
      <w:r>
        <w:rPr>
          <w:rFonts w:ascii="Arial" w:cs="Arial" w:eastAsia="Arial" w:hAnsi="Arial"/>
          <w:sz w:val="17"/>
          <w:szCs w:val="17"/>
          <w:color w:val="auto"/>
        </w:rPr>
        <w:t>all confidential information received by any Party with respect to the business of the other Party or any of its Affiliates shall be treated in accordance with the provisions of the Confidentiality Agreement, which shall survive the termination of this Agreement; and</w:t>
      </w:r>
    </w:p>
    <w:p>
      <w:pPr>
        <w:spacing w:after="0" w:line="167" w:lineRule="exact"/>
        <w:rPr>
          <w:rFonts w:ascii="Arial" w:cs="Arial" w:eastAsia="Arial" w:hAnsi="Arial"/>
          <w:sz w:val="17"/>
          <w:szCs w:val="17"/>
          <w:color w:val="010000"/>
        </w:rPr>
      </w:pPr>
    </w:p>
    <w:p>
      <w:pPr>
        <w:ind w:left="820" w:firstLine="599"/>
        <w:spacing w:after="0" w:line="264" w:lineRule="auto"/>
        <w:tabs>
          <w:tab w:leader="none" w:pos="2315" w:val="left"/>
        </w:tabs>
        <w:numPr>
          <w:ilvl w:val="0"/>
          <w:numId w:val="62"/>
        </w:numPr>
        <w:rPr>
          <w:rFonts w:ascii="Arial" w:cs="Arial" w:eastAsia="Arial" w:hAnsi="Arial"/>
          <w:sz w:val="17"/>
          <w:szCs w:val="17"/>
          <w:color w:val="010000"/>
        </w:rPr>
      </w:pPr>
      <w:r>
        <w:rPr>
          <w:rFonts w:ascii="Arial" w:cs="Arial" w:eastAsia="Arial" w:hAnsi="Arial"/>
          <w:sz w:val="17"/>
          <w:szCs w:val="17"/>
          <w:color w:val="auto"/>
        </w:rPr>
        <w:t>all filings, applications and other submissions made to any Person, including any Governmental Authority, in connection with the Contemplated Transactions shall, to the extent practicable, be withdrawn from such Person.</w:t>
      </w:r>
    </w:p>
    <w:p>
      <w:pPr>
        <w:spacing w:after="0" w:line="168" w:lineRule="exact"/>
        <w:rPr>
          <w:sz w:val="20"/>
          <w:szCs w:val="20"/>
          <w:color w:val="auto"/>
        </w:rPr>
      </w:pPr>
    </w:p>
    <w:p>
      <w:pPr>
        <w:jc w:val="both"/>
        <w:ind w:firstLine="1195"/>
        <w:spacing w:after="0" w:line="290" w:lineRule="auto"/>
        <w:rPr>
          <w:sz w:val="20"/>
          <w:szCs w:val="20"/>
          <w:color w:val="auto"/>
        </w:rPr>
      </w:pPr>
      <w:r>
        <w:rPr>
          <w:rFonts w:ascii="Arial" w:cs="Arial" w:eastAsia="Arial" w:hAnsi="Arial"/>
          <w:sz w:val="15"/>
          <w:szCs w:val="15"/>
          <w:color w:val="010000"/>
        </w:rPr>
        <w:t xml:space="preserve">Section 7.03 </w:t>
      </w:r>
      <w:r>
        <w:rPr>
          <w:rFonts w:ascii="Arial" w:cs="Arial" w:eastAsia="Arial" w:hAnsi="Arial"/>
          <w:sz w:val="15"/>
          <w:szCs w:val="15"/>
          <w:u w:val="single" w:color="auto"/>
          <w:color w:val="000000"/>
        </w:rPr>
        <w:t>Effect of Termination</w:t>
      </w:r>
      <w:r>
        <w:rPr>
          <w:rFonts w:ascii="Arial" w:cs="Arial" w:eastAsia="Arial" w:hAnsi="Arial"/>
          <w:sz w:val="15"/>
          <w:szCs w:val="15"/>
          <w:color w:val="000000"/>
        </w:rPr>
        <w:t>. If this Agreement is terminated and the Contemplated Transactions are abandoned in accordance with</w:t>
      </w:r>
      <w:r>
        <w:rPr>
          <w:rFonts w:ascii="Arial" w:cs="Arial" w:eastAsia="Arial" w:hAnsi="Arial"/>
          <w:sz w:val="15"/>
          <w:szCs w:val="15"/>
          <w:color w:val="010000"/>
        </w:rPr>
        <w:t xml:space="preserve"> </w:t>
      </w:r>
      <w:r>
        <w:rPr>
          <w:rFonts w:ascii="Arial" w:cs="Arial" w:eastAsia="Arial" w:hAnsi="Arial"/>
          <w:sz w:val="15"/>
          <w:szCs w:val="15"/>
          <w:u w:val="single" w:color="auto"/>
          <w:color w:val="000000"/>
        </w:rPr>
        <w:t>Section 7.01</w:t>
      </w:r>
      <w:r>
        <w:rPr>
          <w:rFonts w:ascii="Arial" w:cs="Arial" w:eastAsia="Arial" w:hAnsi="Arial"/>
          <w:sz w:val="15"/>
          <w:szCs w:val="15"/>
          <w:color w:val="000000"/>
        </w:rPr>
        <w:t>,</w:t>
      </w:r>
      <w:r>
        <w:rPr>
          <w:rFonts w:ascii="Arial" w:cs="Arial" w:eastAsia="Arial" w:hAnsi="Arial"/>
          <w:sz w:val="15"/>
          <w:szCs w:val="15"/>
          <w:color w:val="010000"/>
        </w:rPr>
        <w:t xml:space="preserve"> </w:t>
      </w:r>
      <w:r>
        <w:rPr>
          <w:rFonts w:ascii="Arial" w:cs="Arial" w:eastAsia="Arial" w:hAnsi="Arial"/>
          <w:sz w:val="15"/>
          <w:szCs w:val="15"/>
          <w:color w:val="000000"/>
        </w:rPr>
        <w:t xml:space="preserve">this Agreement shall become void and of no further force and effect (other than </w:t>
      </w:r>
      <w:r>
        <w:rPr>
          <w:rFonts w:ascii="Arial" w:cs="Arial" w:eastAsia="Arial" w:hAnsi="Arial"/>
          <w:sz w:val="15"/>
          <w:szCs w:val="15"/>
          <w:u w:val="single" w:color="auto"/>
          <w:color w:val="000000"/>
        </w:rPr>
        <w:t>Section 5.12</w:t>
      </w:r>
      <w:r>
        <w:rPr>
          <w:rFonts w:ascii="Arial" w:cs="Arial" w:eastAsia="Arial" w:hAnsi="Arial"/>
          <w:sz w:val="15"/>
          <w:szCs w:val="15"/>
          <w:color w:val="000000"/>
        </w:rPr>
        <w:t xml:space="preserve">, </w:t>
      </w:r>
      <w:r>
        <w:rPr>
          <w:rFonts w:ascii="Arial" w:cs="Arial" w:eastAsia="Arial" w:hAnsi="Arial"/>
          <w:sz w:val="15"/>
          <w:szCs w:val="15"/>
          <w:u w:val="single" w:color="auto"/>
          <w:color w:val="000000"/>
        </w:rPr>
        <w:t>Section 7.02</w:t>
      </w:r>
      <w:r>
        <w:rPr>
          <w:rFonts w:ascii="Arial" w:cs="Arial" w:eastAsia="Arial" w:hAnsi="Arial"/>
          <w:sz w:val="15"/>
          <w:szCs w:val="15"/>
          <w:color w:val="000000"/>
        </w:rPr>
        <w:t xml:space="preserve">, this </w:t>
      </w:r>
      <w:r>
        <w:rPr>
          <w:rFonts w:ascii="Arial" w:cs="Arial" w:eastAsia="Arial" w:hAnsi="Arial"/>
          <w:sz w:val="15"/>
          <w:szCs w:val="15"/>
          <w:u w:val="single" w:color="auto"/>
          <w:color w:val="000000"/>
        </w:rPr>
        <w:t>Section 7.03</w:t>
      </w:r>
      <w:r>
        <w:rPr>
          <w:rFonts w:ascii="Arial" w:cs="Arial" w:eastAsia="Arial" w:hAnsi="Arial"/>
          <w:sz w:val="15"/>
          <w:szCs w:val="15"/>
          <w:color w:val="000000"/>
        </w:rPr>
        <w:t xml:space="preserve">, and </w:t>
      </w:r>
      <w:r>
        <w:rPr>
          <w:rFonts w:ascii="Arial" w:cs="Arial" w:eastAsia="Arial" w:hAnsi="Arial"/>
          <w:sz w:val="15"/>
          <w:szCs w:val="15"/>
          <w:u w:val="single" w:color="auto"/>
          <w:color w:val="000000"/>
        </w:rPr>
        <w:t>Article VIII</w:t>
      </w:r>
      <w:r>
        <w:rPr>
          <w:rFonts w:ascii="Arial" w:cs="Arial" w:eastAsia="Arial" w:hAnsi="Arial"/>
          <w:sz w:val="15"/>
          <w:szCs w:val="15"/>
          <w:color w:val="000000"/>
        </w:rPr>
        <w:t xml:space="preserve">, each of which shall survive the termination of this Agreement and be enforceable by the Parties), and there shall be no liability or obligation on the part of any Party to the other Party; </w:t>
      </w:r>
      <w:r>
        <w:rPr>
          <w:rFonts w:ascii="Arial" w:cs="Arial" w:eastAsia="Arial" w:hAnsi="Arial"/>
          <w:sz w:val="15"/>
          <w:szCs w:val="15"/>
          <w:u w:val="single" w:color="auto"/>
          <w:color w:val="000000"/>
        </w:rPr>
        <w:t>provided</w:t>
      </w:r>
      <w:r>
        <w:rPr>
          <w:rFonts w:ascii="Arial" w:cs="Arial" w:eastAsia="Arial" w:hAnsi="Arial"/>
          <w:sz w:val="15"/>
          <w:szCs w:val="15"/>
          <w:color w:val="000000"/>
        </w:rPr>
        <w:t xml:space="preserve">, </w:t>
      </w:r>
      <w:r>
        <w:rPr>
          <w:rFonts w:ascii="Arial" w:cs="Arial" w:eastAsia="Arial" w:hAnsi="Arial"/>
          <w:sz w:val="15"/>
          <w:szCs w:val="15"/>
          <w:u w:val="single" w:color="auto"/>
          <w:color w:val="000000"/>
        </w:rPr>
        <w:t>however</w:t>
      </w:r>
      <w:r>
        <w:rPr>
          <w:rFonts w:ascii="Arial" w:cs="Arial" w:eastAsia="Arial" w:hAnsi="Arial"/>
          <w:sz w:val="15"/>
          <w:szCs w:val="15"/>
          <w:color w:val="000000"/>
        </w:rPr>
        <w:t>, that nothing herein shall relieve any Party from any liability for any willful and material breach of the provisions of this Agreement by such Party prior to the termination of this Agreement, in which case, the non-breaching Parties shall be entitled to all rights and remedies available at law and in equity.</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7"/>
          <w:szCs w:val="17"/>
          <w:color w:val="010000"/>
        </w:rPr>
        <w:t>ARTICLE VIII</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MISCELLANEOUS</w:t>
      </w:r>
    </w:p>
    <w:p>
      <w:pPr>
        <w:spacing w:after="0" w:line="203" w:lineRule="exact"/>
        <w:rPr>
          <w:sz w:val="20"/>
          <w:szCs w:val="20"/>
          <w:color w:val="auto"/>
        </w:rPr>
      </w:pPr>
    </w:p>
    <w:p>
      <w:pPr>
        <w:jc w:val="both"/>
        <w:ind w:firstLine="1195"/>
        <w:spacing w:after="0" w:line="290" w:lineRule="auto"/>
        <w:rPr>
          <w:sz w:val="20"/>
          <w:szCs w:val="20"/>
          <w:color w:val="auto"/>
        </w:rPr>
      </w:pPr>
      <w:r>
        <w:rPr>
          <w:rFonts w:ascii="Arial" w:cs="Arial" w:eastAsia="Arial" w:hAnsi="Arial"/>
          <w:sz w:val="15"/>
          <w:szCs w:val="15"/>
          <w:color w:val="010000"/>
        </w:rPr>
        <w:t xml:space="preserve">Section 8.01 </w:t>
      </w:r>
      <w:r>
        <w:rPr>
          <w:rFonts w:ascii="Arial" w:cs="Arial" w:eastAsia="Arial" w:hAnsi="Arial"/>
          <w:sz w:val="15"/>
          <w:szCs w:val="15"/>
          <w:u w:val="single" w:color="auto"/>
          <w:color w:val="000000"/>
        </w:rPr>
        <w:t>Notices</w:t>
      </w:r>
      <w:r>
        <w:rPr>
          <w:rFonts w:ascii="Arial" w:cs="Arial" w:eastAsia="Arial" w:hAnsi="Arial"/>
          <w:sz w:val="15"/>
          <w:szCs w:val="15"/>
          <w:color w:val="000000"/>
        </w:rPr>
        <w:t>. All notices, consents and other communications hereunder (a) shall be in writing; (b) shall be deemed to have been duly given (i)</w:t>
      </w:r>
      <w:r>
        <w:rPr>
          <w:rFonts w:ascii="Arial" w:cs="Arial" w:eastAsia="Arial" w:hAnsi="Arial"/>
          <w:sz w:val="15"/>
          <w:szCs w:val="15"/>
          <w:color w:val="010000"/>
        </w:rPr>
        <w:t xml:space="preserve"> </w:t>
      </w:r>
      <w:r>
        <w:rPr>
          <w:rFonts w:ascii="Arial" w:cs="Arial" w:eastAsia="Arial" w:hAnsi="Arial"/>
          <w:sz w:val="15"/>
          <w:szCs w:val="15"/>
          <w:color w:val="000000"/>
        </w:rPr>
        <w:t xml:space="preserve">when delivered by hand or by Federal Express or a similar overnight courier to the address for such Party set forth below; (ii) five (5) days after being post-marked by the United States Postal Service enclosed in a postage-prepaid, registered or certified envelope addressed to the address of such Party set forth below; or (iii) when successfully transmitted by email to the email address for such Party set forth below; and (c) shall be sent to the following addresses or email addresses (or at such other address or email address for a Party as shall be specified by like notice; </w:t>
      </w:r>
      <w:r>
        <w:rPr>
          <w:rFonts w:ascii="Arial" w:cs="Arial" w:eastAsia="Arial" w:hAnsi="Arial"/>
          <w:sz w:val="15"/>
          <w:szCs w:val="15"/>
          <w:u w:val="single" w:color="auto"/>
          <w:color w:val="000000"/>
        </w:rPr>
        <w:t>provided</w:t>
      </w:r>
      <w:r>
        <w:rPr>
          <w:rFonts w:ascii="Arial" w:cs="Arial" w:eastAsia="Arial" w:hAnsi="Arial"/>
          <w:sz w:val="15"/>
          <w:szCs w:val="15"/>
          <w:color w:val="000000"/>
        </w:rPr>
        <w:t xml:space="preserve">, </w:t>
      </w:r>
      <w:r>
        <w:rPr>
          <w:rFonts w:ascii="Arial" w:cs="Arial" w:eastAsia="Arial" w:hAnsi="Arial"/>
          <w:sz w:val="15"/>
          <w:szCs w:val="15"/>
          <w:u w:val="single" w:color="auto"/>
          <w:color w:val="000000"/>
        </w:rPr>
        <w:t>however</w:t>
      </w:r>
      <w:r>
        <w:rPr>
          <w:rFonts w:ascii="Arial" w:cs="Arial" w:eastAsia="Arial" w:hAnsi="Arial"/>
          <w:sz w:val="15"/>
          <w:szCs w:val="15"/>
          <w:color w:val="000000"/>
        </w:rPr>
        <w:t>, that any notice of change of email address shall be effective only upon receipt):</w:t>
      </w:r>
    </w:p>
    <w:p>
      <w:pPr>
        <w:spacing w:after="0" w:line="153" w:lineRule="exact"/>
        <w:rPr>
          <w:sz w:val="20"/>
          <w:szCs w:val="20"/>
          <w:color w:val="auto"/>
        </w:rPr>
      </w:pPr>
    </w:p>
    <w:p>
      <w:pPr>
        <w:ind w:left="1800" w:hanging="605"/>
        <w:spacing w:after="0"/>
        <w:tabs>
          <w:tab w:leader="none" w:pos="1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to Sellers, to:</w:t>
      </w:r>
    </w:p>
    <w:p>
      <w:pPr>
        <w:spacing w:after="0" w:line="202"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7"/>
          <w:szCs w:val="17"/>
          <w:color w:val="auto"/>
        </w:rPr>
        <w:t>c/o PSD Partners</w:t>
      </w:r>
    </w:p>
    <w:p>
      <w:pPr>
        <w:spacing w:after="0" w:line="16" w:lineRule="exact"/>
        <w:rPr>
          <w:rFonts w:ascii="Arial" w:cs="Arial" w:eastAsia="Arial" w:hAnsi="Arial"/>
          <w:sz w:val="17"/>
          <w:szCs w:val="17"/>
          <w:color w:val="auto"/>
        </w:rPr>
      </w:pPr>
    </w:p>
    <w:p>
      <w:pPr>
        <w:ind w:left="1800" w:right="7560"/>
        <w:spacing w:after="0" w:line="235" w:lineRule="auto"/>
        <w:rPr>
          <w:rFonts w:ascii="Arial" w:cs="Arial" w:eastAsia="Arial" w:hAnsi="Arial"/>
          <w:sz w:val="17"/>
          <w:szCs w:val="17"/>
          <w:color w:val="auto"/>
        </w:rPr>
      </w:pPr>
      <w:r>
        <w:rPr>
          <w:rFonts w:ascii="Arial" w:cs="Arial" w:eastAsia="Arial" w:hAnsi="Arial"/>
          <w:sz w:val="16"/>
          <w:szCs w:val="16"/>
          <w:color w:val="auto"/>
        </w:rPr>
        <w:t>19 West 44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1416 New York, New York 10036 Email: tpriore@pps.io Attn: Thomas C. Priore</w:t>
      </w:r>
    </w:p>
    <w:p>
      <w:pPr>
        <w:spacing w:after="0" w:line="187"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7"/>
          <w:szCs w:val="17"/>
          <w:color w:val="auto"/>
        </w:rPr>
        <w:t>with copy (which shall not constitute notice) to:</w:t>
      </w:r>
    </w:p>
    <w:p>
      <w:pPr>
        <w:spacing w:after="0" w:line="202" w:lineRule="exact"/>
        <w:rPr>
          <w:rFonts w:ascii="Arial" w:cs="Arial" w:eastAsia="Arial" w:hAnsi="Arial"/>
          <w:sz w:val="17"/>
          <w:szCs w:val="17"/>
          <w:color w:val="auto"/>
        </w:rPr>
      </w:pPr>
    </w:p>
    <w:p>
      <w:pPr>
        <w:ind w:left="1800" w:right="7840"/>
        <w:spacing w:after="0" w:line="252" w:lineRule="auto"/>
        <w:rPr>
          <w:rFonts w:ascii="Arial" w:cs="Arial" w:eastAsia="Arial" w:hAnsi="Arial"/>
          <w:sz w:val="17"/>
          <w:szCs w:val="17"/>
          <w:color w:val="auto"/>
        </w:rPr>
      </w:pPr>
      <w:r>
        <w:rPr>
          <w:rFonts w:ascii="Arial" w:cs="Arial" w:eastAsia="Arial" w:hAnsi="Arial"/>
          <w:sz w:val="17"/>
          <w:szCs w:val="17"/>
          <w:color w:val="auto"/>
        </w:rPr>
        <w:t>Schulte Roth &amp; Zabel LLP 919 Third Avenue</w:t>
      </w:r>
    </w:p>
    <w:p>
      <w:pPr>
        <w:ind w:left="1800" w:right="7240"/>
        <w:spacing w:after="0" w:line="269" w:lineRule="auto"/>
        <w:rPr>
          <w:rFonts w:ascii="Arial" w:cs="Arial" w:eastAsia="Arial" w:hAnsi="Arial"/>
          <w:sz w:val="17"/>
          <w:szCs w:val="17"/>
          <w:color w:val="auto"/>
        </w:rPr>
      </w:pPr>
      <w:r>
        <w:rPr>
          <w:rFonts w:ascii="Arial" w:cs="Arial" w:eastAsia="Arial" w:hAnsi="Arial"/>
          <w:sz w:val="16"/>
          <w:szCs w:val="16"/>
          <w:color w:val="auto"/>
        </w:rPr>
        <w:t>New York, New York 10022 Email: michael.gilligan@srz.com Attn: Michael E. Gilligan</w:t>
      </w:r>
    </w:p>
    <w:p>
      <w:pPr>
        <w:spacing w:after="0" w:line="165" w:lineRule="exact"/>
        <w:rPr>
          <w:rFonts w:ascii="Arial" w:cs="Arial" w:eastAsia="Arial" w:hAnsi="Arial"/>
          <w:sz w:val="17"/>
          <w:szCs w:val="17"/>
          <w:color w:val="auto"/>
        </w:rPr>
      </w:pPr>
    </w:p>
    <w:p>
      <w:pPr>
        <w:ind w:left="1820" w:hanging="625"/>
        <w:spacing w:after="0"/>
        <w:tabs>
          <w:tab w:leader="none" w:pos="18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to Buyer, to:</w:t>
      </w:r>
    </w:p>
    <w:p>
      <w:pPr>
        <w:spacing w:after="0" w:line="202" w:lineRule="exact"/>
        <w:rPr>
          <w:rFonts w:ascii="Arial" w:cs="Arial" w:eastAsia="Arial" w:hAnsi="Arial"/>
          <w:sz w:val="17"/>
          <w:szCs w:val="17"/>
          <w:color w:val="auto"/>
        </w:rPr>
      </w:pPr>
    </w:p>
    <w:p>
      <w:pPr>
        <w:ind w:left="1800" w:right="7480"/>
        <w:spacing w:after="0" w:line="243" w:lineRule="auto"/>
        <w:rPr>
          <w:rFonts w:ascii="Arial" w:cs="Arial" w:eastAsia="Arial" w:hAnsi="Arial"/>
          <w:sz w:val="17"/>
          <w:szCs w:val="17"/>
          <w:color w:val="auto"/>
        </w:rPr>
      </w:pPr>
      <w:r>
        <w:rPr>
          <w:rFonts w:ascii="Arial" w:cs="Arial" w:eastAsia="Arial" w:hAnsi="Arial"/>
          <w:sz w:val="16"/>
          <w:szCs w:val="16"/>
          <w:color w:val="auto"/>
        </w:rPr>
        <w:t>c/o Magna Management, LLC 40 Wall Street, 58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10005 Email: marc.manuel@mag.na Attn: Marc Manuel</w:t>
      </w:r>
    </w:p>
    <w:p>
      <w:pPr>
        <w:spacing w:after="0" w:line="184"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7"/>
          <w:szCs w:val="17"/>
          <w:color w:val="auto"/>
        </w:rPr>
        <w:t>with a copy (which shall not constitute notice) to:</w:t>
      </w:r>
    </w:p>
    <w:p>
      <w:pPr>
        <w:spacing w:after="0" w:line="202" w:lineRule="exact"/>
        <w:rPr>
          <w:rFonts w:ascii="Arial" w:cs="Arial" w:eastAsia="Arial" w:hAnsi="Arial"/>
          <w:sz w:val="17"/>
          <w:szCs w:val="17"/>
          <w:color w:val="auto"/>
        </w:rPr>
      </w:pPr>
    </w:p>
    <w:p>
      <w:pPr>
        <w:ind w:left="1800" w:right="8400"/>
        <w:spacing w:after="0" w:line="285" w:lineRule="auto"/>
        <w:rPr>
          <w:rFonts w:ascii="Arial" w:cs="Arial" w:eastAsia="Arial" w:hAnsi="Arial"/>
          <w:sz w:val="17"/>
          <w:szCs w:val="17"/>
          <w:color w:val="auto"/>
        </w:rPr>
      </w:pPr>
      <w:r>
        <w:rPr>
          <w:rFonts w:ascii="Arial" w:cs="Arial" w:eastAsia="Arial" w:hAnsi="Arial"/>
          <w:sz w:val="15"/>
          <w:szCs w:val="15"/>
          <w:color w:val="auto"/>
        </w:rPr>
        <w:t>Loeb &amp; Loeb LLP 345 Park Avenue</w:t>
      </w:r>
    </w:p>
    <w:p>
      <w:pPr>
        <w:spacing w:after="0" w:line="1" w:lineRule="exact"/>
        <w:rPr>
          <w:rFonts w:ascii="Arial" w:cs="Arial" w:eastAsia="Arial" w:hAnsi="Arial"/>
          <w:sz w:val="17"/>
          <w:szCs w:val="17"/>
          <w:color w:val="auto"/>
        </w:rPr>
      </w:pPr>
    </w:p>
    <w:p>
      <w:pPr>
        <w:jc w:val="both"/>
        <w:ind w:left="1800" w:right="7700"/>
        <w:spacing w:after="0" w:line="295" w:lineRule="auto"/>
        <w:rPr>
          <w:rFonts w:ascii="Arial" w:cs="Arial" w:eastAsia="Arial" w:hAnsi="Arial"/>
          <w:sz w:val="17"/>
          <w:szCs w:val="17"/>
          <w:color w:val="auto"/>
        </w:rPr>
      </w:pPr>
      <w:r>
        <w:rPr>
          <w:rFonts w:ascii="Arial" w:cs="Arial" w:eastAsia="Arial" w:hAnsi="Arial"/>
          <w:sz w:val="15"/>
          <w:szCs w:val="15"/>
          <w:color w:val="auto"/>
        </w:rPr>
        <w:t>New York, New York 10154 Email: gcaruso@loeb.com Attn: Giovanni Caruso</w:t>
      </w:r>
    </w:p>
    <w:p>
      <w:pPr>
        <w:spacing w:after="0" w:line="148" w:lineRule="exact"/>
        <w:rPr>
          <w:sz w:val="20"/>
          <w:szCs w:val="20"/>
          <w:color w:val="auto"/>
        </w:rPr>
      </w:pPr>
    </w:p>
    <w:p>
      <w:pPr>
        <w:ind w:left="1200"/>
        <w:spacing w:after="0"/>
        <w:tabs>
          <w:tab w:leader="none" w:pos="2240" w:val="left"/>
        </w:tabs>
        <w:rPr>
          <w:sz w:val="20"/>
          <w:szCs w:val="20"/>
          <w:color w:val="auto"/>
        </w:rPr>
      </w:pPr>
      <w:r>
        <w:rPr>
          <w:rFonts w:ascii="Arial" w:cs="Arial" w:eastAsia="Arial" w:hAnsi="Arial"/>
          <w:sz w:val="17"/>
          <w:szCs w:val="17"/>
          <w:color w:val="010000"/>
        </w:rPr>
        <w:t>Section 8.02</w:t>
      </w:r>
      <w:r>
        <w:rPr>
          <w:sz w:val="20"/>
          <w:szCs w:val="20"/>
          <w:color w:val="auto"/>
        </w:rPr>
        <w:tab/>
      </w:r>
      <w:r>
        <w:rPr>
          <w:rFonts w:ascii="Arial" w:cs="Arial" w:eastAsia="Arial" w:hAnsi="Arial"/>
          <w:sz w:val="15"/>
          <w:szCs w:val="15"/>
          <w:u w:val="single" w:color="auto"/>
          <w:color w:val="auto"/>
        </w:rPr>
        <w:t>Amendments and Modifications</w:t>
      </w:r>
      <w:r>
        <w:rPr>
          <w:rFonts w:ascii="Arial" w:cs="Arial" w:eastAsia="Arial" w:hAnsi="Arial"/>
          <w:sz w:val="15"/>
          <w:szCs w:val="15"/>
          <w:color w:val="auto"/>
        </w:rPr>
        <w:t>. Any provision of this Agreement may be amended or modified only by a written instrument signed by</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each Party.</w:t>
      </w:r>
    </w:p>
    <w:p>
      <w:pPr>
        <w:spacing w:after="0" w:line="190" w:lineRule="exact"/>
        <w:rPr>
          <w:sz w:val="20"/>
          <w:szCs w:val="20"/>
          <w:color w:val="auto"/>
        </w:rPr>
      </w:pPr>
    </w:p>
    <w:p>
      <w:pPr>
        <w:jc w:val="both"/>
        <w:ind w:firstLine="1195"/>
        <w:spacing w:after="0" w:line="290" w:lineRule="auto"/>
        <w:rPr>
          <w:sz w:val="20"/>
          <w:szCs w:val="20"/>
          <w:color w:val="auto"/>
        </w:rPr>
      </w:pPr>
      <w:r>
        <w:rPr>
          <w:rFonts w:ascii="Arial" w:cs="Arial" w:eastAsia="Arial" w:hAnsi="Arial"/>
          <w:sz w:val="15"/>
          <w:szCs w:val="15"/>
          <w:color w:val="010000"/>
        </w:rPr>
        <w:t xml:space="preserve">Section 8.03 </w:t>
      </w:r>
      <w:r>
        <w:rPr>
          <w:rFonts w:ascii="Arial" w:cs="Arial" w:eastAsia="Arial" w:hAnsi="Arial"/>
          <w:sz w:val="15"/>
          <w:szCs w:val="15"/>
          <w:u w:val="single" w:color="auto"/>
          <w:color w:val="000000"/>
        </w:rPr>
        <w:t>Waiver</w:t>
      </w:r>
      <w:r>
        <w:rPr>
          <w:rFonts w:ascii="Arial" w:cs="Arial" w:eastAsia="Arial" w:hAnsi="Arial"/>
          <w:sz w:val="15"/>
          <w:szCs w:val="15"/>
          <w:color w:val="000000"/>
        </w:rPr>
        <w:t>. No waiver hereunder shall be valid or binding unless set forth in writing and duly executed by the Party against whom</w:t>
      </w:r>
      <w:r>
        <w:rPr>
          <w:rFonts w:ascii="Arial" w:cs="Arial" w:eastAsia="Arial" w:hAnsi="Arial"/>
          <w:sz w:val="15"/>
          <w:szCs w:val="15"/>
          <w:color w:val="010000"/>
        </w:rPr>
        <w:t xml:space="preserve"> </w:t>
      </w:r>
      <w:r>
        <w:rPr>
          <w:rFonts w:ascii="Arial" w:cs="Arial" w:eastAsia="Arial" w:hAnsi="Arial"/>
          <w:sz w:val="15"/>
          <w:szCs w:val="15"/>
          <w:color w:val="000000"/>
        </w:rPr>
        <w:t>enforcement of the waiver is sought. Any such waiver shall constitute a waiver only with respect to the specific matter described in such writing and shall in no way impair the rights of the Party granting such waiver in any other respect or at any other time. Neither the waiver by any Party of a breach of or a default under any provision of this Agreement, nor the failure by any Party, on one or more occasions, to enforce any provision of this Agreement or to exercise any right or privilege hereunder, shall be construed as a waiver of any other breach or default of a similar nature, or as a waiver of any such provision, right or privilege hereunder.</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63" w:name="page64"/>
    <w:bookmarkEnd w:id="63"/>
    <w:p>
      <w:pPr>
        <w:jc w:val="both"/>
        <w:ind w:firstLine="1195"/>
        <w:spacing w:after="0" w:line="263" w:lineRule="auto"/>
        <w:rPr>
          <w:sz w:val="20"/>
          <w:szCs w:val="20"/>
          <w:color w:val="auto"/>
        </w:rPr>
      </w:pPr>
      <w:r>
        <w:rPr>
          <w:rFonts w:ascii="Arial" w:cs="Arial" w:eastAsia="Arial" w:hAnsi="Arial"/>
          <w:sz w:val="16"/>
          <w:szCs w:val="16"/>
          <w:color w:val="010000"/>
        </w:rPr>
        <w:t xml:space="preserve">Section 8.04 </w:t>
      </w:r>
      <w:r>
        <w:rPr>
          <w:rFonts w:ascii="Arial" w:cs="Arial" w:eastAsia="Arial" w:hAnsi="Arial"/>
          <w:sz w:val="16"/>
          <w:szCs w:val="16"/>
          <w:u w:val="single" w:color="auto"/>
          <w:color w:val="000000"/>
        </w:rPr>
        <w:t>Disclosure Letter and Buyer Disclosure Letter References</w:t>
      </w:r>
      <w:r>
        <w:rPr>
          <w:rFonts w:ascii="Arial" w:cs="Arial" w:eastAsia="Arial" w:hAnsi="Arial"/>
          <w:sz w:val="16"/>
          <w:szCs w:val="16"/>
          <w:color w:val="000000"/>
        </w:rPr>
        <w:t>. The disclosure of any matter in any Section of the Disclosure Letter or the</w:t>
      </w:r>
      <w:r>
        <w:rPr>
          <w:rFonts w:ascii="Arial" w:cs="Arial" w:eastAsia="Arial" w:hAnsi="Arial"/>
          <w:sz w:val="16"/>
          <w:szCs w:val="16"/>
          <w:color w:val="010000"/>
        </w:rPr>
        <w:t xml:space="preserve"> </w:t>
      </w:r>
      <w:r>
        <w:rPr>
          <w:rFonts w:ascii="Arial" w:cs="Arial" w:eastAsia="Arial" w:hAnsi="Arial"/>
          <w:sz w:val="16"/>
          <w:szCs w:val="16"/>
          <w:color w:val="000000"/>
        </w:rPr>
        <w:t>Buyer Disclosure Letter, as applicable, shall be deemed to be a disclosure for all purposes of this Agreement and for all Sections of the Disclosure Letter or the Buyer Disclosure Letter, as applicable, (it being agreed that any matter disclosed in any Section of the Disclosure Letter or the Buyer Disclosure Letter, as applicable, shall be deemed to be disclosed herein with respect to any other Section of this Agreement to the extent that it is reasonably apparent from such disclosure that such disclosure is applicable to such other Section of this Agreement) but shall expressly not be deemed to constitute an admission or indication by any Seller or Buyer, as applicable, or to otherwise imply, that any such matter is material for the purposes of this Agreement. Nor shall any disclosure in a Section of the Disclosure Letter or the Buyer Disclosure Letter, as applicable, be deemed to constitute an acknowledgment that any such matter is required to be disclosed. No disclosure in any Section of the Disclosure Letter or the Buyer Disclosure Letter, as applicable, relating to a possible breach or violation of any Contract or Law shall be construed as an admission or indication that breach or violation exists or has actually occurred. The disclosure of any matter in any Section of the Disclosure Letter or the Buyer Disclosure Letter is not to be treated as constituting or implying any representation, warranty, assurance or undertaking by a Party not expressly set forth herein or as adding to or extending the scope of any of a Party’s representations or warranties set forth herein. Any capitalized terms used in any Disclosure Letter but not otherwise defined therein shall be defined as set forth herein.</w:t>
      </w:r>
    </w:p>
    <w:p>
      <w:pPr>
        <w:spacing w:after="0" w:line="170" w:lineRule="exact"/>
        <w:rPr>
          <w:sz w:val="20"/>
          <w:szCs w:val="20"/>
          <w:color w:val="auto"/>
        </w:rPr>
      </w:pPr>
    </w:p>
    <w:p>
      <w:pPr>
        <w:jc w:val="both"/>
        <w:ind w:firstLine="1195"/>
        <w:spacing w:after="0" w:line="249" w:lineRule="auto"/>
        <w:rPr>
          <w:sz w:val="20"/>
          <w:szCs w:val="20"/>
          <w:color w:val="auto"/>
        </w:rPr>
      </w:pPr>
      <w:r>
        <w:rPr>
          <w:rFonts w:ascii="Arial" w:cs="Arial" w:eastAsia="Arial" w:hAnsi="Arial"/>
          <w:sz w:val="17"/>
          <w:szCs w:val="17"/>
          <w:color w:val="010000"/>
        </w:rPr>
        <w:t xml:space="preserve">Section 8.05 </w:t>
      </w:r>
      <w:r>
        <w:rPr>
          <w:rFonts w:ascii="Arial" w:cs="Arial" w:eastAsia="Arial" w:hAnsi="Arial"/>
          <w:sz w:val="17"/>
          <w:szCs w:val="17"/>
          <w:u w:val="single" w:color="auto"/>
          <w:color w:val="000000"/>
        </w:rPr>
        <w:t>Expenses</w:t>
      </w:r>
      <w:r>
        <w:rPr>
          <w:rFonts w:ascii="Arial" w:cs="Arial" w:eastAsia="Arial" w:hAnsi="Arial"/>
          <w:sz w:val="17"/>
          <w:szCs w:val="17"/>
          <w:color w:val="000000"/>
        </w:rPr>
        <w:t>. Except as otherwise expressly provided herein, all costs and expenses incurred in connection with the preparation, negotiation</w:t>
      </w:r>
      <w:r>
        <w:rPr>
          <w:rFonts w:ascii="Arial" w:cs="Arial" w:eastAsia="Arial" w:hAnsi="Arial"/>
          <w:sz w:val="17"/>
          <w:szCs w:val="17"/>
          <w:color w:val="010000"/>
        </w:rPr>
        <w:t xml:space="preserve"> </w:t>
      </w:r>
      <w:r>
        <w:rPr>
          <w:rFonts w:ascii="Arial" w:cs="Arial" w:eastAsia="Arial" w:hAnsi="Arial"/>
          <w:sz w:val="17"/>
          <w:szCs w:val="17"/>
          <w:color w:val="000000"/>
        </w:rPr>
        <w:t xml:space="preserve">and execution of this Agreement, the Contemplated Transactions, and the consummation of the Contemplated Transactions, including any advisor fees and expenses, whether or not the Contemplated Transactions are consummated, shall be paid by the Person incurring such cost or expense;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for the avoidance of doubt, nothing in this </w:t>
      </w:r>
      <w:r>
        <w:rPr>
          <w:rFonts w:ascii="Arial" w:cs="Arial" w:eastAsia="Arial" w:hAnsi="Arial"/>
          <w:sz w:val="17"/>
          <w:szCs w:val="17"/>
          <w:u w:val="single" w:color="auto"/>
          <w:color w:val="000000"/>
        </w:rPr>
        <w:t>Section 8.05</w:t>
      </w:r>
      <w:r>
        <w:rPr>
          <w:rFonts w:ascii="Arial" w:cs="Arial" w:eastAsia="Arial" w:hAnsi="Arial"/>
          <w:sz w:val="17"/>
          <w:szCs w:val="17"/>
          <w:color w:val="000000"/>
        </w:rPr>
        <w:t xml:space="preserve"> shall impair a Party’s rights under </w:t>
      </w:r>
      <w:r>
        <w:rPr>
          <w:rFonts w:ascii="Arial" w:cs="Arial" w:eastAsia="Arial" w:hAnsi="Arial"/>
          <w:sz w:val="17"/>
          <w:szCs w:val="17"/>
          <w:u w:val="single" w:color="auto"/>
          <w:color w:val="000000"/>
        </w:rPr>
        <w:t>Section 7.03</w:t>
      </w:r>
      <w:r>
        <w:rPr>
          <w:rFonts w:ascii="Arial" w:cs="Arial" w:eastAsia="Arial" w:hAnsi="Arial"/>
          <w:sz w:val="17"/>
          <w:szCs w:val="17"/>
          <w:color w:val="000000"/>
        </w:rPr>
        <w:t xml:space="preserve"> in the event this Agreement has been validly terminated, and the other Party had materially breached this Agreement prior to the time of such termination.</w:t>
      </w:r>
    </w:p>
    <w:p>
      <w:pPr>
        <w:spacing w:after="0" w:line="181" w:lineRule="exact"/>
        <w:rPr>
          <w:sz w:val="20"/>
          <w:szCs w:val="20"/>
          <w:color w:val="auto"/>
        </w:rPr>
      </w:pPr>
    </w:p>
    <w:p>
      <w:pPr>
        <w:jc w:val="both"/>
        <w:ind w:firstLine="1195"/>
        <w:spacing w:after="0" w:line="331" w:lineRule="auto"/>
        <w:rPr>
          <w:sz w:val="20"/>
          <w:szCs w:val="20"/>
          <w:color w:val="auto"/>
        </w:rPr>
      </w:pPr>
      <w:r>
        <w:rPr>
          <w:rFonts w:ascii="Arial" w:cs="Arial" w:eastAsia="Arial" w:hAnsi="Arial"/>
          <w:sz w:val="15"/>
          <w:szCs w:val="15"/>
          <w:color w:val="010000"/>
        </w:rPr>
        <w:t xml:space="preserve">Section 8.06 </w:t>
      </w:r>
      <w:r>
        <w:rPr>
          <w:rFonts w:ascii="Arial" w:cs="Arial" w:eastAsia="Arial" w:hAnsi="Arial"/>
          <w:sz w:val="15"/>
          <w:szCs w:val="15"/>
          <w:u w:val="single" w:color="auto"/>
          <w:color w:val="000000"/>
        </w:rPr>
        <w:t>Assignment</w:t>
      </w:r>
      <w:r>
        <w:rPr>
          <w:rFonts w:ascii="Arial" w:cs="Arial" w:eastAsia="Arial" w:hAnsi="Arial"/>
          <w:sz w:val="15"/>
          <w:szCs w:val="15"/>
          <w:color w:val="000000"/>
        </w:rPr>
        <w:t>. Neither this Agreement nor any rights, interests or obligations hereunder shall be assigned by any Party (whether by</w:t>
      </w:r>
      <w:r>
        <w:rPr>
          <w:rFonts w:ascii="Arial" w:cs="Arial" w:eastAsia="Arial" w:hAnsi="Arial"/>
          <w:sz w:val="15"/>
          <w:szCs w:val="15"/>
          <w:color w:val="010000"/>
        </w:rPr>
        <w:t xml:space="preserve"> </w:t>
      </w:r>
      <w:r>
        <w:rPr>
          <w:rFonts w:ascii="Arial" w:cs="Arial" w:eastAsia="Arial" w:hAnsi="Arial"/>
          <w:sz w:val="15"/>
          <w:szCs w:val="15"/>
          <w:color w:val="000000"/>
        </w:rPr>
        <w:t xml:space="preserve">operation of law or otherwise) without the prior written consent of the other Party, and any purported assignment without such consent shall be null and void </w:t>
      </w:r>
      <w:r>
        <w:rPr>
          <w:rFonts w:ascii="Arial" w:cs="Arial" w:eastAsia="Arial" w:hAnsi="Arial"/>
          <w:sz w:val="15"/>
          <w:szCs w:val="15"/>
          <w:i w:val="1"/>
          <w:iCs w:val="1"/>
          <w:color w:val="000000"/>
        </w:rPr>
        <w:t>ab initio</w:t>
      </w:r>
      <w:r>
        <w:rPr>
          <w:rFonts w:ascii="Arial" w:cs="Arial" w:eastAsia="Arial" w:hAnsi="Arial"/>
          <w:sz w:val="15"/>
          <w:szCs w:val="15"/>
          <w:color w:val="000000"/>
        </w:rPr>
        <w:t>.</w:t>
      </w:r>
    </w:p>
    <w:p>
      <w:pPr>
        <w:spacing w:after="0" w:line="122" w:lineRule="exact"/>
        <w:rPr>
          <w:sz w:val="20"/>
          <w:szCs w:val="20"/>
          <w:color w:val="auto"/>
        </w:rPr>
      </w:pPr>
    </w:p>
    <w:p>
      <w:pPr>
        <w:jc w:val="both"/>
        <w:ind w:firstLine="1195"/>
        <w:spacing w:after="0" w:line="264" w:lineRule="auto"/>
        <w:rPr>
          <w:sz w:val="20"/>
          <w:szCs w:val="20"/>
          <w:color w:val="auto"/>
        </w:rPr>
      </w:pPr>
      <w:r>
        <w:rPr>
          <w:rFonts w:ascii="Arial" w:cs="Arial" w:eastAsia="Arial" w:hAnsi="Arial"/>
          <w:sz w:val="17"/>
          <w:szCs w:val="17"/>
          <w:color w:val="010000"/>
        </w:rPr>
        <w:t xml:space="preserve">Section 8.07 </w:t>
      </w:r>
      <w:r>
        <w:rPr>
          <w:rFonts w:ascii="Arial" w:cs="Arial" w:eastAsia="Arial" w:hAnsi="Arial"/>
          <w:sz w:val="17"/>
          <w:szCs w:val="17"/>
          <w:u w:val="single" w:color="auto"/>
          <w:color w:val="000000"/>
        </w:rPr>
        <w:t>Parties in Interest</w:t>
      </w:r>
      <w:r>
        <w:rPr>
          <w:rFonts w:ascii="Arial" w:cs="Arial" w:eastAsia="Arial" w:hAnsi="Arial"/>
          <w:sz w:val="17"/>
          <w:szCs w:val="17"/>
          <w:color w:val="000000"/>
        </w:rPr>
        <w:t>. This Agreement will be binding upon, inure solely to the benefit of and be enforceable by the Parties and their</w:t>
      </w:r>
      <w:r>
        <w:rPr>
          <w:rFonts w:ascii="Arial" w:cs="Arial" w:eastAsia="Arial" w:hAnsi="Arial"/>
          <w:sz w:val="17"/>
          <w:szCs w:val="17"/>
          <w:color w:val="010000"/>
        </w:rPr>
        <w:t xml:space="preserve"> </w:t>
      </w:r>
      <w:r>
        <w:rPr>
          <w:rFonts w:ascii="Arial" w:cs="Arial" w:eastAsia="Arial" w:hAnsi="Arial"/>
          <w:sz w:val="17"/>
          <w:szCs w:val="17"/>
          <w:color w:val="000000"/>
        </w:rPr>
        <w:t xml:space="preserve">respective successors and permitted assigns, except to the extent otherwise provided in </w:t>
      </w:r>
      <w:r>
        <w:rPr>
          <w:rFonts w:ascii="Arial" w:cs="Arial" w:eastAsia="Arial" w:hAnsi="Arial"/>
          <w:sz w:val="17"/>
          <w:szCs w:val="17"/>
          <w:u w:val="single" w:color="auto"/>
          <w:color w:val="000000"/>
        </w:rPr>
        <w:t>Section 8.13</w:t>
      </w:r>
      <w:r>
        <w:rPr>
          <w:rFonts w:ascii="Arial" w:cs="Arial" w:eastAsia="Arial" w:hAnsi="Arial"/>
          <w:sz w:val="17"/>
          <w:szCs w:val="17"/>
          <w:color w:val="000000"/>
        </w:rPr>
        <w:t>.</w:t>
      </w:r>
    </w:p>
    <w:p>
      <w:pPr>
        <w:spacing w:after="0" w:line="168"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8.08 </w:t>
      </w:r>
      <w:r>
        <w:rPr>
          <w:rFonts w:ascii="Arial" w:cs="Arial" w:eastAsia="Arial" w:hAnsi="Arial"/>
          <w:sz w:val="17"/>
          <w:szCs w:val="17"/>
          <w:u w:val="single" w:color="auto"/>
          <w:color w:val="000000"/>
        </w:rPr>
        <w:t>Governing Law</w:t>
      </w:r>
      <w:r>
        <w:rPr>
          <w:rFonts w:ascii="Arial" w:cs="Arial" w:eastAsia="Arial" w:hAnsi="Arial"/>
          <w:sz w:val="17"/>
          <w:szCs w:val="17"/>
          <w:color w:val="000000"/>
        </w:rPr>
        <w:t>. This Agreement shall be construed, performed and enforced in accordance with the Laws of the State of Delaware</w:t>
      </w:r>
      <w:r>
        <w:rPr>
          <w:rFonts w:ascii="Arial" w:cs="Arial" w:eastAsia="Arial" w:hAnsi="Arial"/>
          <w:sz w:val="17"/>
          <w:szCs w:val="17"/>
          <w:color w:val="010000"/>
        </w:rPr>
        <w:t xml:space="preserve"> </w:t>
      </w:r>
      <w:r>
        <w:rPr>
          <w:rFonts w:ascii="Arial" w:cs="Arial" w:eastAsia="Arial" w:hAnsi="Arial"/>
          <w:sz w:val="17"/>
          <w:szCs w:val="17"/>
          <w:color w:val="000000"/>
        </w:rPr>
        <w:t>(without giving effect to its principles or rules of conflict of laws to the extent such principles or rules would require or permit the application of the Laws of another jurisdiction) as to all matters, including matters of validity, construction, effect, performance and remedies.</w:t>
      </w:r>
    </w:p>
    <w:p>
      <w:pPr>
        <w:spacing w:after="0" w:line="176" w:lineRule="exact"/>
        <w:rPr>
          <w:sz w:val="20"/>
          <w:szCs w:val="20"/>
          <w:color w:val="auto"/>
        </w:rPr>
      </w:pPr>
    </w:p>
    <w:p>
      <w:pPr>
        <w:ind w:left="1200"/>
        <w:spacing w:after="0"/>
        <w:tabs>
          <w:tab w:leader="none" w:pos="2220" w:val="left"/>
        </w:tabs>
        <w:rPr>
          <w:sz w:val="20"/>
          <w:szCs w:val="20"/>
          <w:color w:val="auto"/>
        </w:rPr>
      </w:pPr>
      <w:r>
        <w:rPr>
          <w:rFonts w:ascii="Arial" w:cs="Arial" w:eastAsia="Arial" w:hAnsi="Arial"/>
          <w:sz w:val="17"/>
          <w:szCs w:val="17"/>
          <w:color w:val="010000"/>
        </w:rPr>
        <w:t>Section 8.09</w:t>
      </w:r>
      <w:r>
        <w:rPr>
          <w:sz w:val="20"/>
          <w:szCs w:val="20"/>
          <w:color w:val="auto"/>
        </w:rPr>
        <w:tab/>
      </w:r>
      <w:r>
        <w:rPr>
          <w:rFonts w:ascii="Arial" w:cs="Arial" w:eastAsia="Arial" w:hAnsi="Arial"/>
          <w:sz w:val="15"/>
          <w:szCs w:val="15"/>
          <w:u w:val="single" w:color="auto"/>
          <w:color w:val="auto"/>
        </w:rPr>
        <w:t>Jurisdiction</w:t>
      </w:r>
      <w:r>
        <w:rPr>
          <w:rFonts w:ascii="Arial" w:cs="Arial" w:eastAsia="Arial" w:hAnsi="Arial"/>
          <w:sz w:val="15"/>
          <w:szCs w:val="15"/>
          <w:color w:val="auto"/>
        </w:rPr>
        <w:t>.</w:t>
      </w:r>
    </w:p>
    <w:p>
      <w:pPr>
        <w:spacing w:after="0" w:line="203" w:lineRule="exact"/>
        <w:rPr>
          <w:sz w:val="20"/>
          <w:szCs w:val="20"/>
          <w:color w:val="auto"/>
        </w:rPr>
      </w:pPr>
    </w:p>
    <w:p>
      <w:pPr>
        <w:jc w:val="both"/>
        <w:ind w:left="820" w:firstLine="599"/>
        <w:spacing w:after="0" w:line="265" w:lineRule="auto"/>
        <w:tabs>
          <w:tab w:leader="none" w:pos="2029" w:val="left"/>
        </w:tabs>
        <w:numPr>
          <w:ilvl w:val="0"/>
          <w:numId w:val="64"/>
        </w:numPr>
        <w:rPr>
          <w:rFonts w:ascii="Arial" w:cs="Arial" w:eastAsia="Arial" w:hAnsi="Arial"/>
          <w:sz w:val="16"/>
          <w:szCs w:val="16"/>
          <w:color w:val="010000"/>
        </w:rPr>
      </w:pPr>
      <w:r>
        <w:rPr>
          <w:rFonts w:ascii="Arial" w:cs="Arial" w:eastAsia="Arial" w:hAnsi="Arial"/>
          <w:sz w:val="16"/>
          <w:szCs w:val="16"/>
          <w:color w:val="auto"/>
        </w:rPr>
        <w:t xml:space="preserve">Each of the Parties irrevocably agrees that any Proceeding with respect to this Agreement and the rights and obligations arising hereunder, or for recognition and enforcement of any judgment in respect of this Agreement and the rights and obligations arising hereunder brought by the other Party or its successors or assigns, shall be brought and determined exclusively in the United State District Court for the District of Delaware or any state court sitting in the City of Wilmington in the State of Delaware. Each of the Parties hereby irrevocably submits with regard to any such Proceeding for itself and in respect of its property, generally and unconditionally, to the personal jurisdiction of the aforesaid courts and agrees that it will not bring any Proceeding relating to this Agreement or the Contemplated Transactions in any court other than the aforesaid courts. Each of the Parties hereby agrees that service of process, summons, notice or document by registered mail addressed to them at its address provided in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shall be effective service of process against them for any such Proceeding brought in any of the aforesaid courts.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64" w:name="page65"/>
    <w:bookmarkEnd w:id="64"/>
    <w:p>
      <w:pPr>
        <w:jc w:val="both"/>
        <w:ind w:left="-380" w:firstLine="599"/>
        <w:spacing w:after="0" w:line="288" w:lineRule="auto"/>
        <w:tabs>
          <w:tab w:leader="none" w:pos="963" w:val="left"/>
        </w:tabs>
        <w:numPr>
          <w:ilvl w:val="0"/>
          <w:numId w:val="65"/>
        </w:numPr>
        <w:rPr>
          <w:rFonts w:ascii="Arial" w:cs="Arial" w:eastAsia="Arial" w:hAnsi="Arial"/>
          <w:sz w:val="15"/>
          <w:szCs w:val="15"/>
          <w:color w:val="010000"/>
        </w:rPr>
      </w:pPr>
      <w:r>
        <w:rPr>
          <w:rFonts w:ascii="Arial" w:cs="Arial" w:eastAsia="Arial" w:hAnsi="Arial"/>
          <w:sz w:val="15"/>
          <w:szCs w:val="15"/>
          <w:color w:val="auto"/>
        </w:rPr>
        <w:t xml:space="preserve">Each of the Parties hereby irrevocably waives, and agrees not to assert as a defense, counterclaim or otherwise, in any Proceeding with respect to this Agreement, (i) any claim that it is not personally subject to the jurisdiction of the aforesaid courts for any reason other than the failure to serve in accordance with </w:t>
      </w:r>
      <w:r>
        <w:rPr>
          <w:rFonts w:ascii="Arial" w:cs="Arial" w:eastAsia="Arial" w:hAnsi="Arial"/>
          <w:sz w:val="15"/>
          <w:szCs w:val="15"/>
          <w:u w:val="single" w:color="auto"/>
          <w:color w:val="auto"/>
        </w:rPr>
        <w:t>Section 8.01</w:t>
      </w:r>
      <w:r>
        <w:rPr>
          <w:rFonts w:ascii="Arial" w:cs="Arial" w:eastAsia="Arial" w:hAnsi="Arial"/>
          <w:sz w:val="15"/>
          <w:szCs w:val="15"/>
          <w:color w:val="auto"/>
        </w:rPr>
        <w:t>; (ii) any claim that it or its property is exempt or immune from jurisdiction of any such court or from any Proceeding commenced in such courts (whether through service of notice, attachment prior to judgment, attachment in aid of execution of judgment, execution of judgment or otherwise); and (iii) to the fullest extent permitted by the applicable Law, any claim that (A) such Proceeding in such court is brought in an inconvenient forum; (B) the venue of such Proceeding is improper; or (C) this Agreement, or the subject matter hereof, may not be enforced in or by such courts.</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010000"/>
        </w:rPr>
        <w:t>Section 8.10</w:t>
      </w:r>
      <w:r>
        <w:rPr>
          <w:sz w:val="20"/>
          <w:szCs w:val="20"/>
          <w:color w:val="auto"/>
        </w:rPr>
        <w:tab/>
      </w:r>
      <w:r>
        <w:rPr>
          <w:rFonts w:ascii="Arial" w:cs="Arial" w:eastAsia="Arial" w:hAnsi="Arial"/>
          <w:sz w:val="15"/>
          <w:szCs w:val="15"/>
          <w:u w:val="single" w:color="auto"/>
          <w:color w:val="auto"/>
        </w:rPr>
        <w:t>Waiver of Jury Trial</w:t>
      </w:r>
      <w:r>
        <w:rPr>
          <w:rFonts w:ascii="Arial" w:cs="Arial" w:eastAsia="Arial" w:hAnsi="Arial"/>
          <w:sz w:val="15"/>
          <w:szCs w:val="15"/>
          <w:color w:val="auto"/>
        </w:rPr>
        <w:t>.</w:t>
      </w:r>
    </w:p>
    <w:p>
      <w:pPr>
        <w:spacing w:after="0" w:line="203" w:lineRule="exact"/>
        <w:rPr>
          <w:sz w:val="20"/>
          <w:szCs w:val="20"/>
          <w:color w:val="auto"/>
        </w:rPr>
      </w:pPr>
    </w:p>
    <w:p>
      <w:pPr>
        <w:jc w:val="both"/>
        <w:ind w:left="-380" w:firstLine="599"/>
        <w:spacing w:after="0" w:line="263" w:lineRule="auto"/>
        <w:tabs>
          <w:tab w:leader="none" w:pos="1016" w:val="left"/>
        </w:tabs>
        <w:numPr>
          <w:ilvl w:val="0"/>
          <w:numId w:val="66"/>
        </w:numPr>
        <w:rPr>
          <w:rFonts w:ascii="Arial" w:cs="Arial" w:eastAsia="Arial" w:hAnsi="Arial"/>
          <w:sz w:val="16"/>
          <w:szCs w:val="16"/>
          <w:color w:val="010000"/>
        </w:rPr>
      </w:pPr>
      <w:r>
        <w:rPr>
          <w:rFonts w:ascii="Arial" w:cs="Arial" w:eastAsia="Arial" w:hAnsi="Arial"/>
          <w:sz w:val="16"/>
          <w:szCs w:val="16"/>
          <w:color w:val="auto"/>
        </w:rPr>
        <w:t xml:space="preserve">EACH PARTY ACKNOWLEDGES AND AGREES THAT ANY CONTROVERSY OR CLAIM THAT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OR THE CONTEMPLATED TRANSACTIONS. THIS WAIVER MAY NOT BE MODIFIED EITHER ORALLY OR IN WRITING (OTHER THAN BY A MUTUAL WRITTEN WAIVER SPECIFICALLY REFERRING TO THIS </w:t>
      </w:r>
      <w:r>
        <w:rPr>
          <w:rFonts w:ascii="Arial" w:cs="Arial" w:eastAsia="Arial" w:hAnsi="Arial"/>
          <w:sz w:val="16"/>
          <w:szCs w:val="16"/>
          <w:u w:val="single" w:color="auto"/>
          <w:color w:val="auto"/>
        </w:rPr>
        <w:t>SECTION 8.10(a)</w:t>
      </w:r>
      <w:r>
        <w:rPr>
          <w:rFonts w:ascii="Arial" w:cs="Arial" w:eastAsia="Arial" w:hAnsi="Arial"/>
          <w:sz w:val="16"/>
          <w:szCs w:val="16"/>
          <w:color w:val="auto"/>
        </w:rPr>
        <w:t xml:space="preserve"> AND EXECUTED BY EACH PARTY). THIS WAIVER SHALL APPLY TO ANY SUBSEQUENT AMENDMENTS, RENEWALS, SUPPLEMENTS OR MODIFICATIONS TO THIS AGREEMENT OR ANY OTHER AGREEMENTS OR DOCUMENTS RELATING TO THE CONTEMPLATED TRANSACTIONS. The scope of this waiver is intended to be all-encompassing of any and all disputes that may be filed in any court and that relate to the subject matter of the Contemplated Transactions, including contract claims, tort claims, breach-of-duty claims and all other common law and statutory claims. In the event of litigation, this Agreement may be filed as a written consent to a trial by the court.</w:t>
      </w:r>
    </w:p>
    <w:p>
      <w:pPr>
        <w:spacing w:after="0" w:line="275"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7257415" cy="23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662" w:right="239" w:bottom="1440" w:gutter="0" w:footer="0" w:header="0"/>
        </w:sectPr>
      </w:pPr>
    </w:p>
    <w:bookmarkStart w:id="65" w:name="page66"/>
    <w:bookmarkEnd w:id="65"/>
    <w:p>
      <w:pPr>
        <w:jc w:val="both"/>
        <w:ind w:left="820" w:firstLine="599"/>
        <w:spacing w:after="0" w:line="249" w:lineRule="auto"/>
        <w:tabs>
          <w:tab w:leader="none" w:pos="2138" w:val="left"/>
        </w:tabs>
        <w:numPr>
          <w:ilvl w:val="0"/>
          <w:numId w:val="67"/>
        </w:numPr>
        <w:rPr>
          <w:rFonts w:ascii="Arial" w:cs="Arial" w:eastAsia="Arial" w:hAnsi="Arial"/>
          <w:sz w:val="17"/>
          <w:szCs w:val="17"/>
          <w:color w:val="010000"/>
        </w:rPr>
      </w:pPr>
      <w:r>
        <w:rPr>
          <w:rFonts w:ascii="Arial" w:cs="Arial" w:eastAsia="Arial" w:hAnsi="Arial"/>
          <w:sz w:val="17"/>
          <w:szCs w:val="17"/>
          <w:color w:val="auto"/>
        </w:rPr>
        <w:t xml:space="preserve">EACH PARTY CERTIFIES AND ACKNOWLEDGES THAT (I) NO REPRESENTATIVE, AGENT OR ATTORNEY OF THE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7"/>
          <w:szCs w:val="17"/>
          <w:u w:val="single" w:color="auto"/>
          <w:color w:val="auto"/>
        </w:rPr>
        <w:t>SECTION 8.10</w:t>
      </w:r>
      <w:r>
        <w:rPr>
          <w:rFonts w:ascii="Arial" w:cs="Arial" w:eastAsia="Arial" w:hAnsi="Arial"/>
          <w:sz w:val="17"/>
          <w:szCs w:val="17"/>
          <w:color w:val="auto"/>
        </w:rPr>
        <w:t>.</w:t>
      </w:r>
    </w:p>
    <w:p>
      <w:pPr>
        <w:spacing w:after="0" w:line="181" w:lineRule="exact"/>
        <w:rPr>
          <w:sz w:val="20"/>
          <w:szCs w:val="20"/>
          <w:color w:val="auto"/>
        </w:rPr>
      </w:pPr>
    </w:p>
    <w:p>
      <w:pPr>
        <w:jc w:val="both"/>
        <w:ind w:firstLine="1195"/>
        <w:spacing w:after="0" w:line="251" w:lineRule="auto"/>
        <w:rPr>
          <w:sz w:val="20"/>
          <w:szCs w:val="20"/>
          <w:color w:val="auto"/>
        </w:rPr>
      </w:pPr>
      <w:r>
        <w:rPr>
          <w:rFonts w:ascii="Arial" w:cs="Arial" w:eastAsia="Arial" w:hAnsi="Arial"/>
          <w:sz w:val="17"/>
          <w:szCs w:val="17"/>
          <w:color w:val="010000"/>
        </w:rPr>
        <w:t xml:space="preserve">Section 8.11 </w:t>
      </w:r>
      <w:r>
        <w:rPr>
          <w:rFonts w:ascii="Arial" w:cs="Arial" w:eastAsia="Arial" w:hAnsi="Arial"/>
          <w:sz w:val="17"/>
          <w:szCs w:val="17"/>
          <w:u w:val="single" w:color="auto"/>
          <w:color w:val="000000"/>
        </w:rPr>
        <w:t>Relationship of the Parties</w:t>
      </w:r>
      <w:r>
        <w:rPr>
          <w:rFonts w:ascii="Arial" w:cs="Arial" w:eastAsia="Arial" w:hAnsi="Arial"/>
          <w:sz w:val="17"/>
          <w:szCs w:val="17"/>
          <w:color w:val="000000"/>
        </w:rPr>
        <w:t>. The Parties agree that this is an arm’s length transaction in which the Parties’ undertakings and obligations are</w:t>
      </w:r>
      <w:r>
        <w:rPr>
          <w:rFonts w:ascii="Arial" w:cs="Arial" w:eastAsia="Arial" w:hAnsi="Arial"/>
          <w:sz w:val="17"/>
          <w:szCs w:val="17"/>
          <w:color w:val="010000"/>
        </w:rPr>
        <w:t xml:space="preserve"> </w:t>
      </w:r>
      <w:r>
        <w:rPr>
          <w:rFonts w:ascii="Arial" w:cs="Arial" w:eastAsia="Arial" w:hAnsi="Arial"/>
          <w:sz w:val="17"/>
          <w:szCs w:val="17"/>
          <w:color w:val="000000"/>
        </w:rPr>
        <w:t>limited to the performance of their obligations under this Agreement. Buyer acknowledges that it is a sophisticated investor and that it has only a contractual relationship with each Seller, based solely on the terms of this Agreement and the other Transaction Documents and the Confidentiality Agreement, and that there is no special relationship of trust or reliance between any Seller and Buyer.</w:t>
      </w:r>
    </w:p>
    <w:p>
      <w:pPr>
        <w:spacing w:after="0" w:line="178" w:lineRule="exact"/>
        <w:rPr>
          <w:sz w:val="20"/>
          <w:szCs w:val="20"/>
          <w:color w:val="auto"/>
        </w:rPr>
      </w:pPr>
    </w:p>
    <w:p>
      <w:pPr>
        <w:jc w:val="both"/>
        <w:ind w:firstLine="1195"/>
        <w:spacing w:after="0" w:line="247" w:lineRule="auto"/>
        <w:rPr>
          <w:sz w:val="20"/>
          <w:szCs w:val="20"/>
          <w:color w:val="auto"/>
        </w:rPr>
      </w:pPr>
      <w:r>
        <w:rPr>
          <w:rFonts w:ascii="Arial" w:cs="Arial" w:eastAsia="Arial" w:hAnsi="Arial"/>
          <w:sz w:val="17"/>
          <w:szCs w:val="17"/>
          <w:color w:val="010000"/>
        </w:rPr>
        <w:t xml:space="preserve">Section 8.12 </w:t>
      </w:r>
      <w:r>
        <w:rPr>
          <w:rFonts w:ascii="Arial" w:cs="Arial" w:eastAsia="Arial" w:hAnsi="Arial"/>
          <w:sz w:val="17"/>
          <w:szCs w:val="17"/>
          <w:u w:val="single" w:color="auto"/>
          <w:color w:val="000000"/>
        </w:rPr>
        <w:t>Counterparts; Effectiveness</w:t>
      </w:r>
      <w:r>
        <w:rPr>
          <w:rFonts w:ascii="Arial" w:cs="Arial" w:eastAsia="Arial" w:hAnsi="Arial"/>
          <w:sz w:val="17"/>
          <w:szCs w:val="17"/>
          <w:color w:val="000000"/>
        </w:rPr>
        <w:t>. This Agreement may be executed in any number of counterparts, each of which shall be an original, with the</w:t>
      </w:r>
      <w:r>
        <w:rPr>
          <w:rFonts w:ascii="Arial" w:cs="Arial" w:eastAsia="Arial" w:hAnsi="Arial"/>
          <w:sz w:val="17"/>
          <w:szCs w:val="17"/>
          <w:color w:val="010000"/>
        </w:rPr>
        <w:t xml:space="preserve"> </w:t>
      </w:r>
      <w:r>
        <w:rPr>
          <w:rFonts w:ascii="Arial" w:cs="Arial" w:eastAsia="Arial" w:hAnsi="Arial"/>
          <w:sz w:val="17"/>
          <w:szCs w:val="17"/>
          <w:color w:val="000000"/>
        </w:rPr>
        <w:t>same effect as if the signatures thereto and hereto were upon the same instrument. In the event that any signature to this Agreement is delivered by facsimile transmission or by e-mail delivery of a portable document format (.pdf or similar format) data file, such signature shall create a valid and binding obligation of the Party executing (or on whose behalf such signature is executed) with the same force and effect as if such facsimile or “.pdf” signature page were an original thereof. This Agreement shall become effective when each Party shall have received a counterpart hereof signed by the other Party. Until and unless each Party has received a counterpart hereof signed by the other Party, this Agreement shall have no effect and no Party shall have any right or obligation hereunder (whether by virtue of any other oral or written agreement or other communication).</w:t>
      </w:r>
    </w:p>
    <w:p>
      <w:pPr>
        <w:spacing w:after="0" w:line="185" w:lineRule="exact"/>
        <w:rPr>
          <w:sz w:val="20"/>
          <w:szCs w:val="20"/>
          <w:color w:val="auto"/>
        </w:rPr>
      </w:pPr>
    </w:p>
    <w:p>
      <w:pPr>
        <w:jc w:val="both"/>
        <w:ind w:firstLine="1195"/>
        <w:spacing w:after="0" w:line="271" w:lineRule="auto"/>
        <w:rPr>
          <w:sz w:val="20"/>
          <w:szCs w:val="20"/>
          <w:color w:val="auto"/>
        </w:rPr>
      </w:pPr>
      <w:r>
        <w:rPr>
          <w:rFonts w:ascii="Arial" w:cs="Arial" w:eastAsia="Arial" w:hAnsi="Arial"/>
          <w:sz w:val="16"/>
          <w:szCs w:val="16"/>
          <w:color w:val="010000"/>
        </w:rPr>
        <w:t xml:space="preserve">Section 8.13 </w:t>
      </w:r>
      <w:r>
        <w:rPr>
          <w:rFonts w:ascii="Arial" w:cs="Arial" w:eastAsia="Arial" w:hAnsi="Arial"/>
          <w:sz w:val="16"/>
          <w:szCs w:val="16"/>
          <w:u w:val="single" w:color="auto"/>
          <w:color w:val="000000"/>
        </w:rPr>
        <w:t>Third-Party Beneficiaries</w:t>
      </w:r>
      <w:r>
        <w:rPr>
          <w:rFonts w:ascii="Arial" w:cs="Arial" w:eastAsia="Arial" w:hAnsi="Arial"/>
          <w:sz w:val="16"/>
          <w:szCs w:val="16"/>
          <w:color w:val="000000"/>
        </w:rPr>
        <w:t>. The representations, warranties and agreements of the Parties contained herein are intended solely for the</w:t>
      </w:r>
      <w:r>
        <w:rPr>
          <w:rFonts w:ascii="Arial" w:cs="Arial" w:eastAsia="Arial" w:hAnsi="Arial"/>
          <w:sz w:val="16"/>
          <w:szCs w:val="16"/>
          <w:color w:val="010000"/>
        </w:rPr>
        <w:t xml:space="preserve"> </w:t>
      </w:r>
      <w:r>
        <w:rPr>
          <w:rFonts w:ascii="Arial" w:cs="Arial" w:eastAsia="Arial" w:hAnsi="Arial"/>
          <w:sz w:val="16"/>
          <w:szCs w:val="16"/>
          <w:color w:val="000000"/>
        </w:rPr>
        <w:t xml:space="preserve">benefit of the Party to whom such representations, warranties or agreements are made, and shall confer no rights hereunder, whether legal or equitable, in any other Person, and no other Person shall be entitled to rely thereon;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the Parties specifically acknowledge and agree that the provisions of </w:t>
      </w:r>
      <w:r>
        <w:rPr>
          <w:rFonts w:ascii="Arial" w:cs="Arial" w:eastAsia="Arial" w:hAnsi="Arial"/>
          <w:sz w:val="16"/>
          <w:szCs w:val="16"/>
          <w:u w:val="single" w:color="auto"/>
          <w:color w:val="000000"/>
        </w:rPr>
        <w:t>Section 8.21</w:t>
      </w:r>
      <w:r>
        <w:rPr>
          <w:rFonts w:ascii="Arial" w:cs="Arial" w:eastAsia="Arial" w:hAnsi="Arial"/>
          <w:sz w:val="16"/>
          <w:szCs w:val="16"/>
          <w:color w:val="000000"/>
        </w:rPr>
        <w:t xml:space="preserve"> are intended to be for the benefit of, and shall be enforceable by, the persons identified therein.</w:t>
      </w:r>
    </w:p>
    <w:p>
      <w:pPr>
        <w:spacing w:after="0" w:line="165" w:lineRule="exact"/>
        <w:rPr>
          <w:sz w:val="20"/>
          <w:szCs w:val="20"/>
          <w:color w:val="auto"/>
        </w:rPr>
      </w:pPr>
    </w:p>
    <w:p>
      <w:pPr>
        <w:jc w:val="both"/>
        <w:ind w:firstLine="1195"/>
        <w:spacing w:after="0" w:line="268" w:lineRule="auto"/>
        <w:rPr>
          <w:sz w:val="20"/>
          <w:szCs w:val="20"/>
          <w:color w:val="auto"/>
        </w:rPr>
      </w:pPr>
      <w:r>
        <w:rPr>
          <w:rFonts w:ascii="Arial" w:cs="Arial" w:eastAsia="Arial" w:hAnsi="Arial"/>
          <w:sz w:val="16"/>
          <w:szCs w:val="16"/>
          <w:color w:val="010000"/>
        </w:rPr>
        <w:t xml:space="preserve">Section 8.14 </w:t>
      </w:r>
      <w:r>
        <w:rPr>
          <w:rFonts w:ascii="Arial" w:cs="Arial" w:eastAsia="Arial" w:hAnsi="Arial"/>
          <w:sz w:val="16"/>
          <w:szCs w:val="16"/>
          <w:u w:val="single" w:color="auto"/>
          <w:color w:val="000000"/>
        </w:rPr>
        <w:t>Entire Agreement</w:t>
      </w:r>
      <w:r>
        <w:rPr>
          <w:rFonts w:ascii="Arial" w:cs="Arial" w:eastAsia="Arial" w:hAnsi="Arial"/>
          <w:sz w:val="16"/>
          <w:szCs w:val="16"/>
          <w:color w:val="000000"/>
        </w:rPr>
        <w:t>. This Agreement (including the other Transaction Documents and the other documents and instruments referred to</w:t>
      </w:r>
      <w:r>
        <w:rPr>
          <w:rFonts w:ascii="Arial" w:cs="Arial" w:eastAsia="Arial" w:hAnsi="Arial"/>
          <w:sz w:val="16"/>
          <w:szCs w:val="16"/>
          <w:color w:val="010000"/>
        </w:rPr>
        <w:t xml:space="preserve"> </w:t>
      </w:r>
      <w:r>
        <w:rPr>
          <w:rFonts w:ascii="Arial" w:cs="Arial" w:eastAsia="Arial" w:hAnsi="Arial"/>
          <w:sz w:val="16"/>
          <w:szCs w:val="16"/>
          <w:color w:val="000000"/>
        </w:rPr>
        <w:t>herein and therein), the Confidentiality Agreement, the Disclosure Letter, and the Buyer Disclosure Letter set forth the entire agreement and understanding of the Parties in respect of the Contemplated Transactions and supersede all prior discussions, negotiations, agreements, arrangements and understandings, whether oral or written, relating to the subject matter hereof and thereof. There are no warranties, representations or other agreements between the Parties in connection with the subject matter hereof, except as specifically set forth herein or the other Transaction Documents, or in the Confidentiality Agreement.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66" w:name="page67"/>
    <w:bookmarkEnd w:id="66"/>
    <w:p>
      <w:pPr>
        <w:jc w:val="both"/>
        <w:ind w:firstLine="1195"/>
        <w:spacing w:after="0" w:line="248" w:lineRule="auto"/>
        <w:rPr>
          <w:sz w:val="20"/>
          <w:szCs w:val="20"/>
          <w:color w:val="auto"/>
        </w:rPr>
      </w:pPr>
      <w:r>
        <w:rPr>
          <w:rFonts w:ascii="Arial" w:cs="Arial" w:eastAsia="Arial" w:hAnsi="Arial"/>
          <w:sz w:val="17"/>
          <w:szCs w:val="17"/>
          <w:color w:val="010000"/>
        </w:rPr>
        <w:t xml:space="preserve">Section 8.15 </w:t>
      </w:r>
      <w:r>
        <w:rPr>
          <w:rFonts w:ascii="Arial" w:cs="Arial" w:eastAsia="Arial" w:hAnsi="Arial"/>
          <w:sz w:val="17"/>
          <w:szCs w:val="17"/>
          <w:u w:val="single" w:color="auto"/>
          <w:color w:val="000000"/>
        </w:rPr>
        <w:t>Severability</w:t>
      </w:r>
      <w:r>
        <w:rPr>
          <w:rFonts w:ascii="Arial" w:cs="Arial" w:eastAsia="Arial" w:hAnsi="Arial"/>
          <w:sz w:val="17"/>
          <w:szCs w:val="17"/>
          <w:color w:val="000000"/>
        </w:rPr>
        <w:t>. If any term, provision, covenant or restriction of this Agreement is held by a court of competent jurisdiction or other</w:t>
      </w:r>
      <w:r>
        <w:rPr>
          <w:rFonts w:ascii="Arial" w:cs="Arial" w:eastAsia="Arial" w:hAnsi="Arial"/>
          <w:sz w:val="17"/>
          <w:szCs w:val="17"/>
          <w:color w:val="010000"/>
        </w:rPr>
        <w:t xml:space="preserve"> </w:t>
      </w:r>
      <w:r>
        <w:rPr>
          <w:rFonts w:ascii="Arial" w:cs="Arial" w:eastAsia="Arial" w:hAnsi="Arial"/>
          <w:sz w:val="17"/>
          <w:szCs w:val="17"/>
          <w:color w:val="000000"/>
        </w:rPr>
        <w:t>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Contemplated Transactions is not affected in any manner materially adverse to any Party. Upon such a determination, the Parties shall negotiate in good faith to modify this Agreement so as to effect the original intent of the Parties as closely as possible in an acceptable manner in order that the Contemplated Transactions be consummated as originally contemplated to the fullest extent possible.</w:t>
      </w:r>
    </w:p>
    <w:p>
      <w:pPr>
        <w:spacing w:after="0" w:line="182" w:lineRule="exact"/>
        <w:rPr>
          <w:sz w:val="20"/>
          <w:szCs w:val="20"/>
          <w:color w:val="auto"/>
        </w:rPr>
      </w:pPr>
    </w:p>
    <w:p>
      <w:pPr>
        <w:jc w:val="both"/>
        <w:ind w:firstLine="1195"/>
        <w:spacing w:after="0" w:line="247" w:lineRule="auto"/>
        <w:rPr>
          <w:sz w:val="20"/>
          <w:szCs w:val="20"/>
          <w:color w:val="auto"/>
        </w:rPr>
      </w:pPr>
      <w:r>
        <w:rPr>
          <w:rFonts w:ascii="Arial" w:cs="Arial" w:eastAsia="Arial" w:hAnsi="Arial"/>
          <w:sz w:val="17"/>
          <w:szCs w:val="17"/>
          <w:color w:val="010000"/>
        </w:rPr>
        <w:t xml:space="preserve">Section 8.16 </w:t>
      </w:r>
      <w:r>
        <w:rPr>
          <w:rFonts w:ascii="Arial" w:cs="Arial" w:eastAsia="Arial" w:hAnsi="Arial"/>
          <w:sz w:val="17"/>
          <w:szCs w:val="17"/>
          <w:u w:val="single" w:color="auto"/>
          <w:color w:val="000000"/>
        </w:rPr>
        <w:t>Non-Survival of Representations, Warranties and Covenants</w:t>
      </w:r>
      <w:r>
        <w:rPr>
          <w:rFonts w:ascii="Arial" w:cs="Arial" w:eastAsia="Arial" w:hAnsi="Arial"/>
          <w:sz w:val="17"/>
          <w:szCs w:val="17"/>
          <w:color w:val="000000"/>
        </w:rPr>
        <w:t>. No representation, warranty, covenant or other agreement contained herein</w:t>
      </w:r>
      <w:r>
        <w:rPr>
          <w:rFonts w:ascii="Arial" w:cs="Arial" w:eastAsia="Arial" w:hAnsi="Arial"/>
          <w:sz w:val="17"/>
          <w:szCs w:val="17"/>
          <w:color w:val="010000"/>
        </w:rPr>
        <w:t xml:space="preserve"> </w:t>
      </w:r>
      <w:r>
        <w:rPr>
          <w:rFonts w:ascii="Arial" w:cs="Arial" w:eastAsia="Arial" w:hAnsi="Arial"/>
          <w:sz w:val="17"/>
          <w:szCs w:val="17"/>
          <w:color w:val="000000"/>
        </w:rPr>
        <w:t xml:space="preserve">or in any instrument or certificate delivered by any Party at Closing will survive the Closing or termination of this Agreement, and no Party shall have any liability to the other Party after the Closing for any breach thereof, except for (a) covenants and agreements that contemplate performance after the Closing or after the termination of this Agreement or otherwise expressly by their terms survive the Closing or termination of this Agreement, (b) the representations, warranties, covenants and other agreements set forth in </w:t>
      </w:r>
      <w:r>
        <w:rPr>
          <w:rFonts w:ascii="Arial" w:cs="Arial" w:eastAsia="Arial" w:hAnsi="Arial"/>
          <w:sz w:val="17"/>
          <w:szCs w:val="17"/>
          <w:u w:val="single" w:color="auto"/>
          <w:color w:val="000000"/>
        </w:rPr>
        <w:t>Section 3.28</w:t>
      </w:r>
      <w:r>
        <w:rPr>
          <w:rFonts w:ascii="Arial" w:cs="Arial" w:eastAsia="Arial" w:hAnsi="Arial"/>
          <w:sz w:val="17"/>
          <w:szCs w:val="17"/>
          <w:color w:val="000000"/>
        </w:rPr>
        <w:t xml:space="preserve"> and </w:t>
      </w:r>
      <w:r>
        <w:rPr>
          <w:rFonts w:ascii="Arial" w:cs="Arial" w:eastAsia="Arial" w:hAnsi="Arial"/>
          <w:sz w:val="17"/>
          <w:szCs w:val="17"/>
          <w:u w:val="single" w:color="auto"/>
          <w:color w:val="000000"/>
        </w:rPr>
        <w:t>Section 4.17</w:t>
      </w:r>
      <w:r>
        <w:rPr>
          <w:rFonts w:ascii="Arial" w:cs="Arial" w:eastAsia="Arial" w:hAnsi="Arial"/>
          <w:sz w:val="17"/>
          <w:szCs w:val="17"/>
          <w:color w:val="000000"/>
        </w:rPr>
        <w:t xml:space="preserve">, each of which will survive in accordance with its terms,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for the avoidance of doubt, nothing in this </w:t>
      </w:r>
      <w:r>
        <w:rPr>
          <w:rFonts w:ascii="Arial" w:cs="Arial" w:eastAsia="Arial" w:hAnsi="Arial"/>
          <w:sz w:val="17"/>
          <w:szCs w:val="17"/>
          <w:u w:val="single" w:color="auto"/>
          <w:color w:val="000000"/>
        </w:rPr>
        <w:t>Section 8.16</w:t>
      </w:r>
      <w:r>
        <w:rPr>
          <w:rFonts w:ascii="Arial" w:cs="Arial" w:eastAsia="Arial" w:hAnsi="Arial"/>
          <w:sz w:val="17"/>
          <w:szCs w:val="17"/>
          <w:color w:val="000000"/>
        </w:rPr>
        <w:t xml:space="preserve"> shall impair a Party’s rights under </w:t>
      </w:r>
      <w:r>
        <w:rPr>
          <w:rFonts w:ascii="Arial" w:cs="Arial" w:eastAsia="Arial" w:hAnsi="Arial"/>
          <w:sz w:val="17"/>
          <w:szCs w:val="17"/>
          <w:u w:val="single" w:color="auto"/>
          <w:color w:val="000000"/>
        </w:rPr>
        <w:t>Section 7.03</w:t>
      </w:r>
      <w:r>
        <w:rPr>
          <w:rFonts w:ascii="Arial" w:cs="Arial" w:eastAsia="Arial" w:hAnsi="Arial"/>
          <w:sz w:val="17"/>
          <w:szCs w:val="17"/>
          <w:color w:val="000000"/>
        </w:rPr>
        <w:t xml:space="preserve"> in the event this Agreement has been validly terminated, and the other Party had materially breached this Agreement prior to the time of such termination.</w:t>
      </w:r>
    </w:p>
    <w:p>
      <w:pPr>
        <w:spacing w:after="0" w:line="185" w:lineRule="exact"/>
        <w:rPr>
          <w:sz w:val="20"/>
          <w:szCs w:val="20"/>
          <w:color w:val="auto"/>
        </w:rPr>
      </w:pPr>
    </w:p>
    <w:p>
      <w:pPr>
        <w:ind w:left="1200"/>
        <w:spacing w:after="0"/>
        <w:tabs>
          <w:tab w:leader="none" w:pos="2220" w:val="left"/>
        </w:tabs>
        <w:rPr>
          <w:sz w:val="20"/>
          <w:szCs w:val="20"/>
          <w:color w:val="auto"/>
        </w:rPr>
      </w:pPr>
      <w:r>
        <w:rPr>
          <w:rFonts w:ascii="Arial" w:cs="Arial" w:eastAsia="Arial" w:hAnsi="Arial"/>
          <w:sz w:val="17"/>
          <w:szCs w:val="17"/>
          <w:color w:val="010000"/>
        </w:rPr>
        <w:t>Section 8.17</w:t>
      </w:r>
      <w:r>
        <w:rPr>
          <w:sz w:val="20"/>
          <w:szCs w:val="20"/>
          <w:color w:val="auto"/>
        </w:rPr>
        <w:tab/>
      </w:r>
      <w:r>
        <w:rPr>
          <w:rFonts w:ascii="Arial" w:cs="Arial" w:eastAsia="Arial" w:hAnsi="Arial"/>
          <w:sz w:val="13"/>
          <w:szCs w:val="13"/>
          <w:u w:val="single" w:color="auto"/>
          <w:color w:val="auto"/>
        </w:rPr>
        <w:t>Remedies</w:t>
      </w:r>
      <w:r>
        <w:rPr>
          <w:rFonts w:ascii="Arial" w:cs="Arial" w:eastAsia="Arial" w:hAnsi="Arial"/>
          <w:sz w:val="13"/>
          <w:szCs w:val="13"/>
          <w:color w:val="auto"/>
        </w:rPr>
        <w:t>.</w:t>
      </w:r>
    </w:p>
    <w:p>
      <w:pPr>
        <w:spacing w:after="0" w:line="203" w:lineRule="exact"/>
        <w:rPr>
          <w:sz w:val="20"/>
          <w:szCs w:val="20"/>
          <w:color w:val="auto"/>
        </w:rPr>
      </w:pPr>
    </w:p>
    <w:p>
      <w:pPr>
        <w:jc w:val="both"/>
        <w:ind w:left="820" w:firstLine="599"/>
        <w:spacing w:after="0" w:line="286" w:lineRule="auto"/>
        <w:tabs>
          <w:tab w:leader="none" w:pos="2116" w:val="left"/>
        </w:tabs>
        <w:numPr>
          <w:ilvl w:val="0"/>
          <w:numId w:val="68"/>
        </w:numPr>
        <w:rPr>
          <w:rFonts w:ascii="Arial" w:cs="Arial" w:eastAsia="Arial" w:hAnsi="Arial"/>
          <w:sz w:val="15"/>
          <w:szCs w:val="15"/>
          <w:color w:val="010000"/>
        </w:rPr>
      </w:pPr>
      <w:r>
        <w:rPr>
          <w:rFonts w:ascii="Arial" w:cs="Arial" w:eastAsia="Arial" w:hAnsi="Arial"/>
          <w:sz w:val="15"/>
          <w:szCs w:val="15"/>
          <w:color w:val="auto"/>
        </w:rPr>
        <w:t xml:space="preserve">Each Party acknowledges and agrees that irreparable injury to the other Party would occur if any provision hereof were not performed in accordance with its specific terms or were otherwise breached, and that such injury would not be adequately compensable in damages because of the difficulty of ascertaining the amount of damages that would be suffered in the event that this Agreement were breached. It is accordingly agreed that, subject to the further provisions of this </w:t>
      </w:r>
      <w:r>
        <w:rPr>
          <w:rFonts w:ascii="Arial" w:cs="Arial" w:eastAsia="Arial" w:hAnsi="Arial"/>
          <w:sz w:val="15"/>
          <w:szCs w:val="15"/>
          <w:u w:val="single" w:color="auto"/>
          <w:color w:val="auto"/>
        </w:rPr>
        <w:t>Section 8.17</w:t>
      </w:r>
      <w:r>
        <w:rPr>
          <w:rFonts w:ascii="Arial" w:cs="Arial" w:eastAsia="Arial" w:hAnsi="Arial"/>
          <w:sz w:val="15"/>
          <w:szCs w:val="15"/>
          <w:color w:val="auto"/>
        </w:rPr>
        <w:t xml:space="preserve">, prior to the valid termination of this Agreement pursuant to </w:t>
      </w:r>
      <w:r>
        <w:rPr>
          <w:rFonts w:ascii="Arial" w:cs="Arial" w:eastAsia="Arial" w:hAnsi="Arial"/>
          <w:sz w:val="15"/>
          <w:szCs w:val="15"/>
          <w:u w:val="single" w:color="auto"/>
          <w:color w:val="auto"/>
        </w:rPr>
        <w:t>Section 7.01</w:t>
      </w:r>
      <w:r>
        <w:rPr>
          <w:rFonts w:ascii="Arial" w:cs="Arial" w:eastAsia="Arial" w:hAnsi="Arial"/>
          <w:sz w:val="15"/>
          <w:szCs w:val="15"/>
          <w:color w:val="auto"/>
        </w:rPr>
        <w:t>, each Party shall be entitled, in addition to any other remedy to which it is entitled at law or in equity, to specific enforcement of, and injunctive relief, without proof of actual damages, to prevent any breach or violation of, the terms hereof, and the other Party shall not take action, directly or indirectly, in opposition to the Party seeking such relief on the grounds that any other remedy or relief is available at law or in equity. Any requirements for the securing or posting of any bond with such remedy are hereby waived.</w:t>
      </w:r>
    </w:p>
    <w:p>
      <w:pPr>
        <w:spacing w:after="0" w:line="154" w:lineRule="exact"/>
        <w:rPr>
          <w:rFonts w:ascii="Arial" w:cs="Arial" w:eastAsia="Arial" w:hAnsi="Arial"/>
          <w:sz w:val="15"/>
          <w:szCs w:val="15"/>
          <w:color w:val="010000"/>
        </w:rPr>
      </w:pPr>
    </w:p>
    <w:p>
      <w:pPr>
        <w:jc w:val="both"/>
        <w:ind w:left="820" w:firstLine="599"/>
        <w:spacing w:after="0" w:line="254" w:lineRule="auto"/>
        <w:tabs>
          <w:tab w:leader="none" w:pos="2250" w:val="left"/>
        </w:tabs>
        <w:numPr>
          <w:ilvl w:val="0"/>
          <w:numId w:val="68"/>
        </w:numPr>
        <w:rPr>
          <w:rFonts w:ascii="Arial" w:cs="Arial" w:eastAsia="Arial" w:hAnsi="Arial"/>
          <w:sz w:val="17"/>
          <w:szCs w:val="17"/>
          <w:color w:val="010000"/>
        </w:rPr>
      </w:pPr>
      <w:r>
        <w:rPr>
          <w:rFonts w:ascii="Arial" w:cs="Arial" w:eastAsia="Arial" w:hAnsi="Arial"/>
          <w:sz w:val="17"/>
          <w:szCs w:val="17"/>
          <w:color w:val="auto"/>
        </w:rPr>
        <w:t>The Parties agree that in no case shall either Party be entitled to any indirect, consequential, incidental, punitive or special damages (including loss of future revenue, lost profits, diminution in value or multiple of earnings damages) in connection with any claim arising out of or related to this Agreement or the Contemplated Transactions.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67" w:name="page68"/>
    <w:bookmarkEnd w:id="67"/>
    <w:p>
      <w:pPr>
        <w:jc w:val="both"/>
        <w:ind w:firstLine="1195"/>
        <w:spacing w:after="0" w:line="251" w:lineRule="auto"/>
        <w:rPr>
          <w:sz w:val="20"/>
          <w:szCs w:val="20"/>
          <w:color w:val="auto"/>
        </w:rPr>
      </w:pPr>
      <w:r>
        <w:rPr>
          <w:rFonts w:ascii="Arial" w:cs="Arial" w:eastAsia="Arial" w:hAnsi="Arial"/>
          <w:sz w:val="17"/>
          <w:szCs w:val="17"/>
          <w:color w:val="010000"/>
        </w:rPr>
        <w:t xml:space="preserve">Section 8.18 </w:t>
      </w:r>
      <w:r>
        <w:rPr>
          <w:rFonts w:ascii="Arial" w:cs="Arial" w:eastAsia="Arial" w:hAnsi="Arial"/>
          <w:sz w:val="17"/>
          <w:szCs w:val="17"/>
          <w:u w:val="single" w:color="auto"/>
          <w:color w:val="000000"/>
        </w:rPr>
        <w:t>Representation by Counsel</w:t>
      </w:r>
      <w:r>
        <w:rPr>
          <w:rFonts w:ascii="Arial" w:cs="Arial" w:eastAsia="Arial" w:hAnsi="Arial"/>
          <w:sz w:val="17"/>
          <w:szCs w:val="17"/>
          <w:color w:val="000000"/>
        </w:rPr>
        <w:t>. Each Party acknowledges to the other that it has been represented by independent legal counsel of its own</w:t>
      </w:r>
      <w:r>
        <w:rPr>
          <w:rFonts w:ascii="Arial" w:cs="Arial" w:eastAsia="Arial" w:hAnsi="Arial"/>
          <w:sz w:val="17"/>
          <w:szCs w:val="17"/>
          <w:color w:val="010000"/>
        </w:rPr>
        <w:t xml:space="preserve"> </w:t>
      </w:r>
      <w:r>
        <w:rPr>
          <w:rFonts w:ascii="Arial" w:cs="Arial" w:eastAsia="Arial" w:hAnsi="Arial"/>
          <w:sz w:val="17"/>
          <w:szCs w:val="17"/>
          <w:color w:val="000000"/>
        </w:rPr>
        <w:t>choice throughout all of the negotiations that preceded the execution of this Agreement. Each Party further acknowledges that it and its counsel have had adequate opportunity to make whatever investigation or inquiry they may deem necessary or desirable in connection with the subject matter of this Agreement prior to the execution hereof.</w:t>
      </w:r>
    </w:p>
    <w:p>
      <w:pPr>
        <w:spacing w:after="0" w:line="178"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8.19 </w:t>
      </w:r>
      <w:r>
        <w:rPr>
          <w:rFonts w:ascii="Arial" w:cs="Arial" w:eastAsia="Arial" w:hAnsi="Arial"/>
          <w:sz w:val="17"/>
          <w:szCs w:val="17"/>
          <w:u w:val="single" w:color="auto"/>
          <w:color w:val="000000"/>
        </w:rPr>
        <w:t>Rules of Construction</w:t>
      </w:r>
      <w:r>
        <w:rPr>
          <w:rFonts w:ascii="Arial" w:cs="Arial" w:eastAsia="Arial" w:hAnsi="Arial"/>
          <w:sz w:val="17"/>
          <w:szCs w:val="17"/>
          <w:color w:val="000000"/>
        </w:rPr>
        <w:t>. The Parties have participated jointly in the negotiation and drafting of this Agreement. In the event an ambiguity or</w:t>
      </w:r>
      <w:r>
        <w:rPr>
          <w:rFonts w:ascii="Arial" w:cs="Arial" w:eastAsia="Arial" w:hAnsi="Arial"/>
          <w:sz w:val="17"/>
          <w:szCs w:val="17"/>
          <w:color w:val="010000"/>
        </w:rPr>
        <w:t xml:space="preserve"> </w:t>
      </w:r>
      <w:r>
        <w:rPr>
          <w:rFonts w:ascii="Arial" w:cs="Arial" w:eastAsia="Arial" w:hAnsi="Arial"/>
          <w:sz w:val="17"/>
          <w:szCs w:val="17"/>
          <w:color w:val="000000"/>
        </w:rPr>
        <w:t>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76" w:lineRule="exact"/>
        <w:rPr>
          <w:sz w:val="20"/>
          <w:szCs w:val="20"/>
          <w:color w:val="auto"/>
        </w:rPr>
      </w:pPr>
    </w:p>
    <w:p>
      <w:pPr>
        <w:jc w:val="both"/>
        <w:ind w:firstLine="1195"/>
        <w:spacing w:after="0" w:line="264" w:lineRule="auto"/>
        <w:rPr>
          <w:sz w:val="20"/>
          <w:szCs w:val="20"/>
          <w:color w:val="auto"/>
        </w:rPr>
      </w:pPr>
      <w:r>
        <w:rPr>
          <w:rFonts w:ascii="Arial" w:cs="Arial" w:eastAsia="Arial" w:hAnsi="Arial"/>
          <w:sz w:val="17"/>
          <w:szCs w:val="17"/>
          <w:color w:val="010000"/>
        </w:rPr>
        <w:t xml:space="preserve">Section 8.20 </w:t>
      </w:r>
      <w:r>
        <w:rPr>
          <w:rFonts w:ascii="Arial" w:cs="Arial" w:eastAsia="Arial" w:hAnsi="Arial"/>
          <w:sz w:val="17"/>
          <w:szCs w:val="17"/>
          <w:u w:val="single" w:color="auto"/>
          <w:color w:val="000000"/>
        </w:rPr>
        <w:t>Headings</w:t>
      </w:r>
      <w:r>
        <w:rPr>
          <w:rFonts w:ascii="Arial" w:cs="Arial" w:eastAsia="Arial" w:hAnsi="Arial"/>
          <w:sz w:val="17"/>
          <w:szCs w:val="17"/>
          <w:color w:val="000000"/>
        </w:rPr>
        <w:t>. Headings of the Articles and Sections of this Agreement, and the Table of Contents are for convenience of the Parties only, and</w:t>
      </w:r>
      <w:r>
        <w:rPr>
          <w:rFonts w:ascii="Arial" w:cs="Arial" w:eastAsia="Arial" w:hAnsi="Arial"/>
          <w:sz w:val="17"/>
          <w:szCs w:val="17"/>
          <w:color w:val="010000"/>
        </w:rPr>
        <w:t xml:space="preserve"> </w:t>
      </w:r>
      <w:r>
        <w:rPr>
          <w:rFonts w:ascii="Arial" w:cs="Arial" w:eastAsia="Arial" w:hAnsi="Arial"/>
          <w:sz w:val="17"/>
          <w:szCs w:val="17"/>
          <w:color w:val="000000"/>
        </w:rPr>
        <w:t>shall be given no substantive or interpretative effect whatsoever.</w:t>
      </w:r>
    </w:p>
    <w:p>
      <w:pPr>
        <w:spacing w:after="0" w:line="168" w:lineRule="exact"/>
        <w:rPr>
          <w:sz w:val="20"/>
          <w:szCs w:val="20"/>
          <w:color w:val="auto"/>
        </w:rPr>
      </w:pPr>
    </w:p>
    <w:p>
      <w:pPr>
        <w:jc w:val="both"/>
        <w:ind w:firstLine="1195"/>
        <w:spacing w:after="0" w:line="265" w:lineRule="auto"/>
        <w:rPr>
          <w:sz w:val="20"/>
          <w:szCs w:val="20"/>
          <w:color w:val="auto"/>
        </w:rPr>
      </w:pPr>
      <w:r>
        <w:rPr>
          <w:rFonts w:ascii="Arial" w:cs="Arial" w:eastAsia="Arial" w:hAnsi="Arial"/>
          <w:sz w:val="16"/>
          <w:szCs w:val="16"/>
          <w:color w:val="010000"/>
        </w:rPr>
        <w:t xml:space="preserve">Section 8.21 </w:t>
      </w:r>
      <w:r>
        <w:rPr>
          <w:rFonts w:ascii="Arial" w:cs="Arial" w:eastAsia="Arial" w:hAnsi="Arial"/>
          <w:sz w:val="16"/>
          <w:szCs w:val="16"/>
          <w:u w:val="single" w:color="auto"/>
          <w:color w:val="000000"/>
        </w:rPr>
        <w:t>Non-Recourse</w:t>
      </w:r>
      <w:r>
        <w:rPr>
          <w:rFonts w:ascii="Arial" w:cs="Arial" w:eastAsia="Arial" w:hAnsi="Arial"/>
          <w:sz w:val="16"/>
          <w:szCs w:val="16"/>
          <w:color w:val="000000"/>
        </w:rPr>
        <w:t>. No past, present or future director, officer, employee, incorporator, agent, attorney or representative of any Seller, the</w:t>
      </w:r>
      <w:r>
        <w:rPr>
          <w:rFonts w:ascii="Arial" w:cs="Arial" w:eastAsia="Arial" w:hAnsi="Arial"/>
          <w:sz w:val="16"/>
          <w:szCs w:val="16"/>
          <w:color w:val="010000"/>
        </w:rPr>
        <w:t xml:space="preserve"> </w:t>
      </w:r>
      <w:r>
        <w:rPr>
          <w:rFonts w:ascii="Arial" w:cs="Arial" w:eastAsia="Arial" w:hAnsi="Arial"/>
          <w:sz w:val="16"/>
          <w:szCs w:val="16"/>
          <w:color w:val="000000"/>
        </w:rPr>
        <w:t>Company, or the Company’s Subsidiaries or any of their respective Affiliates shall be deemed to (a) have made any representations or warranties, or entered into any covenants or agreements, in connection with the Contemplated Transactions or (b) have any personal liability to Buyer for any obligations or liabilities of any Seller under this Agreement or any other Transaction Document for any claim based on, in respect of, or by reason of, the Contemplated Transactions. It is further understood that any Certification contemplated by this Agreement and executed by an officer or other representative of a Party shall be deemed to have been delivered only in such officer’s or representative’s capacity as an officer or representative, as applicable, of such Party (and not in his or her individual capacity) and shall not entitle any Party to assert a claim against such officer or representative in his or her individual capacity.</w:t>
      </w:r>
    </w:p>
    <w:p>
      <w:pPr>
        <w:spacing w:after="0" w:line="172" w:lineRule="exact"/>
        <w:rPr>
          <w:sz w:val="20"/>
          <w:szCs w:val="20"/>
          <w:color w:val="auto"/>
        </w:rPr>
      </w:pPr>
    </w:p>
    <w:p>
      <w:pPr>
        <w:jc w:val="both"/>
        <w:ind w:firstLine="1195"/>
        <w:spacing w:after="0" w:line="264" w:lineRule="auto"/>
        <w:rPr>
          <w:sz w:val="20"/>
          <w:szCs w:val="20"/>
          <w:color w:val="auto"/>
        </w:rPr>
      </w:pPr>
      <w:r>
        <w:rPr>
          <w:rFonts w:ascii="Arial" w:cs="Arial" w:eastAsia="Arial" w:hAnsi="Arial"/>
          <w:sz w:val="17"/>
          <w:szCs w:val="17"/>
          <w:color w:val="010000"/>
        </w:rPr>
        <w:t xml:space="preserve">Section 8.22 </w:t>
      </w:r>
      <w:r>
        <w:rPr>
          <w:rFonts w:ascii="Arial" w:cs="Arial" w:eastAsia="Arial" w:hAnsi="Arial"/>
          <w:sz w:val="17"/>
          <w:szCs w:val="17"/>
          <w:u w:val="single" w:color="auto"/>
          <w:color w:val="000000"/>
        </w:rPr>
        <w:t>Inconsistencies with Other Agreements</w:t>
      </w:r>
      <w:r>
        <w:rPr>
          <w:rFonts w:ascii="Arial" w:cs="Arial" w:eastAsia="Arial" w:hAnsi="Arial"/>
          <w:sz w:val="17"/>
          <w:szCs w:val="17"/>
          <w:color w:val="000000"/>
        </w:rPr>
        <w:t>. In the event of any inconsistency between the provisions in the body of this Agreement and those</w:t>
      </w:r>
      <w:r>
        <w:rPr>
          <w:rFonts w:ascii="Arial" w:cs="Arial" w:eastAsia="Arial" w:hAnsi="Arial"/>
          <w:sz w:val="17"/>
          <w:szCs w:val="17"/>
          <w:color w:val="010000"/>
        </w:rPr>
        <w:t xml:space="preserve"> </w:t>
      </w:r>
      <w:r>
        <w:rPr>
          <w:rFonts w:ascii="Arial" w:cs="Arial" w:eastAsia="Arial" w:hAnsi="Arial"/>
          <w:sz w:val="17"/>
          <w:szCs w:val="17"/>
          <w:color w:val="000000"/>
        </w:rPr>
        <w:t>in the other Transaction Documents referred to herein, the provisions in the body of this Agreement will prevail and govern.</w:t>
      </w:r>
    </w:p>
    <w:p>
      <w:pPr>
        <w:spacing w:after="0" w:line="168" w:lineRule="exact"/>
        <w:rPr>
          <w:sz w:val="20"/>
          <w:szCs w:val="20"/>
          <w:color w:val="auto"/>
        </w:rPr>
      </w:pPr>
    </w:p>
    <w:p>
      <w:pPr>
        <w:jc w:val="both"/>
        <w:ind w:firstLine="1195"/>
        <w:spacing w:after="0" w:line="264" w:lineRule="auto"/>
        <w:rPr>
          <w:sz w:val="20"/>
          <w:szCs w:val="20"/>
          <w:color w:val="auto"/>
        </w:rPr>
      </w:pPr>
      <w:r>
        <w:rPr>
          <w:rFonts w:ascii="Arial" w:cs="Arial" w:eastAsia="Arial" w:hAnsi="Arial"/>
          <w:sz w:val="17"/>
          <w:szCs w:val="17"/>
          <w:color w:val="010000"/>
        </w:rPr>
        <w:t xml:space="preserve">Section 8.23 </w:t>
      </w:r>
      <w:r>
        <w:rPr>
          <w:rFonts w:ascii="Arial" w:cs="Arial" w:eastAsia="Arial" w:hAnsi="Arial"/>
          <w:sz w:val="17"/>
          <w:szCs w:val="17"/>
          <w:u w:val="single" w:color="auto"/>
          <w:color w:val="000000"/>
        </w:rPr>
        <w:t>Obligations of Buyer</w:t>
      </w:r>
      <w:r>
        <w:rPr>
          <w:rFonts w:ascii="Arial" w:cs="Arial" w:eastAsia="Arial" w:hAnsi="Arial"/>
          <w:sz w:val="17"/>
          <w:szCs w:val="17"/>
          <w:color w:val="000000"/>
        </w:rPr>
        <w:t>. Whenever this Agreement requires a Subsidiary of Buyer to take any action, such requirement shall be deemed to</w:t>
      </w:r>
      <w:r>
        <w:rPr>
          <w:rFonts w:ascii="Arial" w:cs="Arial" w:eastAsia="Arial" w:hAnsi="Arial"/>
          <w:sz w:val="17"/>
          <w:szCs w:val="17"/>
          <w:color w:val="010000"/>
        </w:rPr>
        <w:t xml:space="preserve"> </w:t>
      </w:r>
      <w:r>
        <w:rPr>
          <w:rFonts w:ascii="Arial" w:cs="Arial" w:eastAsia="Arial" w:hAnsi="Arial"/>
          <w:sz w:val="17"/>
          <w:szCs w:val="17"/>
          <w:color w:val="000000"/>
        </w:rPr>
        <w:t>include an undertaking on the part of Buyer to cause such Subsidiary to take such action.</w:t>
      </w:r>
    </w:p>
    <w:p>
      <w:pPr>
        <w:spacing w:after="0" w:line="168" w:lineRule="exact"/>
        <w:rPr>
          <w:sz w:val="20"/>
          <w:szCs w:val="20"/>
          <w:color w:val="auto"/>
        </w:rPr>
      </w:pPr>
    </w:p>
    <w:p>
      <w:pPr>
        <w:ind w:left="1200"/>
        <w:spacing w:after="0"/>
        <w:tabs>
          <w:tab w:leader="none" w:pos="2220" w:val="left"/>
        </w:tabs>
        <w:rPr>
          <w:sz w:val="20"/>
          <w:szCs w:val="20"/>
          <w:color w:val="auto"/>
        </w:rPr>
      </w:pPr>
      <w:r>
        <w:rPr>
          <w:rFonts w:ascii="Arial" w:cs="Arial" w:eastAsia="Arial" w:hAnsi="Arial"/>
          <w:sz w:val="17"/>
          <w:szCs w:val="17"/>
          <w:color w:val="010000"/>
        </w:rPr>
        <w:t>Section 8.24</w:t>
      </w:r>
      <w:r>
        <w:rPr>
          <w:sz w:val="20"/>
          <w:szCs w:val="20"/>
          <w:color w:val="auto"/>
        </w:rPr>
        <w:tab/>
      </w:r>
      <w:r>
        <w:rPr>
          <w:rFonts w:ascii="Arial" w:cs="Arial" w:eastAsia="Arial" w:hAnsi="Arial"/>
          <w:sz w:val="15"/>
          <w:szCs w:val="15"/>
          <w:u w:val="single" w:color="auto"/>
          <w:color w:val="auto"/>
        </w:rPr>
        <w:t>Interpretation</w:t>
      </w:r>
      <w:r>
        <w:rPr>
          <w:rFonts w:ascii="Arial" w:cs="Arial" w:eastAsia="Arial" w:hAnsi="Arial"/>
          <w:sz w:val="15"/>
          <w:szCs w:val="15"/>
          <w:color w:val="auto"/>
        </w:rPr>
        <w:t>.</w:t>
      </w:r>
    </w:p>
    <w:p>
      <w:pPr>
        <w:spacing w:after="0" w:line="203" w:lineRule="exact"/>
        <w:rPr>
          <w:sz w:val="20"/>
          <w:szCs w:val="20"/>
          <w:color w:val="auto"/>
        </w:rPr>
      </w:pPr>
    </w:p>
    <w:p>
      <w:pPr>
        <w:jc w:val="both"/>
        <w:ind w:left="820" w:firstLine="599"/>
        <w:spacing w:after="0" w:line="288" w:lineRule="auto"/>
        <w:tabs>
          <w:tab w:leader="none" w:pos="2042" w:val="left"/>
        </w:tabs>
        <w:numPr>
          <w:ilvl w:val="0"/>
          <w:numId w:val="69"/>
        </w:numPr>
        <w:rPr>
          <w:rFonts w:ascii="Arial" w:cs="Arial" w:eastAsia="Arial" w:hAnsi="Arial"/>
          <w:sz w:val="15"/>
          <w:szCs w:val="15"/>
          <w:color w:val="010000"/>
        </w:rPr>
      </w:pPr>
      <w:r>
        <w:rPr>
          <w:rFonts w:ascii="Arial" w:cs="Arial" w:eastAsia="Arial" w:hAnsi="Arial"/>
          <w:sz w:val="15"/>
          <w:szCs w:val="15"/>
          <w:color w:val="auto"/>
        </w:rPr>
        <w:t xml:space="preserve">An item arising with respect to a specific representation or warranty shall be deemed to be “reflected on” or “set forth in” a balance sheet or financial statements, to the extent any such phrase appears in such representation or warranty, if (i) there is a reserve, accrual or other similar item underlying a number on such balance sheet or financial statements that relate to the subject matter of such representation, (ii) such item is otherwise specifically set forth on the balance sheet or financial statements or (iii) such item is reflected on the balance sheet or financial statements and is specifically set forth in the notes thereto. For the avoidance of doubt, references to “Subsidiary” (or a comparable term) in any statement in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shall be deemed to refer to such defined term (or comparable term) determined as of the date on which such statement is made in </w:t>
      </w:r>
      <w:r>
        <w:rPr>
          <w:rFonts w:ascii="Arial" w:cs="Arial" w:eastAsia="Arial" w:hAnsi="Arial"/>
          <w:sz w:val="15"/>
          <w:szCs w:val="15"/>
          <w:u w:val="single" w:color="auto"/>
          <w:color w:val="auto"/>
        </w:rPr>
        <w:t>Article III</w:t>
      </w:r>
      <w:r>
        <w:rPr>
          <w:rFonts w:ascii="Arial" w:cs="Arial" w:eastAsia="Arial" w:hAnsi="Arial"/>
          <w:sz w:val="15"/>
          <w:szCs w:val="15"/>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68" w:name="page69"/>
    <w:bookmarkEnd w:id="68"/>
    <w:p>
      <w:pPr>
        <w:ind w:firstLine="599"/>
        <w:spacing w:after="0" w:line="264" w:lineRule="auto"/>
        <w:tabs>
          <w:tab w:leader="none" w:pos="1343"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The phrases “the date of this Agreement”, “the date hereof” and terms of similar import, unless the context otherwise requires, shall be deemed to refer to February 26, 2018.</w:t>
      </w:r>
    </w:p>
    <w:p>
      <w:pPr>
        <w:spacing w:after="0" w:line="167" w:lineRule="exact"/>
        <w:rPr>
          <w:rFonts w:ascii="Arial" w:cs="Arial" w:eastAsia="Arial" w:hAnsi="Arial"/>
          <w:sz w:val="17"/>
          <w:szCs w:val="17"/>
          <w:color w:val="010000"/>
        </w:rPr>
      </w:pPr>
    </w:p>
    <w:p>
      <w:pPr>
        <w:ind w:firstLine="599"/>
        <w:spacing w:after="0" w:line="264" w:lineRule="auto"/>
        <w:tabs>
          <w:tab w:leader="none" w:pos="1222"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The words “hereof”, “herein” and “hereunder” and words of like import used in this Agreement shall refer to this Agreement as a whole and not to any particular provision of this Agreement.</w:t>
      </w:r>
    </w:p>
    <w:p>
      <w:pPr>
        <w:spacing w:after="0" w:line="167" w:lineRule="exact"/>
        <w:rPr>
          <w:rFonts w:ascii="Arial" w:cs="Arial" w:eastAsia="Arial" w:hAnsi="Arial"/>
          <w:sz w:val="17"/>
          <w:szCs w:val="17"/>
          <w:color w:val="010000"/>
        </w:rPr>
      </w:pPr>
    </w:p>
    <w:p>
      <w:pPr>
        <w:ind w:left="1200" w:hanging="601"/>
        <w:spacing w:after="0"/>
        <w:tabs>
          <w:tab w:leader="none" w:pos="1200"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References to Articles and Sections are to Articles and Sections of this Agreement unless otherwise specified.</w:t>
      </w:r>
    </w:p>
    <w:p>
      <w:pPr>
        <w:spacing w:after="0" w:line="202" w:lineRule="exact"/>
        <w:rPr>
          <w:rFonts w:ascii="Arial" w:cs="Arial" w:eastAsia="Arial" w:hAnsi="Arial"/>
          <w:sz w:val="17"/>
          <w:szCs w:val="17"/>
          <w:color w:val="010000"/>
        </w:rPr>
      </w:pPr>
    </w:p>
    <w:p>
      <w:pPr>
        <w:ind w:firstLine="599"/>
        <w:spacing w:after="0" w:line="264" w:lineRule="auto"/>
        <w:tabs>
          <w:tab w:leader="none" w:pos="1234"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All documents that have been made available to Buyer or its Representatives by any Seller or its Representatives for review at an electronic data room and all other Evaluation Material shall be deemed disclosed and delivered pursuant to this Agreement.</w:t>
      </w:r>
    </w:p>
    <w:p>
      <w:pPr>
        <w:spacing w:after="0" w:line="167" w:lineRule="exact"/>
        <w:rPr>
          <w:rFonts w:ascii="Arial" w:cs="Arial" w:eastAsia="Arial" w:hAnsi="Arial"/>
          <w:sz w:val="17"/>
          <w:szCs w:val="17"/>
          <w:color w:val="010000"/>
        </w:rPr>
      </w:pPr>
    </w:p>
    <w:p>
      <w:pPr>
        <w:ind w:left="1180" w:hanging="581"/>
        <w:spacing w:after="0"/>
        <w:tabs>
          <w:tab w:leader="none" w:pos="1180"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Any singular term in this Agreement shall be deemed to include the plural, and any plural term the singular.</w:t>
      </w:r>
    </w:p>
    <w:p>
      <w:pPr>
        <w:spacing w:after="0" w:line="202" w:lineRule="exact"/>
        <w:rPr>
          <w:rFonts w:ascii="Arial" w:cs="Arial" w:eastAsia="Arial" w:hAnsi="Arial"/>
          <w:sz w:val="17"/>
          <w:szCs w:val="17"/>
          <w:color w:val="010000"/>
        </w:rPr>
      </w:pPr>
    </w:p>
    <w:p>
      <w:pPr>
        <w:ind w:left="1200" w:hanging="601"/>
        <w:spacing w:after="0"/>
        <w:tabs>
          <w:tab w:leader="none" w:pos="1200"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The word “or” shall be inclusive and not exclusive, unless the context otherwise requires.</w:t>
      </w:r>
    </w:p>
    <w:p>
      <w:pPr>
        <w:spacing w:after="0" w:line="202" w:lineRule="exact"/>
        <w:rPr>
          <w:rFonts w:ascii="Arial" w:cs="Arial" w:eastAsia="Arial" w:hAnsi="Arial"/>
          <w:sz w:val="17"/>
          <w:szCs w:val="17"/>
          <w:color w:val="010000"/>
        </w:rPr>
      </w:pPr>
    </w:p>
    <w:p>
      <w:pPr>
        <w:ind w:firstLine="599"/>
        <w:spacing w:after="0" w:line="264" w:lineRule="auto"/>
        <w:tabs>
          <w:tab w:leader="none" w:pos="1318"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Whenever the words “include”, “includes” or “including” are used in this Agreement, they shall be deemed to be followed by the words “without limitation”, whether or not they are in fact followed by those words or words of like import.</w:t>
      </w:r>
    </w:p>
    <w:p>
      <w:pPr>
        <w:spacing w:after="0" w:line="167" w:lineRule="exact"/>
        <w:rPr>
          <w:rFonts w:ascii="Arial" w:cs="Arial" w:eastAsia="Arial" w:hAnsi="Arial"/>
          <w:sz w:val="17"/>
          <w:szCs w:val="17"/>
          <w:color w:val="010000"/>
        </w:rPr>
      </w:pPr>
    </w:p>
    <w:p>
      <w:pPr>
        <w:ind w:left="1220" w:hanging="621"/>
        <w:spacing w:after="0"/>
        <w:tabs>
          <w:tab w:leader="none" w:pos="1220" w:val="left"/>
        </w:tabs>
        <w:numPr>
          <w:ilvl w:val="0"/>
          <w:numId w:val="70"/>
        </w:numPr>
        <w:rPr>
          <w:rFonts w:ascii="Arial" w:cs="Arial" w:eastAsia="Arial" w:hAnsi="Arial"/>
          <w:sz w:val="15"/>
          <w:szCs w:val="15"/>
          <w:color w:val="010000"/>
        </w:rPr>
      </w:pPr>
      <w:r>
        <w:rPr>
          <w:rFonts w:ascii="Arial" w:cs="Arial" w:eastAsia="Arial" w:hAnsi="Arial"/>
          <w:sz w:val="15"/>
          <w:szCs w:val="15"/>
          <w:color w:val="auto"/>
        </w:rPr>
        <w:t>“Writing”, “written” and comparable terms refer to printing, typing and other means of reproducing words (including electronic media) in a</w:t>
      </w:r>
    </w:p>
    <w:p>
      <w:pPr>
        <w:spacing w:after="0" w:line="39"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7"/>
          <w:szCs w:val="17"/>
          <w:color w:val="auto"/>
        </w:rPr>
        <w:t>visible form.</w:t>
      </w:r>
    </w:p>
    <w:p>
      <w:pPr>
        <w:spacing w:after="0" w:line="190" w:lineRule="exact"/>
        <w:rPr>
          <w:rFonts w:ascii="Arial" w:cs="Arial" w:eastAsia="Arial" w:hAnsi="Arial"/>
          <w:sz w:val="15"/>
          <w:szCs w:val="15"/>
          <w:color w:val="010000"/>
        </w:rPr>
      </w:pPr>
    </w:p>
    <w:p>
      <w:pPr>
        <w:jc w:val="both"/>
        <w:ind w:firstLine="599"/>
        <w:spacing w:after="0" w:line="249" w:lineRule="auto"/>
        <w:tabs>
          <w:tab w:leader="none" w:pos="1181"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 xml:space="preserve">References to any Contract are to that Contract as amended, modified or supplemented from time to time in accordance with the terms hereof and thereof. The disclosure of the name of, or any party to, a Contract, or the terms or conditions of a Contract, in any Section of the Disclosure Letter is subject to the restrictions set forth in such Contract or under applicable Law with respect to such disclosure, and no representations or warranties of Sellers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deemed to be untrue or inaccurate by reason of the disclosure in such Section of the Disclosure Letter being omitted or otherwise limited in order to comply with such restrictions.</w:t>
      </w:r>
    </w:p>
    <w:p>
      <w:pPr>
        <w:spacing w:after="0" w:line="281"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10160</wp:posOffset>
            </wp:positionV>
            <wp:extent cx="7257415" cy="23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600"/>
          </w:cols>
          <w:pgMar w:left="1060" w:top="662" w:right="239" w:bottom="1440" w:gutter="0" w:footer="0" w:header="0"/>
        </w:sectPr>
      </w:pPr>
    </w:p>
    <w:bookmarkStart w:id="69" w:name="page70"/>
    <w:bookmarkEnd w:id="69"/>
    <w:p>
      <w:pPr>
        <w:jc w:val="both"/>
        <w:ind w:left="-380" w:firstLine="599"/>
        <w:spacing w:after="0" w:line="254" w:lineRule="auto"/>
        <w:tabs>
          <w:tab w:leader="none" w:pos="888" w:val="left"/>
        </w:tabs>
        <w:numPr>
          <w:ilvl w:val="0"/>
          <w:numId w:val="71"/>
        </w:numPr>
        <w:rPr>
          <w:rFonts w:ascii="Arial" w:cs="Arial" w:eastAsia="Arial" w:hAnsi="Arial"/>
          <w:sz w:val="17"/>
          <w:szCs w:val="17"/>
          <w:color w:val="010000"/>
        </w:rPr>
      </w:pPr>
      <w:r>
        <w:rPr>
          <w:rFonts w:ascii="Arial" w:cs="Arial" w:eastAsia="Arial" w:hAnsi="Arial"/>
          <w:sz w:val="17"/>
          <w:szCs w:val="17"/>
          <w:color w:val="auto"/>
        </w:rPr>
        <w:t xml:space="preserve">References to any Person include the successors and permitted assigns of that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for the avoidance of doubt, nothing in this </w:t>
      </w:r>
      <w:r>
        <w:rPr>
          <w:rFonts w:ascii="Arial" w:cs="Arial" w:eastAsia="Arial" w:hAnsi="Arial"/>
          <w:sz w:val="17"/>
          <w:szCs w:val="17"/>
          <w:u w:val="single" w:color="auto"/>
          <w:color w:val="auto"/>
        </w:rPr>
        <w:t>Section 8.24(k)</w:t>
      </w:r>
      <w:r>
        <w:rPr>
          <w:rFonts w:ascii="Arial" w:cs="Arial" w:eastAsia="Arial" w:hAnsi="Arial"/>
          <w:sz w:val="17"/>
          <w:szCs w:val="17"/>
          <w:color w:val="auto"/>
        </w:rPr>
        <w:t xml:space="preserve"> is intended to authorize, nor shall it be deemed to have authorized, any assignment or transfer not otherwise permitted by this Agreement.</w:t>
      </w:r>
    </w:p>
    <w:p>
      <w:pPr>
        <w:spacing w:after="0" w:line="176" w:lineRule="exact"/>
        <w:rPr>
          <w:rFonts w:ascii="Arial" w:cs="Arial" w:eastAsia="Arial" w:hAnsi="Arial"/>
          <w:sz w:val="17"/>
          <w:szCs w:val="17"/>
          <w:color w:val="010000"/>
        </w:rPr>
      </w:pPr>
    </w:p>
    <w:p>
      <w:pPr>
        <w:jc w:val="both"/>
        <w:ind w:left="-380" w:firstLine="599"/>
        <w:spacing w:after="0" w:line="251" w:lineRule="auto"/>
        <w:tabs>
          <w:tab w:leader="none" w:pos="876" w:val="left"/>
        </w:tabs>
        <w:numPr>
          <w:ilvl w:val="0"/>
          <w:numId w:val="71"/>
        </w:numPr>
        <w:rPr>
          <w:rFonts w:ascii="Arial" w:cs="Arial" w:eastAsia="Arial" w:hAnsi="Arial"/>
          <w:sz w:val="17"/>
          <w:szCs w:val="17"/>
          <w:color w:val="010000"/>
        </w:rPr>
      </w:pPr>
      <w:r>
        <w:rPr>
          <w:rFonts w:ascii="Arial" w:cs="Arial" w:eastAsia="Arial" w:hAnsi="Arial"/>
          <w:sz w:val="17"/>
          <w:szCs w:val="17"/>
          <w:color w:val="auto"/>
        </w:rPr>
        <w:t>The word “day”, unless otherwise indicated, shall be deemed to refer to a calendar day. References from or through any date mean, unless otherwise specified, from and including or through and including, respectively.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178" w:lineRule="exact"/>
        <w:rPr>
          <w:rFonts w:ascii="Arial" w:cs="Arial" w:eastAsia="Arial" w:hAnsi="Arial"/>
          <w:sz w:val="17"/>
          <w:szCs w:val="17"/>
          <w:color w:val="010000"/>
        </w:rPr>
      </w:pPr>
    </w:p>
    <w:p>
      <w:pPr>
        <w:ind w:left="-380" w:firstLine="599"/>
        <w:spacing w:after="0" w:line="264" w:lineRule="auto"/>
        <w:tabs>
          <w:tab w:leader="none" w:pos="884" w:val="left"/>
        </w:tabs>
        <w:numPr>
          <w:ilvl w:val="0"/>
          <w:numId w:val="71"/>
        </w:numPr>
        <w:rPr>
          <w:rFonts w:ascii="Arial" w:cs="Arial" w:eastAsia="Arial" w:hAnsi="Arial"/>
          <w:sz w:val="17"/>
          <w:szCs w:val="17"/>
          <w:color w:val="010000"/>
        </w:rPr>
      </w:pPr>
      <w:r>
        <w:rPr>
          <w:rFonts w:ascii="Arial" w:cs="Arial" w:eastAsia="Arial" w:hAnsi="Arial"/>
          <w:sz w:val="17"/>
          <w:szCs w:val="17"/>
          <w:color w:val="auto"/>
        </w:rPr>
        <w:t>Unless the context otherwise requires, references to “Law”, “Laws” or to a particular Law shall be deemed to refer to such Law as amended from time to time, and to the rules and regulations promulgated thereunder.</w:t>
      </w:r>
    </w:p>
    <w:p>
      <w:pPr>
        <w:spacing w:after="0" w:line="168" w:lineRule="exact"/>
        <w:rPr>
          <w:sz w:val="20"/>
          <w:szCs w:val="20"/>
          <w:color w:val="auto"/>
        </w:rPr>
      </w:pPr>
    </w:p>
    <w:p>
      <w:pPr>
        <w:ind w:left="3620"/>
        <w:spacing w:after="0"/>
        <w:rPr>
          <w:sz w:val="20"/>
          <w:szCs w:val="20"/>
          <w:color w:val="auto"/>
        </w:rPr>
      </w:pPr>
      <w:r>
        <w:rPr>
          <w:rFonts w:ascii="Arial" w:cs="Arial" w:eastAsia="Arial" w:hAnsi="Arial"/>
          <w:sz w:val="17"/>
          <w:szCs w:val="17"/>
          <w:i w:val="1"/>
          <w:iCs w:val="1"/>
          <w:color w:val="auto"/>
        </w:rPr>
        <w:t>[Signature Page Follows.]</w:t>
      </w:r>
    </w:p>
    <w:p>
      <w:pPr>
        <w:spacing w:after="0" w:line="303"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7257415" cy="23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662" w:right="239" w:bottom="1440" w:gutter="0" w:footer="0" w:header="0"/>
        </w:sectPr>
      </w:pPr>
    </w:p>
    <w:bookmarkStart w:id="70" w:name="page71"/>
    <w:bookmarkEnd w:id="70"/>
    <w:p>
      <w:pPr>
        <w:spacing w:after="0"/>
        <w:rPr>
          <w:sz w:val="20"/>
          <w:szCs w:val="20"/>
          <w:color w:val="auto"/>
        </w:rPr>
      </w:pPr>
      <w:r>
        <w:rPr>
          <w:rFonts w:ascii="Arial" w:cs="Arial" w:eastAsia="Arial" w:hAnsi="Arial"/>
          <w:sz w:val="15"/>
          <w:szCs w:val="15"/>
          <w:color w:val="auto"/>
        </w:rPr>
        <w:t>IN WITNESS WHEREOF, the Parties hereto have caused this Agreement to be duly executed as of the day and year first above written.</w:t>
      </w:r>
    </w:p>
    <w:p>
      <w:pPr>
        <w:spacing w:after="0" w:line="222"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SELLERS:</w:t>
      </w:r>
    </w:p>
    <w:p>
      <w:pPr>
        <w:spacing w:after="0" w:line="207"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PRIORITY INVESTMENT HOLDINGS, LLC</w:t>
      </w:r>
    </w:p>
    <w:p>
      <w:pPr>
        <w:spacing w:after="0" w:line="203"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By: /s/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3350260</wp:posOffset>
            </wp:positionH>
            <wp:positionV relativeFrom="paragraph">
              <wp:posOffset>10160</wp:posOffset>
            </wp:positionV>
            <wp:extent cx="352615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26155" cy="762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7"/>
          <w:szCs w:val="17"/>
          <w:color w:val="auto"/>
        </w:rPr>
        <w:t>Name: Thomas C. Priore</w:t>
      </w:r>
    </w:p>
    <w:p>
      <w:pPr>
        <w:spacing w:after="0" w:line="16" w:lineRule="exact"/>
        <w:rPr>
          <w:sz w:val="20"/>
          <w:szCs w:val="20"/>
          <w:color w:val="auto"/>
        </w:rPr>
      </w:pPr>
    </w:p>
    <w:p>
      <w:pPr>
        <w:ind w:left="5280"/>
        <w:spacing w:after="0"/>
        <w:tabs>
          <w:tab w:leader="none" w:pos="57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Managing Member</w:t>
      </w:r>
    </w:p>
    <w:p>
      <w:pPr>
        <w:spacing w:after="0" w:line="190"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PRIORITY INCENTIVE EQUITY HOLDINGS, LLC</w:t>
      </w:r>
    </w:p>
    <w:p>
      <w:pPr>
        <w:spacing w:after="0" w:line="203"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By: /s/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3350260</wp:posOffset>
            </wp:positionH>
            <wp:positionV relativeFrom="paragraph">
              <wp:posOffset>10160</wp:posOffset>
            </wp:positionV>
            <wp:extent cx="352615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26155" cy="762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7"/>
          <w:szCs w:val="17"/>
          <w:color w:val="auto"/>
        </w:rPr>
        <w:t>Name: Thomas C. Priore</w:t>
      </w:r>
    </w:p>
    <w:p>
      <w:pPr>
        <w:spacing w:after="0" w:line="16" w:lineRule="exact"/>
        <w:rPr>
          <w:sz w:val="20"/>
          <w:szCs w:val="20"/>
          <w:color w:val="auto"/>
        </w:rPr>
      </w:pPr>
    </w:p>
    <w:p>
      <w:pPr>
        <w:ind w:left="5280"/>
        <w:spacing w:after="0"/>
        <w:tabs>
          <w:tab w:leader="none" w:pos="57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191770</wp:posOffset>
            </wp:positionV>
            <wp:extent cx="7257415" cy="23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619"/>
          </w:cols>
          <w:pgMar w:left="840" w:top="662" w:right="1440" w:bottom="1440" w:gutter="0" w:footer="0" w:header="0"/>
        </w:sectPr>
      </w:pPr>
    </w:p>
    <w:bookmarkStart w:id="71" w:name="page72"/>
    <w:bookmarkEnd w:id="71"/>
    <w:p>
      <w:pPr>
        <w:ind w:left="4340"/>
        <w:spacing w:after="0"/>
        <w:rPr>
          <w:sz w:val="20"/>
          <w:szCs w:val="20"/>
          <w:color w:val="auto"/>
        </w:rPr>
      </w:pPr>
      <w:r>
        <w:rPr>
          <w:rFonts w:ascii="Arial" w:cs="Arial" w:eastAsia="Arial" w:hAnsi="Arial"/>
          <w:sz w:val="17"/>
          <w:szCs w:val="17"/>
          <w:b w:val="1"/>
          <w:bCs w:val="1"/>
          <w:color w:val="auto"/>
        </w:rPr>
        <w:t>BUYER:</w:t>
      </w:r>
    </w:p>
    <w:p>
      <w:pPr>
        <w:spacing w:after="0" w:line="207"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M I ACQUISITIONS, INC.</w:t>
      </w:r>
    </w:p>
    <w:p>
      <w:pPr>
        <w:spacing w:after="0" w:line="203"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By: /s/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2969260</wp:posOffset>
            </wp:positionH>
            <wp:positionV relativeFrom="paragraph">
              <wp:posOffset>10160</wp:posOffset>
            </wp:positionV>
            <wp:extent cx="352615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26155" cy="7620"/>
                    </a:xfrm>
                    <a:prstGeom prst="rect">
                      <a:avLst/>
                    </a:prstGeom>
                    <a:noFill/>
                  </pic:spPr>
                </pic:pic>
              </a:graphicData>
            </a:graphic>
          </wp:anchor>
        </w:drawing>
      </w:r>
    </w:p>
    <w:p>
      <w:pPr>
        <w:ind w:left="4680"/>
        <w:spacing w:after="0"/>
        <w:rPr>
          <w:sz w:val="20"/>
          <w:szCs w:val="20"/>
          <w:color w:val="auto"/>
        </w:rPr>
      </w:pPr>
      <w:r>
        <w:rPr>
          <w:rFonts w:ascii="Arial" w:cs="Arial" w:eastAsia="Arial" w:hAnsi="Arial"/>
          <w:sz w:val="17"/>
          <w:szCs w:val="17"/>
          <w:color w:val="auto"/>
        </w:rPr>
        <w:t>Name:  Joshua Sason</w:t>
      </w:r>
    </w:p>
    <w:p>
      <w:pPr>
        <w:spacing w:after="0" w:line="16" w:lineRule="exact"/>
        <w:rPr>
          <w:sz w:val="20"/>
          <w:szCs w:val="20"/>
          <w:color w:val="auto"/>
        </w:rPr>
      </w:pPr>
    </w:p>
    <w:p>
      <w:pPr>
        <w:jc w:val="both"/>
        <w:ind w:left="4680"/>
        <w:spacing w:after="0"/>
        <w:tabs>
          <w:tab w:leader="none" w:pos="5220" w:val="left"/>
        </w:tabs>
        <w:rPr>
          <w:sz w:val="20"/>
          <w:szCs w:val="20"/>
          <w:color w:val="auto"/>
        </w:rPr>
      </w:pPr>
      <w:r>
        <w:rPr>
          <w:rFonts w:ascii="Arial" w:cs="Arial" w:eastAsia="Arial" w:hAnsi="Arial"/>
          <w:sz w:val="17"/>
          <w:szCs w:val="17"/>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207645</wp:posOffset>
            </wp:positionV>
            <wp:extent cx="7257415" cy="23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7"/>
          <w:szCs w:val="17"/>
          <w:u w:val="single" w:color="auto"/>
          <w:color w:val="auto"/>
        </w:rPr>
        <w:t>Exhibit A</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Form of Amended and Restated Operating Agreement</w:t>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200025</wp:posOffset>
            </wp:positionV>
            <wp:extent cx="7257415" cy="23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17"/>
          <w:szCs w:val="17"/>
          <w:u w:val="single" w:color="auto"/>
          <w:color w:val="auto"/>
        </w:rPr>
        <w:t>Exhibit B</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Form of Buyer A&amp;R Charter</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200025</wp:posOffset>
            </wp:positionV>
            <wp:extent cx="7257415" cy="23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17"/>
          <w:szCs w:val="17"/>
          <w:u w:val="single" w:color="auto"/>
          <w:color w:val="auto"/>
        </w:rPr>
        <w:t>Exhibit C</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 of Buyer A&amp;R By-laws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200025</wp:posOffset>
            </wp:positionV>
            <wp:extent cx="7257415" cy="23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75" w:name="page76"/>
    <w:bookmarkEnd w:id="75"/>
    <w:p>
      <w:pPr>
        <w:jc w:val="center"/>
        <w:ind w:right="-20"/>
        <w:spacing w:after="0"/>
        <w:rPr>
          <w:sz w:val="20"/>
          <w:szCs w:val="20"/>
          <w:color w:val="auto"/>
        </w:rPr>
      </w:pPr>
      <w:r>
        <w:rPr>
          <w:rFonts w:ascii="Arial" w:cs="Arial" w:eastAsia="Arial" w:hAnsi="Arial"/>
          <w:sz w:val="17"/>
          <w:szCs w:val="17"/>
          <w:u w:val="single" w:color="auto"/>
          <w:color w:val="auto"/>
        </w:rPr>
        <w:t>Exhibit D</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Form of Registration Rights Agreement</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200025</wp:posOffset>
            </wp:positionV>
            <wp:extent cx="7257415" cy="23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76" w:name="page77"/>
    <w:bookmarkEnd w:id="76"/>
    <w:p>
      <w:pPr>
        <w:jc w:val="center"/>
        <w:spacing w:after="0"/>
        <w:rPr>
          <w:sz w:val="20"/>
          <w:szCs w:val="20"/>
          <w:color w:val="auto"/>
        </w:rPr>
      </w:pPr>
      <w:r>
        <w:rPr>
          <w:rFonts w:ascii="Arial" w:cs="Arial" w:eastAsia="Arial" w:hAnsi="Arial"/>
          <w:sz w:val="17"/>
          <w:szCs w:val="17"/>
          <w:u w:val="single" w:color="auto"/>
          <w:color w:val="auto"/>
        </w:rPr>
        <w:t>Exhibit 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 of Earnout Incentive Plan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342265</wp:posOffset>
            </wp:positionV>
            <wp:extent cx="7257415" cy="23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77" w:name="page78"/>
    <w:bookmarkEnd w:id="77"/>
    <w:p>
      <w:pPr>
        <w:jc w:val="right"/>
        <w:spacing w:after="0"/>
        <w:rPr>
          <w:sz w:val="20"/>
          <w:szCs w:val="20"/>
          <w:color w:val="auto"/>
        </w:rPr>
      </w:pPr>
      <w:r>
        <w:rPr>
          <w:rFonts w:ascii="Arial" w:cs="Arial" w:eastAsia="Arial" w:hAnsi="Arial"/>
          <w:sz w:val="17"/>
          <w:szCs w:val="17"/>
          <w:b w:val="1"/>
          <w:bCs w:val="1"/>
          <w:color w:val="auto"/>
        </w:rPr>
        <w:t>Exhibit 10.1</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170815</wp:posOffset>
            </wp:positionV>
            <wp:extent cx="725741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194945</wp:posOffset>
            </wp:positionV>
            <wp:extent cx="725741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PURCHASE AGREEMENT</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dated as of</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February 26, 2018</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by and among</w:t>
      </w:r>
    </w:p>
    <w:p>
      <w:pPr>
        <w:spacing w:after="0" w:line="199"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PRIORITY HOLDINGS, LLC,</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M SPAC LLC,</w:t>
      </w:r>
    </w:p>
    <w:p>
      <w:pPr>
        <w:spacing w:after="0" w:line="203"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M SPAC HOLDINGS I LLC,</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M SPAC HOLDINGS II LLC,</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199"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M I ACQUISITIONS, INC.</w:t>
      </w:r>
    </w:p>
    <w:p>
      <w:pPr>
        <w:spacing w:after="0" w:line="20"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(solely for purposes of Section 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175260</wp:posOffset>
            </wp:positionV>
            <wp:extent cx="725741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190500</wp:posOffset>
            </wp:positionV>
            <wp:extent cx="725741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546735</wp:posOffset>
            </wp:positionV>
            <wp:extent cx="7257415" cy="23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0220"/>
          </w:cols>
          <w:pgMar w:left="1440" w:top="322"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7400" w:type="dxa"/>
            <w:vAlign w:val="bottom"/>
          </w:tcPr>
          <w:p>
            <w:pPr>
              <w:ind w:left="3380"/>
              <w:spacing w:after="0"/>
              <w:rPr>
                <w:sz w:val="20"/>
                <w:szCs w:val="20"/>
                <w:color w:val="auto"/>
              </w:rPr>
            </w:pPr>
            <w:r>
              <w:rPr>
                <w:rFonts w:ascii="Arial" w:cs="Arial" w:eastAsia="Arial" w:hAnsi="Arial"/>
                <w:sz w:val="17"/>
                <w:szCs w:val="17"/>
                <w:b w:val="1"/>
                <w:bCs w:val="1"/>
                <w:color w:val="auto"/>
              </w:rPr>
              <w:t>TABLE OF CONTENTS</w:t>
            </w:r>
          </w:p>
        </w:tc>
        <w:tc>
          <w:tcPr>
            <w:tcW w:w="2580" w:type="dxa"/>
            <w:vAlign w:val="bottom"/>
          </w:tcPr>
          <w:p>
            <w:pPr>
              <w:spacing w:after="0"/>
              <w:rPr>
                <w:sz w:val="18"/>
                <w:szCs w:val="18"/>
                <w:color w:val="auto"/>
              </w:rPr>
            </w:pPr>
          </w:p>
        </w:tc>
      </w:tr>
      <w:tr>
        <w:trPr>
          <w:trHeight w:val="398"/>
        </w:trPr>
        <w:tc>
          <w:tcPr>
            <w:tcW w:w="144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7"/>
                <w:szCs w:val="17"/>
                <w:b w:val="1"/>
                <w:bCs w:val="1"/>
                <w:color w:val="auto"/>
              </w:rPr>
              <w:t>Page</w:t>
            </w:r>
          </w:p>
        </w:tc>
      </w:tr>
      <w:tr>
        <w:trPr>
          <w:trHeight w:val="398"/>
        </w:trPr>
        <w:tc>
          <w:tcPr>
            <w:tcW w:w="8840" w:type="dxa"/>
            <w:vAlign w:val="bottom"/>
            <w:gridSpan w:val="2"/>
          </w:tcPr>
          <w:p>
            <w:pPr>
              <w:spacing w:after="0"/>
              <w:rPr>
                <w:sz w:val="20"/>
                <w:szCs w:val="20"/>
                <w:color w:val="auto"/>
              </w:rPr>
            </w:pPr>
            <w:r>
              <w:rPr>
                <w:rFonts w:ascii="Arial" w:cs="Arial" w:eastAsia="Arial" w:hAnsi="Arial"/>
                <w:sz w:val="17"/>
                <w:szCs w:val="17"/>
                <w:color w:val="auto"/>
              </w:rPr>
              <w:t>ARTICLE I DEFINITIONS</w:t>
            </w:r>
          </w:p>
        </w:tc>
        <w:tc>
          <w:tcPr>
            <w:tcW w:w="25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199"/>
        </w:trPr>
        <w:tc>
          <w:tcPr>
            <w:tcW w:w="8840" w:type="dxa"/>
            <w:vAlign w:val="bottom"/>
            <w:gridSpan w:val="2"/>
          </w:tcPr>
          <w:p>
            <w:pPr>
              <w:spacing w:after="0"/>
              <w:rPr>
                <w:sz w:val="20"/>
                <w:szCs w:val="20"/>
                <w:color w:val="auto"/>
              </w:rPr>
            </w:pPr>
            <w:r>
              <w:rPr>
                <w:rFonts w:ascii="Arial" w:cs="Arial" w:eastAsia="Arial" w:hAnsi="Arial"/>
                <w:sz w:val="17"/>
                <w:szCs w:val="17"/>
                <w:color w:val="auto"/>
              </w:rPr>
              <w:t>ARTICLE II PURCHASE AND SALE</w:t>
            </w:r>
          </w:p>
        </w:tc>
        <w:tc>
          <w:tcPr>
            <w:tcW w:w="25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2.01</w:t>
            </w:r>
          </w:p>
        </w:tc>
        <w:tc>
          <w:tcPr>
            <w:tcW w:w="7400" w:type="dxa"/>
            <w:vAlign w:val="bottom"/>
          </w:tcPr>
          <w:p>
            <w:pPr>
              <w:ind w:left="280"/>
              <w:spacing w:after="0"/>
              <w:rPr>
                <w:sz w:val="20"/>
                <w:szCs w:val="20"/>
                <w:color w:val="auto"/>
              </w:rPr>
            </w:pPr>
            <w:r>
              <w:rPr>
                <w:rFonts w:ascii="Arial" w:cs="Arial" w:eastAsia="Arial" w:hAnsi="Arial"/>
                <w:sz w:val="17"/>
                <w:szCs w:val="17"/>
                <w:color w:val="auto"/>
              </w:rPr>
              <w:t>Purchase and Sale</w:t>
            </w:r>
          </w:p>
        </w:tc>
        <w:tc>
          <w:tcPr>
            <w:tcW w:w="25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2.02</w:t>
            </w:r>
          </w:p>
        </w:tc>
        <w:tc>
          <w:tcPr>
            <w:tcW w:w="7400" w:type="dxa"/>
            <w:vAlign w:val="bottom"/>
          </w:tcPr>
          <w:p>
            <w:pPr>
              <w:ind w:left="280"/>
              <w:spacing w:after="0"/>
              <w:rPr>
                <w:sz w:val="20"/>
                <w:szCs w:val="20"/>
                <w:color w:val="auto"/>
              </w:rPr>
            </w:pPr>
            <w:r>
              <w:rPr>
                <w:rFonts w:ascii="Arial" w:cs="Arial" w:eastAsia="Arial" w:hAnsi="Arial"/>
                <w:sz w:val="17"/>
                <w:szCs w:val="17"/>
                <w:color w:val="auto"/>
              </w:rPr>
              <w:t>Purchase Price</w:t>
            </w:r>
          </w:p>
        </w:tc>
        <w:tc>
          <w:tcPr>
            <w:tcW w:w="25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2.03</w:t>
            </w:r>
          </w:p>
        </w:tc>
        <w:tc>
          <w:tcPr>
            <w:tcW w:w="7400" w:type="dxa"/>
            <w:vAlign w:val="bottom"/>
          </w:tcPr>
          <w:p>
            <w:pPr>
              <w:ind w:left="280"/>
              <w:spacing w:after="0"/>
              <w:rPr>
                <w:sz w:val="20"/>
                <w:szCs w:val="20"/>
                <w:color w:val="auto"/>
              </w:rPr>
            </w:pPr>
            <w:r>
              <w:rPr>
                <w:rFonts w:ascii="Arial" w:cs="Arial" w:eastAsia="Arial" w:hAnsi="Arial"/>
                <w:sz w:val="17"/>
                <w:szCs w:val="17"/>
                <w:color w:val="auto"/>
              </w:rPr>
              <w:t>Effective Time</w:t>
            </w:r>
          </w:p>
        </w:tc>
        <w:tc>
          <w:tcPr>
            <w:tcW w:w="25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2.04</w:t>
            </w:r>
          </w:p>
        </w:tc>
        <w:tc>
          <w:tcPr>
            <w:tcW w:w="7400" w:type="dxa"/>
            <w:vAlign w:val="bottom"/>
          </w:tcPr>
          <w:p>
            <w:pPr>
              <w:ind w:left="280"/>
              <w:spacing w:after="0"/>
              <w:rPr>
                <w:sz w:val="20"/>
                <w:szCs w:val="20"/>
                <w:color w:val="auto"/>
              </w:rPr>
            </w:pPr>
            <w:r>
              <w:rPr>
                <w:rFonts w:ascii="Arial" w:cs="Arial" w:eastAsia="Arial" w:hAnsi="Arial"/>
                <w:sz w:val="17"/>
                <w:szCs w:val="17"/>
                <w:color w:val="auto"/>
              </w:rPr>
              <w:t>Pre-Closing Deliveries</w:t>
            </w:r>
          </w:p>
        </w:tc>
        <w:tc>
          <w:tcPr>
            <w:tcW w:w="25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2.05</w:t>
            </w:r>
          </w:p>
        </w:tc>
        <w:tc>
          <w:tcPr>
            <w:tcW w:w="7400" w:type="dxa"/>
            <w:vAlign w:val="bottom"/>
          </w:tcPr>
          <w:p>
            <w:pPr>
              <w:ind w:left="280"/>
              <w:spacing w:after="0"/>
              <w:rPr>
                <w:sz w:val="20"/>
                <w:szCs w:val="20"/>
                <w:color w:val="auto"/>
              </w:rPr>
            </w:pPr>
            <w:r>
              <w:rPr>
                <w:rFonts w:ascii="Arial" w:cs="Arial" w:eastAsia="Arial" w:hAnsi="Arial"/>
                <w:sz w:val="17"/>
                <w:szCs w:val="17"/>
                <w:color w:val="auto"/>
              </w:rPr>
              <w:t>Closing Payments and Deliveries</w:t>
            </w:r>
          </w:p>
        </w:tc>
        <w:tc>
          <w:tcPr>
            <w:tcW w:w="25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2.06</w:t>
            </w:r>
          </w:p>
        </w:tc>
        <w:tc>
          <w:tcPr>
            <w:tcW w:w="7400" w:type="dxa"/>
            <w:vAlign w:val="bottom"/>
          </w:tcPr>
          <w:p>
            <w:pPr>
              <w:ind w:left="280"/>
              <w:spacing w:after="0"/>
              <w:rPr>
                <w:sz w:val="20"/>
                <w:szCs w:val="20"/>
                <w:color w:val="auto"/>
              </w:rPr>
            </w:pPr>
            <w:r>
              <w:rPr>
                <w:rFonts w:ascii="Arial" w:cs="Arial" w:eastAsia="Arial" w:hAnsi="Arial"/>
                <w:sz w:val="17"/>
                <w:szCs w:val="17"/>
                <w:color w:val="auto"/>
              </w:rPr>
              <w:t>Forfeiture and Earnout</w:t>
            </w:r>
          </w:p>
        </w:tc>
        <w:tc>
          <w:tcPr>
            <w:tcW w:w="25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199"/>
        </w:trPr>
        <w:tc>
          <w:tcPr>
            <w:tcW w:w="8840" w:type="dxa"/>
            <w:vAlign w:val="bottom"/>
            <w:gridSpan w:val="2"/>
          </w:tcPr>
          <w:p>
            <w:pPr>
              <w:spacing w:after="0"/>
              <w:rPr>
                <w:sz w:val="20"/>
                <w:szCs w:val="20"/>
                <w:color w:val="auto"/>
              </w:rPr>
            </w:pPr>
            <w:r>
              <w:rPr>
                <w:rFonts w:ascii="Arial" w:cs="Arial" w:eastAsia="Arial" w:hAnsi="Arial"/>
                <w:sz w:val="17"/>
                <w:szCs w:val="17"/>
                <w:color w:val="auto"/>
              </w:rPr>
              <w:t>ARTICLE III REPRESENTATIONS AND WARRANTIES OF FOUNDERS</w:t>
            </w:r>
          </w:p>
        </w:tc>
        <w:tc>
          <w:tcPr>
            <w:tcW w:w="25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3.01</w:t>
            </w:r>
          </w:p>
        </w:tc>
        <w:tc>
          <w:tcPr>
            <w:tcW w:w="7400" w:type="dxa"/>
            <w:vAlign w:val="bottom"/>
          </w:tcPr>
          <w:p>
            <w:pPr>
              <w:ind w:left="280"/>
              <w:spacing w:after="0"/>
              <w:rPr>
                <w:sz w:val="20"/>
                <w:szCs w:val="20"/>
                <w:color w:val="auto"/>
              </w:rPr>
            </w:pPr>
            <w:r>
              <w:rPr>
                <w:rFonts w:ascii="Arial" w:cs="Arial" w:eastAsia="Arial" w:hAnsi="Arial"/>
                <w:sz w:val="17"/>
                <w:szCs w:val="17"/>
                <w:color w:val="auto"/>
              </w:rPr>
              <w:t>Organization and Good Standing</w:t>
            </w:r>
          </w:p>
        </w:tc>
        <w:tc>
          <w:tcPr>
            <w:tcW w:w="25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3.02</w:t>
            </w:r>
          </w:p>
        </w:tc>
        <w:tc>
          <w:tcPr>
            <w:tcW w:w="7400" w:type="dxa"/>
            <w:vAlign w:val="bottom"/>
          </w:tcPr>
          <w:p>
            <w:pPr>
              <w:ind w:left="280"/>
              <w:spacing w:after="0"/>
              <w:rPr>
                <w:sz w:val="20"/>
                <w:szCs w:val="20"/>
                <w:color w:val="auto"/>
              </w:rPr>
            </w:pPr>
            <w:r>
              <w:rPr>
                <w:rFonts w:ascii="Arial" w:cs="Arial" w:eastAsia="Arial" w:hAnsi="Arial"/>
                <w:sz w:val="17"/>
                <w:szCs w:val="17"/>
                <w:color w:val="auto"/>
              </w:rPr>
              <w:t>Authorization; Validity of Agreements</w:t>
            </w:r>
          </w:p>
        </w:tc>
        <w:tc>
          <w:tcPr>
            <w:tcW w:w="25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3.03</w:t>
            </w:r>
          </w:p>
        </w:tc>
        <w:tc>
          <w:tcPr>
            <w:tcW w:w="7400" w:type="dxa"/>
            <w:vAlign w:val="bottom"/>
          </w:tcPr>
          <w:p>
            <w:pPr>
              <w:ind w:left="280"/>
              <w:spacing w:after="0"/>
              <w:rPr>
                <w:sz w:val="20"/>
                <w:szCs w:val="20"/>
                <w:color w:val="auto"/>
              </w:rPr>
            </w:pPr>
            <w:r>
              <w:rPr>
                <w:rFonts w:ascii="Arial" w:cs="Arial" w:eastAsia="Arial" w:hAnsi="Arial"/>
                <w:sz w:val="17"/>
                <w:szCs w:val="17"/>
                <w:color w:val="auto"/>
              </w:rPr>
              <w:t>Consents and Approvals; No Violations</w:t>
            </w:r>
          </w:p>
        </w:tc>
        <w:tc>
          <w:tcPr>
            <w:tcW w:w="25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3.04</w:t>
            </w:r>
          </w:p>
        </w:tc>
        <w:tc>
          <w:tcPr>
            <w:tcW w:w="7400" w:type="dxa"/>
            <w:vAlign w:val="bottom"/>
          </w:tcPr>
          <w:p>
            <w:pPr>
              <w:ind w:left="280"/>
              <w:spacing w:after="0"/>
              <w:rPr>
                <w:sz w:val="20"/>
                <w:szCs w:val="20"/>
                <w:color w:val="auto"/>
              </w:rPr>
            </w:pPr>
            <w:r>
              <w:rPr>
                <w:rFonts w:ascii="Arial" w:cs="Arial" w:eastAsia="Arial" w:hAnsi="Arial"/>
                <w:sz w:val="17"/>
                <w:szCs w:val="17"/>
                <w:color w:val="auto"/>
              </w:rPr>
              <w:t>Ownership</w:t>
            </w:r>
          </w:p>
        </w:tc>
        <w:tc>
          <w:tcPr>
            <w:tcW w:w="25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3.05</w:t>
            </w:r>
          </w:p>
        </w:tc>
        <w:tc>
          <w:tcPr>
            <w:tcW w:w="7400" w:type="dxa"/>
            <w:vAlign w:val="bottom"/>
          </w:tcPr>
          <w:p>
            <w:pPr>
              <w:ind w:left="280"/>
              <w:spacing w:after="0"/>
              <w:rPr>
                <w:sz w:val="20"/>
                <w:szCs w:val="20"/>
                <w:color w:val="auto"/>
              </w:rPr>
            </w:pPr>
            <w:r>
              <w:rPr>
                <w:rFonts w:ascii="Arial" w:cs="Arial" w:eastAsia="Arial" w:hAnsi="Arial"/>
                <w:sz w:val="17"/>
                <w:szCs w:val="17"/>
                <w:color w:val="auto"/>
              </w:rPr>
              <w:t>Proceedings; Orders</w:t>
            </w:r>
          </w:p>
        </w:tc>
        <w:tc>
          <w:tcPr>
            <w:tcW w:w="25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3.06</w:t>
            </w:r>
          </w:p>
        </w:tc>
        <w:tc>
          <w:tcPr>
            <w:tcW w:w="7400" w:type="dxa"/>
            <w:vAlign w:val="bottom"/>
          </w:tcPr>
          <w:p>
            <w:pPr>
              <w:ind w:left="280"/>
              <w:spacing w:after="0"/>
              <w:rPr>
                <w:sz w:val="20"/>
                <w:szCs w:val="20"/>
                <w:color w:val="auto"/>
              </w:rPr>
            </w:pPr>
            <w:r>
              <w:rPr>
                <w:rFonts w:ascii="Arial" w:cs="Arial" w:eastAsia="Arial" w:hAnsi="Arial"/>
                <w:sz w:val="17"/>
                <w:szCs w:val="17"/>
                <w:color w:val="auto"/>
              </w:rPr>
              <w:t>Brokers or Finders</w:t>
            </w:r>
          </w:p>
        </w:tc>
        <w:tc>
          <w:tcPr>
            <w:tcW w:w="25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199"/>
        </w:trPr>
        <w:tc>
          <w:tcPr>
            <w:tcW w:w="8840" w:type="dxa"/>
            <w:vAlign w:val="bottom"/>
            <w:gridSpan w:val="2"/>
          </w:tcPr>
          <w:p>
            <w:pPr>
              <w:spacing w:after="0"/>
              <w:rPr>
                <w:sz w:val="20"/>
                <w:szCs w:val="20"/>
                <w:color w:val="auto"/>
              </w:rPr>
            </w:pPr>
            <w:r>
              <w:rPr>
                <w:rFonts w:ascii="Arial" w:cs="Arial" w:eastAsia="Arial" w:hAnsi="Arial"/>
                <w:sz w:val="17"/>
                <w:szCs w:val="17"/>
                <w:color w:val="auto"/>
              </w:rPr>
              <w:t>ARTICLE IV REPRESENTATIONS AND WARRANTIES OF PRIORITY</w:t>
            </w:r>
          </w:p>
        </w:tc>
        <w:tc>
          <w:tcPr>
            <w:tcW w:w="25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4.01</w:t>
            </w:r>
          </w:p>
        </w:tc>
        <w:tc>
          <w:tcPr>
            <w:tcW w:w="7400" w:type="dxa"/>
            <w:vAlign w:val="bottom"/>
          </w:tcPr>
          <w:p>
            <w:pPr>
              <w:ind w:left="280"/>
              <w:spacing w:after="0"/>
              <w:rPr>
                <w:sz w:val="20"/>
                <w:szCs w:val="20"/>
                <w:color w:val="auto"/>
              </w:rPr>
            </w:pPr>
            <w:r>
              <w:rPr>
                <w:rFonts w:ascii="Arial" w:cs="Arial" w:eastAsia="Arial" w:hAnsi="Arial"/>
                <w:sz w:val="17"/>
                <w:szCs w:val="17"/>
                <w:color w:val="auto"/>
              </w:rPr>
              <w:t>Organization and Good Standing</w:t>
            </w:r>
          </w:p>
        </w:tc>
        <w:tc>
          <w:tcPr>
            <w:tcW w:w="25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4.02</w:t>
            </w:r>
          </w:p>
        </w:tc>
        <w:tc>
          <w:tcPr>
            <w:tcW w:w="7400" w:type="dxa"/>
            <w:vAlign w:val="bottom"/>
          </w:tcPr>
          <w:p>
            <w:pPr>
              <w:ind w:left="280"/>
              <w:spacing w:after="0"/>
              <w:rPr>
                <w:sz w:val="20"/>
                <w:szCs w:val="20"/>
                <w:color w:val="auto"/>
              </w:rPr>
            </w:pPr>
            <w:r>
              <w:rPr>
                <w:rFonts w:ascii="Arial" w:cs="Arial" w:eastAsia="Arial" w:hAnsi="Arial"/>
                <w:sz w:val="17"/>
                <w:szCs w:val="17"/>
                <w:color w:val="auto"/>
              </w:rPr>
              <w:t>Authorization; Validity of Agreement</w:t>
            </w:r>
          </w:p>
        </w:tc>
        <w:tc>
          <w:tcPr>
            <w:tcW w:w="25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4.03</w:t>
            </w:r>
          </w:p>
        </w:tc>
        <w:tc>
          <w:tcPr>
            <w:tcW w:w="7400" w:type="dxa"/>
            <w:vAlign w:val="bottom"/>
          </w:tcPr>
          <w:p>
            <w:pPr>
              <w:ind w:left="280"/>
              <w:spacing w:after="0"/>
              <w:rPr>
                <w:sz w:val="20"/>
                <w:szCs w:val="20"/>
                <w:color w:val="auto"/>
              </w:rPr>
            </w:pPr>
            <w:r>
              <w:rPr>
                <w:rFonts w:ascii="Arial" w:cs="Arial" w:eastAsia="Arial" w:hAnsi="Arial"/>
                <w:sz w:val="17"/>
                <w:szCs w:val="17"/>
                <w:color w:val="auto"/>
              </w:rPr>
              <w:t>Consents and Approvals; No Violations</w:t>
            </w:r>
          </w:p>
        </w:tc>
        <w:tc>
          <w:tcPr>
            <w:tcW w:w="25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4.04</w:t>
            </w:r>
          </w:p>
        </w:tc>
        <w:tc>
          <w:tcPr>
            <w:tcW w:w="7400" w:type="dxa"/>
            <w:vAlign w:val="bottom"/>
          </w:tcPr>
          <w:p>
            <w:pPr>
              <w:ind w:left="280"/>
              <w:spacing w:after="0"/>
              <w:rPr>
                <w:sz w:val="20"/>
                <w:szCs w:val="20"/>
                <w:color w:val="auto"/>
              </w:rPr>
            </w:pPr>
            <w:r>
              <w:rPr>
                <w:rFonts w:ascii="Arial" w:cs="Arial" w:eastAsia="Arial" w:hAnsi="Arial"/>
                <w:sz w:val="17"/>
                <w:szCs w:val="17"/>
                <w:color w:val="auto"/>
              </w:rPr>
              <w:t>Proceedings; Orders</w:t>
            </w:r>
          </w:p>
        </w:tc>
        <w:tc>
          <w:tcPr>
            <w:tcW w:w="25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4.05</w:t>
            </w:r>
          </w:p>
        </w:tc>
        <w:tc>
          <w:tcPr>
            <w:tcW w:w="7400" w:type="dxa"/>
            <w:vAlign w:val="bottom"/>
          </w:tcPr>
          <w:p>
            <w:pPr>
              <w:ind w:left="280"/>
              <w:spacing w:after="0"/>
              <w:rPr>
                <w:sz w:val="20"/>
                <w:szCs w:val="20"/>
                <w:color w:val="auto"/>
              </w:rPr>
            </w:pPr>
            <w:r>
              <w:rPr>
                <w:rFonts w:ascii="Arial" w:cs="Arial" w:eastAsia="Arial" w:hAnsi="Arial"/>
                <w:sz w:val="17"/>
                <w:szCs w:val="17"/>
                <w:color w:val="auto"/>
              </w:rPr>
              <w:t>Purchase for Investment</w:t>
            </w:r>
          </w:p>
        </w:tc>
        <w:tc>
          <w:tcPr>
            <w:tcW w:w="25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4.06</w:t>
            </w:r>
          </w:p>
        </w:tc>
        <w:tc>
          <w:tcPr>
            <w:tcW w:w="7400" w:type="dxa"/>
            <w:vAlign w:val="bottom"/>
          </w:tcPr>
          <w:p>
            <w:pPr>
              <w:ind w:left="280"/>
              <w:spacing w:after="0"/>
              <w:rPr>
                <w:sz w:val="20"/>
                <w:szCs w:val="20"/>
                <w:color w:val="auto"/>
              </w:rPr>
            </w:pPr>
            <w:r>
              <w:rPr>
                <w:rFonts w:ascii="Arial" w:cs="Arial" w:eastAsia="Arial" w:hAnsi="Arial"/>
                <w:sz w:val="17"/>
                <w:szCs w:val="17"/>
                <w:color w:val="auto"/>
              </w:rPr>
              <w:t>Brokers or Finders</w:t>
            </w:r>
          </w:p>
        </w:tc>
        <w:tc>
          <w:tcPr>
            <w:tcW w:w="25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199"/>
        </w:trPr>
        <w:tc>
          <w:tcPr>
            <w:tcW w:w="8840" w:type="dxa"/>
            <w:vAlign w:val="bottom"/>
            <w:gridSpan w:val="2"/>
          </w:tcPr>
          <w:p>
            <w:pPr>
              <w:spacing w:after="0"/>
              <w:rPr>
                <w:sz w:val="20"/>
                <w:szCs w:val="20"/>
                <w:color w:val="auto"/>
              </w:rPr>
            </w:pPr>
            <w:r>
              <w:rPr>
                <w:rFonts w:ascii="Arial" w:cs="Arial" w:eastAsia="Arial" w:hAnsi="Arial"/>
                <w:sz w:val="17"/>
                <w:szCs w:val="17"/>
                <w:color w:val="auto"/>
              </w:rPr>
              <w:t>ARTICLE V COVENANTS</w:t>
            </w:r>
          </w:p>
        </w:tc>
        <w:tc>
          <w:tcPr>
            <w:tcW w:w="25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5.01</w:t>
            </w:r>
          </w:p>
        </w:tc>
        <w:tc>
          <w:tcPr>
            <w:tcW w:w="7400" w:type="dxa"/>
            <w:vAlign w:val="bottom"/>
          </w:tcPr>
          <w:p>
            <w:pPr>
              <w:ind w:left="280"/>
              <w:spacing w:after="0"/>
              <w:rPr>
                <w:sz w:val="20"/>
                <w:szCs w:val="20"/>
                <w:color w:val="auto"/>
              </w:rPr>
            </w:pPr>
            <w:r>
              <w:rPr>
                <w:rFonts w:ascii="Arial" w:cs="Arial" w:eastAsia="Arial" w:hAnsi="Arial"/>
                <w:sz w:val="17"/>
                <w:szCs w:val="17"/>
                <w:color w:val="auto"/>
              </w:rPr>
              <w:t>Conduct of Buyer’s Business Pending the Closing</w:t>
            </w:r>
          </w:p>
        </w:tc>
        <w:tc>
          <w:tcPr>
            <w:tcW w:w="25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5.02</w:t>
            </w:r>
          </w:p>
        </w:tc>
        <w:tc>
          <w:tcPr>
            <w:tcW w:w="7400" w:type="dxa"/>
            <w:vAlign w:val="bottom"/>
          </w:tcPr>
          <w:p>
            <w:pPr>
              <w:ind w:left="280"/>
              <w:spacing w:after="0"/>
              <w:rPr>
                <w:sz w:val="20"/>
                <w:szCs w:val="20"/>
                <w:color w:val="auto"/>
              </w:rPr>
            </w:pPr>
            <w:r>
              <w:rPr>
                <w:rFonts w:ascii="Arial" w:cs="Arial" w:eastAsia="Arial" w:hAnsi="Arial"/>
                <w:sz w:val="17"/>
                <w:szCs w:val="17"/>
                <w:color w:val="auto"/>
              </w:rPr>
              <w:t>Reasonable Best Efforts; Further Assurances</w:t>
            </w:r>
          </w:p>
        </w:tc>
        <w:tc>
          <w:tcPr>
            <w:tcW w:w="25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5.03</w:t>
            </w:r>
          </w:p>
        </w:tc>
        <w:tc>
          <w:tcPr>
            <w:tcW w:w="7400" w:type="dxa"/>
            <w:vAlign w:val="bottom"/>
          </w:tcPr>
          <w:p>
            <w:pPr>
              <w:ind w:left="280"/>
              <w:spacing w:after="0"/>
              <w:rPr>
                <w:sz w:val="20"/>
                <w:szCs w:val="20"/>
                <w:color w:val="auto"/>
              </w:rPr>
            </w:pPr>
            <w:r>
              <w:rPr>
                <w:rFonts w:ascii="Arial" w:cs="Arial" w:eastAsia="Arial" w:hAnsi="Arial"/>
                <w:sz w:val="17"/>
                <w:szCs w:val="17"/>
                <w:color w:val="auto"/>
              </w:rPr>
              <w:t>Public Announcements</w:t>
            </w:r>
          </w:p>
        </w:tc>
        <w:tc>
          <w:tcPr>
            <w:tcW w:w="25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199"/>
        </w:trPr>
        <w:tc>
          <w:tcPr>
            <w:tcW w:w="8840" w:type="dxa"/>
            <w:vAlign w:val="bottom"/>
            <w:gridSpan w:val="2"/>
          </w:tcPr>
          <w:p>
            <w:pPr>
              <w:spacing w:after="0"/>
              <w:rPr>
                <w:sz w:val="20"/>
                <w:szCs w:val="20"/>
                <w:color w:val="auto"/>
              </w:rPr>
            </w:pPr>
            <w:r>
              <w:rPr>
                <w:rFonts w:ascii="Arial" w:cs="Arial" w:eastAsia="Arial" w:hAnsi="Arial"/>
                <w:sz w:val="17"/>
                <w:szCs w:val="17"/>
                <w:color w:val="auto"/>
              </w:rPr>
              <w:t>ARTICLE VI CONDITIONS TO CLOSING</w:t>
            </w:r>
          </w:p>
        </w:tc>
        <w:tc>
          <w:tcPr>
            <w:tcW w:w="25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6.01</w:t>
            </w:r>
          </w:p>
        </w:tc>
        <w:tc>
          <w:tcPr>
            <w:tcW w:w="7400" w:type="dxa"/>
            <w:vAlign w:val="bottom"/>
          </w:tcPr>
          <w:p>
            <w:pPr>
              <w:ind w:left="280"/>
              <w:spacing w:after="0"/>
              <w:rPr>
                <w:sz w:val="20"/>
                <w:szCs w:val="20"/>
                <w:color w:val="auto"/>
              </w:rPr>
            </w:pPr>
            <w:r>
              <w:rPr>
                <w:rFonts w:ascii="Arial" w:cs="Arial" w:eastAsia="Arial" w:hAnsi="Arial"/>
                <w:sz w:val="17"/>
                <w:szCs w:val="17"/>
                <w:color w:val="auto"/>
              </w:rPr>
              <w:t>Conditions to the Obligation of Priority</w:t>
            </w:r>
          </w:p>
        </w:tc>
        <w:tc>
          <w:tcPr>
            <w:tcW w:w="25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199"/>
        </w:trPr>
        <w:tc>
          <w:tcPr>
            <w:tcW w:w="8840" w:type="dxa"/>
            <w:vAlign w:val="bottom"/>
            <w:gridSpan w:val="2"/>
          </w:tcPr>
          <w:p>
            <w:pPr>
              <w:spacing w:after="0"/>
              <w:rPr>
                <w:sz w:val="20"/>
                <w:szCs w:val="20"/>
                <w:color w:val="auto"/>
              </w:rPr>
            </w:pPr>
            <w:r>
              <w:rPr>
                <w:rFonts w:ascii="Arial" w:cs="Arial" w:eastAsia="Arial" w:hAnsi="Arial"/>
                <w:sz w:val="17"/>
                <w:szCs w:val="17"/>
                <w:color w:val="auto"/>
              </w:rPr>
              <w:t>ARTICLE VII TERMINATION</w:t>
            </w:r>
          </w:p>
        </w:tc>
        <w:tc>
          <w:tcPr>
            <w:tcW w:w="25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7.01</w:t>
            </w:r>
          </w:p>
        </w:tc>
        <w:tc>
          <w:tcPr>
            <w:tcW w:w="7400" w:type="dxa"/>
            <w:vAlign w:val="bottom"/>
          </w:tcPr>
          <w:p>
            <w:pPr>
              <w:ind w:left="280"/>
              <w:spacing w:after="0"/>
              <w:rPr>
                <w:sz w:val="20"/>
                <w:szCs w:val="20"/>
                <w:color w:val="auto"/>
              </w:rPr>
            </w:pPr>
            <w:r>
              <w:rPr>
                <w:rFonts w:ascii="Arial" w:cs="Arial" w:eastAsia="Arial" w:hAnsi="Arial"/>
                <w:sz w:val="17"/>
                <w:szCs w:val="17"/>
                <w:color w:val="auto"/>
              </w:rPr>
              <w:t>Grounds for Termination</w:t>
            </w:r>
          </w:p>
        </w:tc>
        <w:tc>
          <w:tcPr>
            <w:tcW w:w="25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7.02</w:t>
            </w:r>
          </w:p>
        </w:tc>
        <w:tc>
          <w:tcPr>
            <w:tcW w:w="7400" w:type="dxa"/>
            <w:vAlign w:val="bottom"/>
          </w:tcPr>
          <w:p>
            <w:pPr>
              <w:ind w:left="280"/>
              <w:spacing w:after="0"/>
              <w:rPr>
                <w:sz w:val="20"/>
                <w:szCs w:val="20"/>
                <w:color w:val="auto"/>
              </w:rPr>
            </w:pPr>
            <w:r>
              <w:rPr>
                <w:rFonts w:ascii="Arial" w:cs="Arial" w:eastAsia="Arial" w:hAnsi="Arial"/>
                <w:sz w:val="17"/>
                <w:szCs w:val="17"/>
                <w:color w:val="auto"/>
              </w:rPr>
              <w:t>Effect of Termination</w:t>
            </w:r>
          </w:p>
        </w:tc>
        <w:tc>
          <w:tcPr>
            <w:tcW w:w="25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199"/>
        </w:trPr>
        <w:tc>
          <w:tcPr>
            <w:tcW w:w="8840" w:type="dxa"/>
            <w:vAlign w:val="bottom"/>
            <w:gridSpan w:val="2"/>
          </w:tcPr>
          <w:p>
            <w:pPr>
              <w:spacing w:after="0"/>
              <w:rPr>
                <w:sz w:val="20"/>
                <w:szCs w:val="20"/>
                <w:color w:val="auto"/>
              </w:rPr>
            </w:pPr>
            <w:r>
              <w:rPr>
                <w:rFonts w:ascii="Arial" w:cs="Arial" w:eastAsia="Arial" w:hAnsi="Arial"/>
                <w:sz w:val="17"/>
                <w:szCs w:val="17"/>
                <w:color w:val="auto"/>
              </w:rPr>
              <w:t>ARTICLE VIII MISCELLANEOUS</w:t>
            </w:r>
          </w:p>
        </w:tc>
        <w:tc>
          <w:tcPr>
            <w:tcW w:w="25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8.01</w:t>
            </w:r>
          </w:p>
        </w:tc>
        <w:tc>
          <w:tcPr>
            <w:tcW w:w="7400" w:type="dxa"/>
            <w:vAlign w:val="bottom"/>
          </w:tcPr>
          <w:p>
            <w:pPr>
              <w:ind w:left="280"/>
              <w:spacing w:after="0"/>
              <w:rPr>
                <w:sz w:val="20"/>
                <w:szCs w:val="20"/>
                <w:color w:val="auto"/>
              </w:rPr>
            </w:pPr>
            <w:r>
              <w:rPr>
                <w:rFonts w:ascii="Arial" w:cs="Arial" w:eastAsia="Arial" w:hAnsi="Arial"/>
                <w:sz w:val="17"/>
                <w:szCs w:val="17"/>
                <w:color w:val="auto"/>
              </w:rPr>
              <w:t>Notices</w:t>
            </w:r>
          </w:p>
        </w:tc>
        <w:tc>
          <w:tcPr>
            <w:tcW w:w="25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8.02</w:t>
            </w:r>
          </w:p>
        </w:tc>
        <w:tc>
          <w:tcPr>
            <w:tcW w:w="7400" w:type="dxa"/>
            <w:vAlign w:val="bottom"/>
          </w:tcPr>
          <w:p>
            <w:pPr>
              <w:ind w:left="280"/>
              <w:spacing w:after="0"/>
              <w:rPr>
                <w:sz w:val="20"/>
                <w:szCs w:val="20"/>
                <w:color w:val="auto"/>
              </w:rPr>
            </w:pPr>
            <w:r>
              <w:rPr>
                <w:rFonts w:ascii="Arial" w:cs="Arial" w:eastAsia="Arial" w:hAnsi="Arial"/>
                <w:sz w:val="17"/>
                <w:szCs w:val="17"/>
                <w:color w:val="auto"/>
              </w:rPr>
              <w:t>Amendments and Modifications</w:t>
            </w:r>
          </w:p>
        </w:tc>
        <w:tc>
          <w:tcPr>
            <w:tcW w:w="25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8.03</w:t>
            </w:r>
          </w:p>
        </w:tc>
        <w:tc>
          <w:tcPr>
            <w:tcW w:w="7400" w:type="dxa"/>
            <w:vAlign w:val="bottom"/>
          </w:tcPr>
          <w:p>
            <w:pPr>
              <w:ind w:left="280"/>
              <w:spacing w:after="0"/>
              <w:rPr>
                <w:sz w:val="20"/>
                <w:szCs w:val="20"/>
                <w:color w:val="auto"/>
              </w:rPr>
            </w:pPr>
            <w:r>
              <w:rPr>
                <w:rFonts w:ascii="Arial" w:cs="Arial" w:eastAsia="Arial" w:hAnsi="Arial"/>
                <w:sz w:val="17"/>
                <w:szCs w:val="17"/>
                <w:color w:val="auto"/>
              </w:rPr>
              <w:t>Waiver</w:t>
            </w:r>
          </w:p>
        </w:tc>
        <w:tc>
          <w:tcPr>
            <w:tcW w:w="25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8.04</w:t>
            </w:r>
          </w:p>
        </w:tc>
        <w:tc>
          <w:tcPr>
            <w:tcW w:w="7400" w:type="dxa"/>
            <w:vAlign w:val="bottom"/>
          </w:tcPr>
          <w:p>
            <w:pPr>
              <w:ind w:left="280"/>
              <w:spacing w:after="0"/>
              <w:rPr>
                <w:sz w:val="20"/>
                <w:szCs w:val="20"/>
                <w:color w:val="auto"/>
              </w:rPr>
            </w:pPr>
            <w:r>
              <w:rPr>
                <w:rFonts w:ascii="Arial" w:cs="Arial" w:eastAsia="Arial" w:hAnsi="Arial"/>
                <w:sz w:val="17"/>
                <w:szCs w:val="17"/>
                <w:color w:val="auto"/>
              </w:rPr>
              <w:t>Expenses</w:t>
            </w:r>
          </w:p>
        </w:tc>
        <w:tc>
          <w:tcPr>
            <w:tcW w:w="25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8.05</w:t>
            </w:r>
          </w:p>
        </w:tc>
        <w:tc>
          <w:tcPr>
            <w:tcW w:w="7400" w:type="dxa"/>
            <w:vAlign w:val="bottom"/>
          </w:tcPr>
          <w:p>
            <w:pPr>
              <w:ind w:left="280"/>
              <w:spacing w:after="0"/>
              <w:rPr>
                <w:sz w:val="20"/>
                <w:szCs w:val="20"/>
                <w:color w:val="auto"/>
              </w:rPr>
            </w:pPr>
            <w:r>
              <w:rPr>
                <w:rFonts w:ascii="Arial" w:cs="Arial" w:eastAsia="Arial" w:hAnsi="Arial"/>
                <w:sz w:val="17"/>
                <w:szCs w:val="17"/>
                <w:color w:val="auto"/>
              </w:rPr>
              <w:t>Assignment</w:t>
            </w:r>
          </w:p>
        </w:tc>
        <w:tc>
          <w:tcPr>
            <w:tcW w:w="25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8.06</w:t>
            </w:r>
          </w:p>
        </w:tc>
        <w:tc>
          <w:tcPr>
            <w:tcW w:w="7400" w:type="dxa"/>
            <w:vAlign w:val="bottom"/>
          </w:tcPr>
          <w:p>
            <w:pPr>
              <w:ind w:left="280"/>
              <w:spacing w:after="0"/>
              <w:rPr>
                <w:sz w:val="20"/>
                <w:szCs w:val="20"/>
                <w:color w:val="auto"/>
              </w:rPr>
            </w:pPr>
            <w:r>
              <w:rPr>
                <w:rFonts w:ascii="Arial" w:cs="Arial" w:eastAsia="Arial" w:hAnsi="Arial"/>
                <w:sz w:val="17"/>
                <w:szCs w:val="17"/>
                <w:color w:val="auto"/>
              </w:rPr>
              <w:t>Parties in Interest</w:t>
            </w:r>
          </w:p>
        </w:tc>
        <w:tc>
          <w:tcPr>
            <w:tcW w:w="25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199"/>
        </w:trPr>
        <w:tc>
          <w:tcPr>
            <w:tcW w:w="1440" w:type="dxa"/>
            <w:vAlign w:val="bottom"/>
          </w:tcPr>
          <w:p>
            <w:pPr>
              <w:ind w:left="340"/>
              <w:spacing w:after="0"/>
              <w:rPr>
                <w:sz w:val="20"/>
                <w:szCs w:val="20"/>
                <w:color w:val="auto"/>
              </w:rPr>
            </w:pPr>
            <w:r>
              <w:rPr>
                <w:rFonts w:ascii="Arial" w:cs="Arial" w:eastAsia="Arial" w:hAnsi="Arial"/>
                <w:sz w:val="17"/>
                <w:szCs w:val="17"/>
                <w:color w:val="auto"/>
              </w:rPr>
              <w:t>Section 8.07</w:t>
            </w:r>
          </w:p>
        </w:tc>
        <w:tc>
          <w:tcPr>
            <w:tcW w:w="7400" w:type="dxa"/>
            <w:vAlign w:val="bottom"/>
          </w:tcPr>
          <w:p>
            <w:pPr>
              <w:ind w:left="280"/>
              <w:spacing w:after="0"/>
              <w:rPr>
                <w:sz w:val="20"/>
                <w:szCs w:val="20"/>
                <w:color w:val="auto"/>
              </w:rPr>
            </w:pPr>
            <w:r>
              <w:rPr>
                <w:rFonts w:ascii="Arial" w:cs="Arial" w:eastAsia="Arial" w:hAnsi="Arial"/>
                <w:sz w:val="17"/>
                <w:szCs w:val="17"/>
                <w:color w:val="auto"/>
              </w:rPr>
              <w:t>Governing Law</w:t>
            </w:r>
          </w:p>
        </w:tc>
        <w:tc>
          <w:tcPr>
            <w:tcW w:w="25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2"/>
        </w:trPr>
        <w:tc>
          <w:tcPr>
            <w:tcW w:w="1440" w:type="dxa"/>
            <w:vAlign w:val="bottom"/>
          </w:tcPr>
          <w:p>
            <w:pPr>
              <w:ind w:left="340"/>
              <w:spacing w:after="0"/>
              <w:rPr>
                <w:sz w:val="20"/>
                <w:szCs w:val="20"/>
                <w:color w:val="auto"/>
              </w:rPr>
            </w:pPr>
            <w:r>
              <w:rPr>
                <w:rFonts w:ascii="Arial" w:cs="Arial" w:eastAsia="Arial" w:hAnsi="Arial"/>
                <w:sz w:val="17"/>
                <w:szCs w:val="17"/>
                <w:color w:val="auto"/>
              </w:rPr>
              <w:t>Section 8.08</w:t>
            </w:r>
          </w:p>
        </w:tc>
        <w:tc>
          <w:tcPr>
            <w:tcW w:w="7400" w:type="dxa"/>
            <w:vAlign w:val="bottom"/>
          </w:tcPr>
          <w:p>
            <w:pPr>
              <w:ind w:left="280"/>
              <w:spacing w:after="0"/>
              <w:rPr>
                <w:sz w:val="20"/>
                <w:szCs w:val="20"/>
                <w:color w:val="auto"/>
              </w:rPr>
            </w:pPr>
            <w:r>
              <w:rPr>
                <w:rFonts w:ascii="Arial" w:cs="Arial" w:eastAsia="Arial" w:hAnsi="Arial"/>
                <w:sz w:val="17"/>
                <w:szCs w:val="17"/>
                <w:color w:val="auto"/>
              </w:rPr>
              <w:t>Jurisdiction</w:t>
            </w:r>
          </w:p>
        </w:tc>
        <w:tc>
          <w:tcPr>
            <w:tcW w:w="2580" w:type="dxa"/>
            <w:vAlign w:val="bottom"/>
          </w:tcPr>
          <w:p>
            <w:pPr>
              <w:jc w:val="right"/>
              <w:spacing w:after="0"/>
              <w:rPr>
                <w:sz w:val="20"/>
                <w:szCs w:val="20"/>
                <w:color w:val="auto"/>
              </w:rPr>
            </w:pPr>
            <w:r>
              <w:rPr>
                <w:rFonts w:ascii="Arial" w:cs="Arial" w:eastAsia="Arial" w:hAnsi="Arial"/>
                <w:sz w:val="17"/>
                <w:szCs w:val="17"/>
                <w:color w:val="auto"/>
              </w:rPr>
              <w:t>11</w:t>
            </w: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8.09</w:t>
            </w:r>
          </w:p>
        </w:tc>
        <w:tc>
          <w:tcPr>
            <w:tcW w:w="7060" w:type="dxa"/>
            <w:vAlign w:val="bottom"/>
          </w:tcPr>
          <w:p>
            <w:pPr>
              <w:ind w:left="280"/>
              <w:spacing w:after="0"/>
              <w:rPr>
                <w:sz w:val="20"/>
                <w:szCs w:val="20"/>
                <w:color w:val="auto"/>
              </w:rPr>
            </w:pPr>
            <w:r>
              <w:rPr>
                <w:rFonts w:ascii="Arial" w:cs="Arial" w:eastAsia="Arial" w:hAnsi="Arial"/>
                <w:sz w:val="17"/>
                <w:szCs w:val="17"/>
                <w:color w:val="auto"/>
              </w:rPr>
              <w:t>Waiver of Jury Trial</w:t>
            </w:r>
          </w:p>
        </w:tc>
        <w:tc>
          <w:tcPr>
            <w:tcW w:w="29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8.10</w:t>
            </w:r>
          </w:p>
        </w:tc>
        <w:tc>
          <w:tcPr>
            <w:tcW w:w="7060" w:type="dxa"/>
            <w:vAlign w:val="bottom"/>
          </w:tcPr>
          <w:p>
            <w:pPr>
              <w:ind w:left="280"/>
              <w:spacing w:after="0"/>
              <w:rPr>
                <w:sz w:val="20"/>
                <w:szCs w:val="20"/>
                <w:color w:val="auto"/>
              </w:rPr>
            </w:pPr>
            <w:r>
              <w:rPr>
                <w:rFonts w:ascii="Arial" w:cs="Arial" w:eastAsia="Arial" w:hAnsi="Arial"/>
                <w:sz w:val="17"/>
                <w:szCs w:val="17"/>
                <w:color w:val="auto"/>
              </w:rPr>
              <w:t>Relationship of the Parties</w:t>
            </w:r>
          </w:p>
        </w:tc>
        <w:tc>
          <w:tcPr>
            <w:tcW w:w="29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8.11</w:t>
            </w:r>
          </w:p>
        </w:tc>
        <w:tc>
          <w:tcPr>
            <w:tcW w:w="7060" w:type="dxa"/>
            <w:vAlign w:val="bottom"/>
          </w:tcPr>
          <w:p>
            <w:pPr>
              <w:ind w:left="280"/>
              <w:spacing w:after="0"/>
              <w:rPr>
                <w:sz w:val="20"/>
                <w:szCs w:val="20"/>
                <w:color w:val="auto"/>
              </w:rPr>
            </w:pPr>
            <w:r>
              <w:rPr>
                <w:rFonts w:ascii="Arial" w:cs="Arial" w:eastAsia="Arial" w:hAnsi="Arial"/>
                <w:sz w:val="17"/>
                <w:szCs w:val="17"/>
                <w:color w:val="auto"/>
              </w:rPr>
              <w:t>Counterparts; Effectiveness</w:t>
            </w:r>
          </w:p>
        </w:tc>
        <w:tc>
          <w:tcPr>
            <w:tcW w:w="29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8.12</w:t>
            </w:r>
          </w:p>
        </w:tc>
        <w:tc>
          <w:tcPr>
            <w:tcW w:w="7060" w:type="dxa"/>
            <w:vAlign w:val="bottom"/>
          </w:tcPr>
          <w:p>
            <w:pPr>
              <w:ind w:left="280"/>
              <w:spacing w:after="0"/>
              <w:rPr>
                <w:sz w:val="20"/>
                <w:szCs w:val="20"/>
                <w:color w:val="auto"/>
              </w:rPr>
            </w:pPr>
            <w:r>
              <w:rPr>
                <w:rFonts w:ascii="Arial" w:cs="Arial" w:eastAsia="Arial" w:hAnsi="Arial"/>
                <w:sz w:val="17"/>
                <w:szCs w:val="17"/>
                <w:color w:val="auto"/>
              </w:rPr>
              <w:t>Third-Party Beneficiaries</w:t>
            </w:r>
          </w:p>
        </w:tc>
        <w:tc>
          <w:tcPr>
            <w:tcW w:w="29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8.13</w:t>
            </w:r>
          </w:p>
        </w:tc>
        <w:tc>
          <w:tcPr>
            <w:tcW w:w="7060" w:type="dxa"/>
            <w:vAlign w:val="bottom"/>
          </w:tcPr>
          <w:p>
            <w:pPr>
              <w:ind w:left="280"/>
              <w:spacing w:after="0"/>
              <w:rPr>
                <w:sz w:val="20"/>
                <w:szCs w:val="20"/>
                <w:color w:val="auto"/>
              </w:rPr>
            </w:pPr>
            <w:r>
              <w:rPr>
                <w:rFonts w:ascii="Arial" w:cs="Arial" w:eastAsia="Arial" w:hAnsi="Arial"/>
                <w:sz w:val="17"/>
                <w:szCs w:val="17"/>
                <w:color w:val="auto"/>
              </w:rPr>
              <w:t>Entire Agreement</w:t>
            </w:r>
          </w:p>
        </w:tc>
        <w:tc>
          <w:tcPr>
            <w:tcW w:w="29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8.14</w:t>
            </w:r>
          </w:p>
        </w:tc>
        <w:tc>
          <w:tcPr>
            <w:tcW w:w="7060" w:type="dxa"/>
            <w:vAlign w:val="bottom"/>
          </w:tcPr>
          <w:p>
            <w:pPr>
              <w:ind w:left="280"/>
              <w:spacing w:after="0"/>
              <w:rPr>
                <w:sz w:val="20"/>
                <w:szCs w:val="20"/>
                <w:color w:val="auto"/>
              </w:rPr>
            </w:pPr>
            <w:r>
              <w:rPr>
                <w:rFonts w:ascii="Arial" w:cs="Arial" w:eastAsia="Arial" w:hAnsi="Arial"/>
                <w:sz w:val="17"/>
                <w:szCs w:val="17"/>
                <w:color w:val="auto"/>
              </w:rPr>
              <w:t>Severability</w:t>
            </w:r>
          </w:p>
        </w:tc>
        <w:tc>
          <w:tcPr>
            <w:tcW w:w="29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8.15</w:t>
            </w:r>
          </w:p>
        </w:tc>
        <w:tc>
          <w:tcPr>
            <w:tcW w:w="7060" w:type="dxa"/>
            <w:vAlign w:val="bottom"/>
          </w:tcPr>
          <w:p>
            <w:pPr>
              <w:ind w:left="280"/>
              <w:spacing w:after="0"/>
              <w:rPr>
                <w:sz w:val="20"/>
                <w:szCs w:val="20"/>
                <w:color w:val="auto"/>
              </w:rPr>
            </w:pPr>
            <w:r>
              <w:rPr>
                <w:rFonts w:ascii="Arial" w:cs="Arial" w:eastAsia="Arial" w:hAnsi="Arial"/>
                <w:sz w:val="17"/>
                <w:szCs w:val="17"/>
                <w:color w:val="auto"/>
              </w:rPr>
              <w:t>Non-Survival of Representations, Warranties and Covenants</w:t>
            </w:r>
          </w:p>
        </w:tc>
        <w:tc>
          <w:tcPr>
            <w:tcW w:w="29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8.16</w:t>
            </w:r>
          </w:p>
        </w:tc>
        <w:tc>
          <w:tcPr>
            <w:tcW w:w="7060" w:type="dxa"/>
            <w:vAlign w:val="bottom"/>
          </w:tcPr>
          <w:p>
            <w:pPr>
              <w:ind w:left="280"/>
              <w:spacing w:after="0"/>
              <w:rPr>
                <w:sz w:val="20"/>
                <w:szCs w:val="20"/>
                <w:color w:val="auto"/>
              </w:rPr>
            </w:pPr>
            <w:r>
              <w:rPr>
                <w:rFonts w:ascii="Arial" w:cs="Arial" w:eastAsia="Arial" w:hAnsi="Arial"/>
                <w:sz w:val="17"/>
                <w:szCs w:val="17"/>
                <w:color w:val="auto"/>
              </w:rPr>
              <w:t>Remedies</w:t>
            </w:r>
          </w:p>
        </w:tc>
        <w:tc>
          <w:tcPr>
            <w:tcW w:w="29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8.17</w:t>
            </w:r>
          </w:p>
        </w:tc>
        <w:tc>
          <w:tcPr>
            <w:tcW w:w="7060" w:type="dxa"/>
            <w:vAlign w:val="bottom"/>
          </w:tcPr>
          <w:p>
            <w:pPr>
              <w:ind w:left="280"/>
              <w:spacing w:after="0"/>
              <w:rPr>
                <w:sz w:val="20"/>
                <w:szCs w:val="20"/>
                <w:color w:val="auto"/>
              </w:rPr>
            </w:pPr>
            <w:r>
              <w:rPr>
                <w:rFonts w:ascii="Arial" w:cs="Arial" w:eastAsia="Arial" w:hAnsi="Arial"/>
                <w:sz w:val="17"/>
                <w:szCs w:val="17"/>
                <w:color w:val="auto"/>
              </w:rPr>
              <w:t>Representation by Counsel</w:t>
            </w:r>
          </w:p>
        </w:tc>
        <w:tc>
          <w:tcPr>
            <w:tcW w:w="29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8.18</w:t>
            </w:r>
          </w:p>
        </w:tc>
        <w:tc>
          <w:tcPr>
            <w:tcW w:w="7060" w:type="dxa"/>
            <w:vAlign w:val="bottom"/>
          </w:tcPr>
          <w:p>
            <w:pPr>
              <w:ind w:left="280"/>
              <w:spacing w:after="0"/>
              <w:rPr>
                <w:sz w:val="20"/>
                <w:szCs w:val="20"/>
                <w:color w:val="auto"/>
              </w:rPr>
            </w:pPr>
            <w:r>
              <w:rPr>
                <w:rFonts w:ascii="Arial" w:cs="Arial" w:eastAsia="Arial" w:hAnsi="Arial"/>
                <w:sz w:val="17"/>
                <w:szCs w:val="17"/>
                <w:color w:val="auto"/>
              </w:rPr>
              <w:t>Rules of Construction</w:t>
            </w:r>
          </w:p>
        </w:tc>
        <w:tc>
          <w:tcPr>
            <w:tcW w:w="29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8.19</w:t>
            </w:r>
          </w:p>
        </w:tc>
        <w:tc>
          <w:tcPr>
            <w:tcW w:w="7060" w:type="dxa"/>
            <w:vAlign w:val="bottom"/>
          </w:tcPr>
          <w:p>
            <w:pPr>
              <w:ind w:left="280"/>
              <w:spacing w:after="0"/>
              <w:rPr>
                <w:sz w:val="20"/>
                <w:szCs w:val="20"/>
                <w:color w:val="auto"/>
              </w:rPr>
            </w:pPr>
            <w:r>
              <w:rPr>
                <w:rFonts w:ascii="Arial" w:cs="Arial" w:eastAsia="Arial" w:hAnsi="Arial"/>
                <w:sz w:val="17"/>
                <w:szCs w:val="17"/>
                <w:color w:val="auto"/>
              </w:rPr>
              <w:t>Headings</w:t>
            </w:r>
          </w:p>
        </w:tc>
        <w:tc>
          <w:tcPr>
            <w:tcW w:w="29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199"/>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8.20</w:t>
            </w:r>
          </w:p>
        </w:tc>
        <w:tc>
          <w:tcPr>
            <w:tcW w:w="7060" w:type="dxa"/>
            <w:vAlign w:val="bottom"/>
          </w:tcPr>
          <w:p>
            <w:pPr>
              <w:ind w:left="280"/>
              <w:spacing w:after="0"/>
              <w:rPr>
                <w:sz w:val="20"/>
                <w:szCs w:val="20"/>
                <w:color w:val="auto"/>
              </w:rPr>
            </w:pPr>
            <w:r>
              <w:rPr>
                <w:rFonts w:ascii="Arial" w:cs="Arial" w:eastAsia="Arial" w:hAnsi="Arial"/>
                <w:sz w:val="17"/>
                <w:szCs w:val="17"/>
                <w:color w:val="auto"/>
              </w:rPr>
              <w:t>Inconsistencies with Other Agreements</w:t>
            </w:r>
          </w:p>
        </w:tc>
        <w:tc>
          <w:tcPr>
            <w:tcW w:w="29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2"/>
        </w:trPr>
        <w:tc>
          <w:tcPr>
            <w:tcW w:w="1440" w:type="dxa"/>
            <w:vAlign w:val="bottom"/>
            <w:gridSpan w:val="3"/>
          </w:tcPr>
          <w:p>
            <w:pPr>
              <w:ind w:left="340"/>
              <w:spacing w:after="0"/>
              <w:rPr>
                <w:sz w:val="20"/>
                <w:szCs w:val="20"/>
                <w:color w:val="auto"/>
              </w:rPr>
            </w:pPr>
            <w:r>
              <w:rPr>
                <w:rFonts w:ascii="Arial" w:cs="Arial" w:eastAsia="Arial" w:hAnsi="Arial"/>
                <w:sz w:val="17"/>
                <w:szCs w:val="17"/>
                <w:color w:val="auto"/>
              </w:rPr>
              <w:t>Section 8.21</w:t>
            </w:r>
          </w:p>
        </w:tc>
        <w:tc>
          <w:tcPr>
            <w:tcW w:w="7060" w:type="dxa"/>
            <w:vAlign w:val="bottom"/>
          </w:tcPr>
          <w:p>
            <w:pPr>
              <w:ind w:left="280"/>
              <w:spacing w:after="0"/>
              <w:rPr>
                <w:sz w:val="20"/>
                <w:szCs w:val="20"/>
                <w:color w:val="auto"/>
              </w:rPr>
            </w:pPr>
            <w:r>
              <w:rPr>
                <w:rFonts w:ascii="Arial" w:cs="Arial" w:eastAsia="Arial" w:hAnsi="Arial"/>
                <w:sz w:val="17"/>
                <w:szCs w:val="17"/>
                <w:color w:val="auto"/>
              </w:rPr>
              <w:t>Interpretation</w:t>
            </w:r>
          </w:p>
        </w:tc>
        <w:tc>
          <w:tcPr>
            <w:tcW w:w="29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86"/>
        </w:trPr>
        <w:tc>
          <w:tcPr>
            <w:tcW w:w="900" w:type="dxa"/>
            <w:vAlign w:val="bottom"/>
            <w:gridSpan w:val="2"/>
          </w:tcPr>
          <w:p>
            <w:pPr>
              <w:spacing w:after="0"/>
              <w:rPr>
                <w:sz w:val="20"/>
                <w:szCs w:val="20"/>
                <w:color w:val="auto"/>
              </w:rPr>
            </w:pPr>
            <w:r>
              <w:rPr>
                <w:rFonts w:ascii="Arial" w:cs="Arial" w:eastAsia="Arial" w:hAnsi="Arial"/>
                <w:sz w:val="17"/>
                <w:szCs w:val="17"/>
                <w:color w:val="auto"/>
              </w:rPr>
              <w:t>Annexes</w:t>
            </w:r>
          </w:p>
        </w:tc>
        <w:tc>
          <w:tcPr>
            <w:tcW w:w="5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03"/>
        </w:trPr>
        <w:tc>
          <w:tcPr>
            <w:tcW w:w="58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7"/>
              </w:rPr>
              <w:t>Annex I</w:t>
            </w:r>
          </w:p>
        </w:tc>
        <w:tc>
          <w:tcPr>
            <w:tcW w:w="320" w:type="dxa"/>
            <w:vAlign w:val="bottom"/>
          </w:tcPr>
          <w:p>
            <w:pPr>
              <w:spacing w:after="0"/>
              <w:rPr>
                <w:sz w:val="24"/>
                <w:szCs w:val="24"/>
                <w:color w:val="auto"/>
              </w:rPr>
            </w:pPr>
          </w:p>
        </w:tc>
        <w:tc>
          <w:tcPr>
            <w:tcW w:w="7600" w:type="dxa"/>
            <w:vAlign w:val="bottom"/>
            <w:gridSpan w:val="2"/>
          </w:tcPr>
          <w:p>
            <w:pPr>
              <w:ind w:left="240"/>
              <w:spacing w:after="0"/>
              <w:rPr>
                <w:sz w:val="20"/>
                <w:szCs w:val="20"/>
                <w:color w:val="auto"/>
              </w:rPr>
            </w:pPr>
            <w:r>
              <w:rPr>
                <w:rFonts w:ascii="Arial" w:cs="Arial" w:eastAsia="Arial" w:hAnsi="Arial"/>
                <w:sz w:val="17"/>
                <w:szCs w:val="17"/>
                <w:color w:val="auto"/>
              </w:rPr>
              <w:t>Knowledge of Founders</w:t>
            </w:r>
          </w:p>
        </w:tc>
        <w:tc>
          <w:tcPr>
            <w:tcW w:w="2920" w:type="dxa"/>
            <w:vAlign w:val="bottom"/>
          </w:tcPr>
          <w:p>
            <w:pPr>
              <w:spacing w:after="0"/>
              <w:rPr>
                <w:sz w:val="24"/>
                <w:szCs w:val="24"/>
                <w:color w:val="auto"/>
              </w:rPr>
            </w:pPr>
          </w:p>
        </w:tc>
      </w:tr>
      <w:tr>
        <w:trPr>
          <w:trHeight w:val="199"/>
        </w:trPr>
        <w:tc>
          <w:tcPr>
            <w:tcW w:w="900" w:type="dxa"/>
            <w:vAlign w:val="bottom"/>
            <w:gridSpan w:val="2"/>
          </w:tcPr>
          <w:p>
            <w:pPr>
              <w:spacing w:after="0"/>
              <w:rPr>
                <w:sz w:val="20"/>
                <w:szCs w:val="20"/>
                <w:color w:val="auto"/>
              </w:rPr>
            </w:pPr>
            <w:r>
              <w:rPr>
                <w:rFonts w:ascii="Arial" w:cs="Arial" w:eastAsia="Arial" w:hAnsi="Arial"/>
                <w:sz w:val="17"/>
                <w:szCs w:val="17"/>
                <w:color w:val="auto"/>
              </w:rPr>
              <w:t>Annex II</w:t>
            </w:r>
          </w:p>
        </w:tc>
        <w:tc>
          <w:tcPr>
            <w:tcW w:w="7600" w:type="dxa"/>
            <w:vAlign w:val="bottom"/>
            <w:gridSpan w:val="2"/>
          </w:tcPr>
          <w:p>
            <w:pPr>
              <w:ind w:left="240"/>
              <w:spacing w:after="0"/>
              <w:rPr>
                <w:sz w:val="20"/>
                <w:szCs w:val="20"/>
                <w:color w:val="auto"/>
              </w:rPr>
            </w:pPr>
            <w:r>
              <w:rPr>
                <w:rFonts w:ascii="Arial" w:cs="Arial" w:eastAsia="Arial" w:hAnsi="Arial"/>
                <w:sz w:val="17"/>
                <w:szCs w:val="17"/>
                <w:color w:val="auto"/>
              </w:rPr>
              <w:t>Knowledge of Priority</w:t>
            </w:r>
          </w:p>
        </w:tc>
        <w:tc>
          <w:tcPr>
            <w:tcW w:w="2920" w:type="dxa"/>
            <w:vAlign w:val="bottom"/>
          </w:tcPr>
          <w:p>
            <w:pPr>
              <w:spacing w:after="0"/>
              <w:rPr>
                <w:sz w:val="17"/>
                <w:szCs w:val="17"/>
                <w:color w:val="auto"/>
              </w:rPr>
            </w:pPr>
          </w:p>
        </w:tc>
      </w:tr>
      <w:tr>
        <w:trPr>
          <w:trHeight w:val="212"/>
        </w:trPr>
        <w:tc>
          <w:tcPr>
            <w:tcW w:w="900" w:type="dxa"/>
            <w:vAlign w:val="bottom"/>
            <w:gridSpan w:val="2"/>
          </w:tcPr>
          <w:p>
            <w:pPr>
              <w:spacing w:after="0"/>
              <w:rPr>
                <w:sz w:val="20"/>
                <w:szCs w:val="20"/>
                <w:color w:val="auto"/>
              </w:rPr>
            </w:pPr>
            <w:r>
              <w:rPr>
                <w:rFonts w:ascii="Arial" w:cs="Arial" w:eastAsia="Arial" w:hAnsi="Arial"/>
                <w:sz w:val="17"/>
                <w:szCs w:val="17"/>
                <w:color w:val="auto"/>
              </w:rPr>
              <w:t>Annex III</w:t>
            </w:r>
          </w:p>
        </w:tc>
        <w:tc>
          <w:tcPr>
            <w:tcW w:w="7600" w:type="dxa"/>
            <w:vAlign w:val="bottom"/>
            <w:gridSpan w:val="2"/>
          </w:tcPr>
          <w:p>
            <w:pPr>
              <w:ind w:left="240"/>
              <w:spacing w:after="0"/>
              <w:rPr>
                <w:sz w:val="20"/>
                <w:szCs w:val="20"/>
                <w:color w:val="auto"/>
              </w:rPr>
            </w:pPr>
            <w:r>
              <w:rPr>
                <w:rFonts w:ascii="Arial" w:cs="Arial" w:eastAsia="Arial" w:hAnsi="Arial"/>
                <w:sz w:val="17"/>
                <w:szCs w:val="17"/>
                <w:color w:val="auto"/>
              </w:rPr>
              <w:t>Ownership of Acquired SPAC Interests</w:t>
            </w:r>
          </w:p>
        </w:tc>
        <w:tc>
          <w:tcPr>
            <w:tcW w:w="2920" w:type="dxa"/>
            <w:vAlign w:val="bottom"/>
          </w:tcPr>
          <w:p>
            <w:pPr>
              <w:spacing w:after="0"/>
              <w:rPr>
                <w:sz w:val="18"/>
                <w:szCs w:val="18"/>
                <w:color w:val="auto"/>
              </w:rPr>
            </w:pPr>
          </w:p>
        </w:tc>
      </w:tr>
    </w:tbl>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7"/>
          <w:szCs w:val="17"/>
          <w:b w:val="1"/>
          <w:bCs w:val="1"/>
          <w:color w:val="auto"/>
        </w:rPr>
        <w:t>PURCHASE AGREEMENT</w:t>
      </w:r>
    </w:p>
    <w:p>
      <w:pPr>
        <w:spacing w:after="0" w:line="203" w:lineRule="exact"/>
        <w:rPr>
          <w:sz w:val="20"/>
          <w:szCs w:val="20"/>
          <w:color w:val="auto"/>
        </w:rPr>
      </w:pPr>
    </w:p>
    <w:p>
      <w:pPr>
        <w:jc w:val="both"/>
        <w:ind w:firstLine="598"/>
        <w:spacing w:after="0" w:line="252"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PURCHASE AGREEMENT</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Agreement</w:t>
      </w:r>
      <w:r>
        <w:rPr>
          <w:rFonts w:ascii="Arial" w:cs="Arial" w:eastAsia="Arial" w:hAnsi="Arial"/>
          <w:sz w:val="17"/>
          <w:szCs w:val="17"/>
          <w:color w:val="auto"/>
        </w:rPr>
        <w:t>”) is dated as of February 26, 2018, by and among Priority Holdings, LLC, a Delaware limited liability company (“</w:t>
      </w:r>
      <w:r>
        <w:rPr>
          <w:rFonts w:ascii="Arial" w:cs="Arial" w:eastAsia="Arial" w:hAnsi="Arial"/>
          <w:sz w:val="17"/>
          <w:szCs w:val="17"/>
          <w:u w:val="single" w:color="auto"/>
          <w:color w:val="auto"/>
        </w:rPr>
        <w:t>Priority</w:t>
      </w:r>
      <w:r>
        <w:rPr>
          <w:rFonts w:ascii="Arial" w:cs="Arial" w:eastAsia="Arial" w:hAnsi="Arial"/>
          <w:sz w:val="17"/>
          <w:szCs w:val="17"/>
          <w:color w:val="auto"/>
        </w:rPr>
        <w:t>”), M SPAC LLC (“</w:t>
      </w:r>
      <w:r>
        <w:rPr>
          <w:rFonts w:ascii="Arial" w:cs="Arial" w:eastAsia="Arial" w:hAnsi="Arial"/>
          <w:sz w:val="17"/>
          <w:szCs w:val="17"/>
          <w:u w:val="single" w:color="auto"/>
          <w:color w:val="auto"/>
        </w:rPr>
        <w:t>M SPAC</w:t>
      </w:r>
      <w:r>
        <w:rPr>
          <w:rFonts w:ascii="Arial" w:cs="Arial" w:eastAsia="Arial" w:hAnsi="Arial"/>
          <w:sz w:val="17"/>
          <w:szCs w:val="17"/>
          <w:color w:val="auto"/>
        </w:rPr>
        <w:t>”), M SPAC Holdings I LLC (“</w:t>
      </w:r>
      <w:r>
        <w:rPr>
          <w:rFonts w:ascii="Arial" w:cs="Arial" w:eastAsia="Arial" w:hAnsi="Arial"/>
          <w:sz w:val="17"/>
          <w:szCs w:val="17"/>
          <w:u w:val="single" w:color="auto"/>
          <w:color w:val="auto"/>
        </w:rPr>
        <w:t>M SPAC I</w:t>
      </w:r>
      <w:r>
        <w:rPr>
          <w:rFonts w:ascii="Arial" w:cs="Arial" w:eastAsia="Arial" w:hAnsi="Arial"/>
          <w:sz w:val="17"/>
          <w:szCs w:val="17"/>
          <w:color w:val="auto"/>
        </w:rPr>
        <w:t>”), M SPAC Holdings II LLC (“</w:t>
      </w:r>
      <w:r>
        <w:rPr>
          <w:rFonts w:ascii="Arial" w:cs="Arial" w:eastAsia="Arial" w:hAnsi="Arial"/>
          <w:sz w:val="17"/>
          <w:szCs w:val="17"/>
          <w:u w:val="single" w:color="auto"/>
          <w:color w:val="auto"/>
        </w:rPr>
        <w:t>M SPAC II</w:t>
      </w:r>
      <w:r>
        <w:rPr>
          <w:rFonts w:ascii="Arial" w:cs="Arial" w:eastAsia="Arial" w:hAnsi="Arial"/>
          <w:sz w:val="17"/>
          <w:szCs w:val="17"/>
          <w:color w:val="auto"/>
        </w:rPr>
        <w:t>” and collectively with M SPAC I and M SPAC, “</w:t>
      </w:r>
      <w:r>
        <w:rPr>
          <w:rFonts w:ascii="Arial" w:cs="Arial" w:eastAsia="Arial" w:hAnsi="Arial"/>
          <w:sz w:val="17"/>
          <w:szCs w:val="17"/>
          <w:u w:val="single" w:color="auto"/>
          <w:color w:val="auto"/>
        </w:rPr>
        <w:t>Founders</w:t>
      </w:r>
      <w:r>
        <w:rPr>
          <w:rFonts w:ascii="Arial" w:cs="Arial" w:eastAsia="Arial" w:hAnsi="Arial"/>
          <w:sz w:val="17"/>
          <w:szCs w:val="17"/>
          <w:color w:val="auto"/>
        </w:rPr>
        <w:t xml:space="preserve">”) and, solely for purposes of </w:t>
      </w:r>
      <w:r>
        <w:rPr>
          <w:rFonts w:ascii="Arial" w:cs="Arial" w:eastAsia="Arial" w:hAnsi="Arial"/>
          <w:sz w:val="17"/>
          <w:szCs w:val="17"/>
          <w:u w:val="single" w:color="auto"/>
          <w:color w:val="auto"/>
        </w:rPr>
        <w:t>Section 2.06</w:t>
      </w:r>
      <w:r>
        <w:rPr>
          <w:rFonts w:ascii="Arial" w:cs="Arial" w:eastAsia="Arial" w:hAnsi="Arial"/>
          <w:sz w:val="17"/>
          <w:szCs w:val="17"/>
          <w:color w:val="auto"/>
        </w:rPr>
        <w:t>, M I Acquisitions, Inc., a Delaware corporation (“</w:t>
      </w:r>
      <w:r>
        <w:rPr>
          <w:rFonts w:ascii="Arial" w:cs="Arial" w:eastAsia="Arial" w:hAnsi="Arial"/>
          <w:sz w:val="17"/>
          <w:szCs w:val="17"/>
          <w:u w:val="single" w:color="auto"/>
          <w:color w:val="auto"/>
        </w:rPr>
        <w:t>Buyer</w:t>
      </w:r>
      <w:r>
        <w:rPr>
          <w:rFonts w:ascii="Arial" w:cs="Arial" w:eastAsia="Arial" w:hAnsi="Arial"/>
          <w:sz w:val="17"/>
          <w:szCs w:val="17"/>
          <w:color w:val="auto"/>
        </w:rPr>
        <w:t>”). Each of Priority, Founders and Buyer is sometimes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 I T N E S S E T H:</w:t>
      </w:r>
    </w:p>
    <w:p>
      <w:pPr>
        <w:spacing w:after="0" w:line="203" w:lineRule="exact"/>
        <w:rPr>
          <w:sz w:val="20"/>
          <w:szCs w:val="20"/>
          <w:color w:val="auto"/>
        </w:rPr>
      </w:pPr>
    </w:p>
    <w:p>
      <w:pPr>
        <w:jc w:val="both"/>
        <w:ind w:firstLine="598"/>
        <w:spacing w:after="0" w:line="25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as contemplated by that Contribution Agreement (the “</w:t>
      </w:r>
      <w:r>
        <w:rPr>
          <w:rFonts w:ascii="Arial" w:cs="Arial" w:eastAsia="Arial" w:hAnsi="Arial"/>
          <w:sz w:val="17"/>
          <w:szCs w:val="17"/>
          <w:u w:val="single" w:color="auto"/>
          <w:color w:val="auto"/>
        </w:rPr>
        <w:t>Contribution Agreement</w:t>
      </w:r>
      <w:r>
        <w:rPr>
          <w:rFonts w:ascii="Arial" w:cs="Arial" w:eastAsia="Arial" w:hAnsi="Arial"/>
          <w:sz w:val="17"/>
          <w:szCs w:val="17"/>
          <w:color w:val="auto"/>
        </w:rPr>
        <w:t>”), dated as of the date hereof, by and among Priority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Holdings, LLC (“</w:t>
      </w:r>
      <w:r>
        <w:rPr>
          <w:rFonts w:ascii="Arial" w:cs="Arial" w:eastAsia="Arial" w:hAnsi="Arial"/>
          <w:sz w:val="17"/>
          <w:szCs w:val="17"/>
          <w:u w:val="single" w:color="auto"/>
          <w:color w:val="auto"/>
        </w:rPr>
        <w:t>PIH</w:t>
      </w:r>
      <w:r>
        <w:rPr>
          <w:rFonts w:ascii="Arial" w:cs="Arial" w:eastAsia="Arial" w:hAnsi="Arial"/>
          <w:sz w:val="17"/>
          <w:szCs w:val="17"/>
          <w:color w:val="auto"/>
        </w:rPr>
        <w:t>”), Priority Incentive Equity Holdings, LLC (“</w:t>
      </w:r>
      <w:r>
        <w:rPr>
          <w:rFonts w:ascii="Arial" w:cs="Arial" w:eastAsia="Arial" w:hAnsi="Arial"/>
          <w:sz w:val="17"/>
          <w:szCs w:val="17"/>
          <w:u w:val="single" w:color="auto"/>
          <w:color w:val="auto"/>
        </w:rPr>
        <w:t>PIEH</w:t>
      </w:r>
      <w:r>
        <w:rPr>
          <w:rFonts w:ascii="Arial" w:cs="Arial" w:eastAsia="Arial" w:hAnsi="Arial"/>
          <w:sz w:val="17"/>
          <w:szCs w:val="17"/>
          <w:color w:val="auto"/>
        </w:rPr>
        <w:t>”) and Buyer, PIH and PIEH have agreed to contribute to Buyer, and Buyer has agreed to acquire from PIH and PIEH, 100% of the issued and outstanding Equity Interests of Priority upon the terms and subject to the conditions set forth therein (such contribution and acquisition, the “</w:t>
      </w:r>
      <w:r>
        <w:rPr>
          <w:rFonts w:ascii="Arial" w:cs="Arial" w:eastAsia="Arial" w:hAnsi="Arial"/>
          <w:sz w:val="17"/>
          <w:szCs w:val="17"/>
          <w:u w:val="single" w:color="auto"/>
          <w:color w:val="auto"/>
        </w:rPr>
        <w:t>Priority Acquisition</w:t>
      </w:r>
      <w:r>
        <w:rPr>
          <w:rFonts w:ascii="Arial" w:cs="Arial" w:eastAsia="Arial" w:hAnsi="Arial"/>
          <w:sz w:val="17"/>
          <w:szCs w:val="17"/>
          <w:color w:val="auto"/>
        </w:rPr>
        <w:t>”);</w:t>
      </w:r>
    </w:p>
    <w:p>
      <w:pPr>
        <w:spacing w:after="0" w:line="175" w:lineRule="exact"/>
        <w:rPr>
          <w:sz w:val="20"/>
          <w:szCs w:val="20"/>
          <w:color w:val="auto"/>
        </w:rPr>
      </w:pPr>
    </w:p>
    <w:p>
      <w:pPr>
        <w:jc w:val="both"/>
        <w:ind w:firstLine="598"/>
        <w:spacing w:after="0" w:line="292"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(a) M SPAC is the record and beneficial owner of (i) 277,941 SPAC Units (the “</w:t>
      </w:r>
      <w:r>
        <w:rPr>
          <w:rFonts w:ascii="Arial" w:cs="Arial" w:eastAsia="Arial" w:hAnsi="Arial"/>
          <w:sz w:val="15"/>
          <w:szCs w:val="15"/>
          <w:u w:val="single" w:color="auto"/>
          <w:color w:val="auto"/>
        </w:rPr>
        <w:t>M SPAC Units</w:t>
      </w:r>
      <w:r>
        <w:rPr>
          <w:rFonts w:ascii="Arial" w:cs="Arial" w:eastAsia="Arial" w:hAnsi="Arial"/>
          <w:sz w:val="15"/>
          <w:szCs w:val="15"/>
          <w:color w:val="auto"/>
        </w:rPr>
        <w:t>”) and (ii) 294,168 SPAC Founders Shares (the “</w:t>
      </w:r>
      <w:r>
        <w:rPr>
          <w:rFonts w:ascii="Arial" w:cs="Arial" w:eastAsia="Arial" w:hAnsi="Arial"/>
          <w:sz w:val="15"/>
          <w:szCs w:val="15"/>
          <w:u w:val="single" w:color="auto"/>
          <w:color w:val="auto"/>
        </w:rPr>
        <w:t>M</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SPAC Founders Shares</w:t>
      </w:r>
      <w:r>
        <w:rPr>
          <w:rFonts w:ascii="Arial" w:cs="Arial" w:eastAsia="Arial" w:hAnsi="Arial"/>
          <w:sz w:val="15"/>
          <w:szCs w:val="15"/>
          <w:color w:val="auto"/>
        </w:rPr>
        <w:t>”); (b) M SPAC I is the record and beneficial owner of (i) 60,000 SPAC Units (the “</w:t>
      </w:r>
      <w:r>
        <w:rPr>
          <w:rFonts w:ascii="Arial" w:cs="Arial" w:eastAsia="Arial" w:hAnsi="Arial"/>
          <w:sz w:val="15"/>
          <w:szCs w:val="15"/>
          <w:u w:val="single" w:color="auto"/>
          <w:color w:val="auto"/>
        </w:rPr>
        <w:t>M SPAC I Units</w:t>
      </w:r>
      <w:r>
        <w:rPr>
          <w:rFonts w:ascii="Arial" w:cs="Arial" w:eastAsia="Arial" w:hAnsi="Arial"/>
          <w:sz w:val="15"/>
          <w:szCs w:val="15"/>
          <w:color w:val="auto"/>
        </w:rPr>
        <w:t>”) and (ii) 64,574 SPAC Founders Shares (the “</w:t>
      </w:r>
      <w:r>
        <w:rPr>
          <w:rFonts w:ascii="Arial" w:cs="Arial" w:eastAsia="Arial" w:hAnsi="Arial"/>
          <w:sz w:val="15"/>
          <w:szCs w:val="15"/>
          <w:u w:val="single" w:color="auto"/>
          <w:color w:val="auto"/>
        </w:rPr>
        <w:t>M SPAC I Founders Shares</w:t>
      </w:r>
      <w:r>
        <w:rPr>
          <w:rFonts w:ascii="Arial" w:cs="Arial" w:eastAsia="Arial" w:hAnsi="Arial"/>
          <w:sz w:val="15"/>
          <w:szCs w:val="15"/>
          <w:color w:val="auto"/>
        </w:rPr>
        <w:t>”); and (c) M SPAC II is the record and beneficial owner of (i) 83,166 SPAC Units (the “</w:t>
      </w:r>
      <w:r>
        <w:rPr>
          <w:rFonts w:ascii="Arial" w:cs="Arial" w:eastAsia="Arial" w:hAnsi="Arial"/>
          <w:sz w:val="15"/>
          <w:szCs w:val="15"/>
          <w:u w:val="single" w:color="auto"/>
          <w:color w:val="auto"/>
        </w:rPr>
        <w:t>M SPAC II Units</w:t>
      </w:r>
      <w:r>
        <w:rPr>
          <w:rFonts w:ascii="Arial" w:cs="Arial" w:eastAsia="Arial" w:hAnsi="Arial"/>
          <w:sz w:val="15"/>
          <w:szCs w:val="15"/>
          <w:color w:val="auto"/>
        </w:rPr>
        <w:t>” and collectively with the M SPAC Units and the M SPAC I Units, the “</w:t>
      </w:r>
      <w:r>
        <w:rPr>
          <w:rFonts w:ascii="Arial" w:cs="Arial" w:eastAsia="Arial" w:hAnsi="Arial"/>
          <w:sz w:val="15"/>
          <w:szCs w:val="15"/>
          <w:u w:val="single" w:color="auto"/>
          <w:color w:val="auto"/>
        </w:rPr>
        <w:t>Acquired SPAC Units</w:t>
      </w:r>
      <w:r>
        <w:rPr>
          <w:rFonts w:ascii="Arial" w:cs="Arial" w:eastAsia="Arial" w:hAnsi="Arial"/>
          <w:sz w:val="15"/>
          <w:szCs w:val="15"/>
          <w:color w:val="auto"/>
        </w:rPr>
        <w:t>”) and (ii) 94,468 SPAC Founders Shares (the “</w:t>
      </w:r>
      <w:r>
        <w:rPr>
          <w:rFonts w:ascii="Arial" w:cs="Arial" w:eastAsia="Arial" w:hAnsi="Arial"/>
          <w:sz w:val="15"/>
          <w:szCs w:val="15"/>
          <w:u w:val="single" w:color="auto"/>
          <w:color w:val="auto"/>
        </w:rPr>
        <w:t>M SPAC II Founders Shares</w:t>
      </w:r>
      <w:r>
        <w:rPr>
          <w:rFonts w:ascii="Arial" w:cs="Arial" w:eastAsia="Arial" w:hAnsi="Arial"/>
          <w:sz w:val="15"/>
          <w:szCs w:val="15"/>
          <w:color w:val="auto"/>
        </w:rPr>
        <w:t>” and collectively with the M SPAC Founders Shares and the M SPAC I Founders Shares, the “</w:t>
      </w:r>
      <w:r>
        <w:rPr>
          <w:rFonts w:ascii="Arial" w:cs="Arial" w:eastAsia="Arial" w:hAnsi="Arial"/>
          <w:sz w:val="15"/>
          <w:szCs w:val="15"/>
          <w:u w:val="single" w:color="auto"/>
          <w:color w:val="auto"/>
        </w:rPr>
        <w:t>Acquired Founders Shares</w:t>
      </w:r>
      <w:r>
        <w:rPr>
          <w:rFonts w:ascii="Arial" w:cs="Arial" w:eastAsia="Arial" w:hAnsi="Arial"/>
          <w:sz w:val="15"/>
          <w:szCs w:val="15"/>
          <w:color w:val="auto"/>
        </w:rPr>
        <w:t>” and collectively with the Acquired SPAC Units, the “</w:t>
      </w:r>
      <w:r>
        <w:rPr>
          <w:rFonts w:ascii="Arial" w:cs="Arial" w:eastAsia="Arial" w:hAnsi="Arial"/>
          <w:sz w:val="15"/>
          <w:szCs w:val="15"/>
          <w:u w:val="single" w:color="auto"/>
          <w:color w:val="auto"/>
        </w:rPr>
        <w:t>Acquired SPAC Interest</w:t>
      </w:r>
      <w:r>
        <w:rPr>
          <w:rFonts w:ascii="Arial" w:cs="Arial" w:eastAsia="Arial" w:hAnsi="Arial"/>
          <w:sz w:val="15"/>
          <w:szCs w:val="15"/>
          <w:color w:val="auto"/>
        </w:rPr>
        <w:t>s”);</w:t>
      </w:r>
    </w:p>
    <w:p>
      <w:pPr>
        <w:spacing w:after="0" w:line="146"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connection with the Priority Acquisition, Founders desire to sell to Priority, and Priority desires to purchase from Founders, the Acquired SPAC</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Interests, effective as of immediately prior to the Priority Acquisition, in exchange for the consideration described herein and otherwise upon the terms and subject to the conditions set forth herein (such sale and purchase, the “</w:t>
      </w:r>
      <w:r>
        <w:rPr>
          <w:rFonts w:ascii="Arial" w:cs="Arial" w:eastAsia="Arial" w:hAnsi="Arial"/>
          <w:sz w:val="17"/>
          <w:szCs w:val="17"/>
          <w:u w:val="single" w:color="auto"/>
          <w:color w:val="auto"/>
        </w:rPr>
        <w:t>Acquired SPAC Interests Purchase</w:t>
      </w:r>
      <w:r>
        <w:rPr>
          <w:rFonts w:ascii="Arial" w:cs="Arial" w:eastAsia="Arial" w:hAnsi="Arial"/>
          <w:sz w:val="17"/>
          <w:szCs w:val="17"/>
          <w:color w:val="auto"/>
        </w:rPr>
        <w:t>”); and</w:t>
      </w:r>
    </w:p>
    <w:p>
      <w:pPr>
        <w:spacing w:after="0" w:line="169"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effective immediately upon the Acquired SPAC Interests Purchase and immediately prior to the Priority Acquisition, Priority shall distribute the</w:t>
      </w:r>
      <w:r>
        <w:rPr>
          <w:rFonts w:ascii="Arial" w:cs="Arial" w:eastAsia="Arial" w:hAnsi="Arial"/>
          <w:sz w:val="17"/>
          <w:szCs w:val="17"/>
          <w:b w:val="1"/>
          <w:bCs w:val="1"/>
          <w:color w:val="auto"/>
        </w:rPr>
        <w:t xml:space="preserve"> </w:t>
      </w:r>
      <w:r>
        <w:rPr>
          <w:rFonts w:ascii="Arial" w:cs="Arial" w:eastAsia="Arial" w:hAnsi="Arial"/>
          <w:sz w:val="17"/>
          <w:szCs w:val="17"/>
          <w:color w:val="auto"/>
        </w:rPr>
        <w:t>Acquired SPAC Interests to the Sellers (as defined in the Contribution Agreement).</w:t>
      </w:r>
    </w:p>
    <w:p>
      <w:pPr>
        <w:spacing w:after="0" w:line="159" w:lineRule="exact"/>
        <w:rPr>
          <w:sz w:val="20"/>
          <w:szCs w:val="20"/>
          <w:color w:val="auto"/>
        </w:rPr>
      </w:pPr>
    </w:p>
    <w:p>
      <w:pPr>
        <w:jc w:val="both"/>
        <w:ind w:firstLine="598"/>
        <w:spacing w:after="0" w:line="301"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respective representations, warranties, covenants and agreements set forth herein and for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286385</wp:posOffset>
            </wp:positionV>
            <wp:extent cx="7257415" cy="234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7"/>
          <w:szCs w:val="17"/>
          <w:color w:val="010000"/>
        </w:rPr>
        <w:t>ARTICLE 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DEFINITIONS</w:t>
      </w:r>
    </w:p>
    <w:p>
      <w:pPr>
        <w:spacing w:after="0" w:line="203" w:lineRule="exact"/>
        <w:rPr>
          <w:sz w:val="20"/>
          <w:szCs w:val="20"/>
          <w:color w:val="auto"/>
        </w:rPr>
      </w:pPr>
    </w:p>
    <w:p>
      <w:pPr>
        <w:ind w:firstLine="598"/>
        <w:spacing w:after="0" w:line="264" w:lineRule="auto"/>
        <w:rPr>
          <w:sz w:val="20"/>
          <w:szCs w:val="20"/>
          <w:color w:val="auto"/>
        </w:rPr>
      </w:pPr>
      <w:r>
        <w:rPr>
          <w:rFonts w:ascii="Arial" w:cs="Arial" w:eastAsia="Arial" w:hAnsi="Arial"/>
          <w:sz w:val="17"/>
          <w:szCs w:val="17"/>
          <w:color w:val="auto"/>
        </w:rPr>
        <w:t>Capitalized terms used but not otherwise defined in this Agreement shall have the meanings ascribed to such terms in the Contribution Agreement. Each of the following terms shall have the following meanings: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has the meaning set forth in the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Founders Shares</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SPAC Interests</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SPAC Interests Purchase</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SPAC Units</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Time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Founders</w:t>
      </w:r>
      <w:r>
        <w:rPr>
          <w:rFonts w:ascii="Arial" w:cs="Arial" w:eastAsia="Arial" w:hAnsi="Arial"/>
          <w:sz w:val="17"/>
          <w:szCs w:val="17"/>
          <w:color w:val="auto"/>
        </w:rPr>
        <w:t>” has the meaning set forth in the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Founders Earnout Payment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2.06(b)(ii)</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Founders Earnout Calculation Delivery Date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2.06(c)</w:t>
      </w:r>
      <w:r>
        <w:rPr>
          <w:rFonts w:ascii="Arial" w:cs="Arial" w:eastAsia="Arial" w:hAnsi="Arial"/>
          <w:sz w:val="17"/>
          <w:szCs w:val="17"/>
          <w:color w:val="auto"/>
        </w:rPr>
        <w:t>.</w:t>
      </w:r>
    </w:p>
    <w:p>
      <w:pPr>
        <w:spacing w:after="0" w:line="203"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Founders Material Adverse Effect</w:t>
      </w:r>
      <w:r>
        <w:rPr>
          <w:rFonts w:ascii="Arial" w:cs="Arial" w:eastAsia="Arial" w:hAnsi="Arial"/>
          <w:sz w:val="17"/>
          <w:szCs w:val="17"/>
          <w:color w:val="auto"/>
        </w:rPr>
        <w:t>” means any event, development, or change that would have or reasonably be expected to have a material adverse effect on the ability of any Founder or Buyer, as applicable, to perform its obligations hereunder, or that would prevent, materially impede, interfere with, hinder or delay the consummation by any Founder or Buyer, as applicable, of the transactions contemplated hereby.</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Forfeited Shares</w:t>
      </w:r>
      <w:r>
        <w:rPr>
          <w:rFonts w:ascii="Arial" w:cs="Arial" w:eastAsia="Arial" w:hAnsi="Arial"/>
          <w:sz w:val="17"/>
          <w:szCs w:val="17"/>
          <w:color w:val="auto"/>
        </w:rPr>
        <w:t xml:space="preserve">” means 174,863 SPAC Founders Shares, as specified on </w:t>
      </w:r>
      <w:r>
        <w:rPr>
          <w:rFonts w:ascii="Arial" w:cs="Arial" w:eastAsia="Arial" w:hAnsi="Arial"/>
          <w:sz w:val="17"/>
          <w:szCs w:val="17"/>
          <w:u w:val="single" w:color="auto"/>
          <w:color w:val="auto"/>
        </w:rPr>
        <w:t>Annex III</w:t>
      </w:r>
      <w:r>
        <w:rPr>
          <w:rFonts w:ascii="Arial" w:cs="Arial" w:eastAsia="Arial" w:hAnsi="Arial"/>
          <w:sz w:val="17"/>
          <w:szCs w:val="17"/>
          <w:color w:val="auto"/>
        </w:rPr>
        <w:t xml:space="preserve"> hereto.</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Knowledge of Founders</w:t>
      </w:r>
      <w:r>
        <w:rPr>
          <w:rFonts w:ascii="Arial" w:cs="Arial" w:eastAsia="Arial" w:hAnsi="Arial"/>
          <w:sz w:val="17"/>
          <w:szCs w:val="17"/>
          <w:color w:val="auto"/>
        </w:rPr>
        <w:t xml:space="preserve">” or any similar phrase means the actual knowledge of the Persons identified in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attached hereto.</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Knowledge of Priority</w:t>
      </w:r>
      <w:r>
        <w:rPr>
          <w:rFonts w:ascii="Arial" w:cs="Arial" w:eastAsia="Arial" w:hAnsi="Arial"/>
          <w:sz w:val="17"/>
          <w:szCs w:val="17"/>
          <w:color w:val="auto"/>
        </w:rPr>
        <w:t xml:space="preserve">” or any similar phrase means the actual knowledge of the Persons identified in </w:t>
      </w:r>
      <w:r>
        <w:rPr>
          <w:rFonts w:ascii="Arial" w:cs="Arial" w:eastAsia="Arial" w:hAnsi="Arial"/>
          <w:sz w:val="17"/>
          <w:szCs w:val="17"/>
          <w:u w:val="single" w:color="auto"/>
          <w:color w:val="auto"/>
        </w:rPr>
        <w:t>Annex II</w:t>
      </w:r>
      <w:r>
        <w:rPr>
          <w:rFonts w:ascii="Arial" w:cs="Arial" w:eastAsia="Arial" w:hAnsi="Arial"/>
          <w:sz w:val="17"/>
          <w:szCs w:val="17"/>
          <w:color w:val="auto"/>
        </w:rPr>
        <w:t xml:space="preserve"> attached hereto.</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 SPAC</w:t>
      </w:r>
      <w:r>
        <w:rPr>
          <w:rFonts w:ascii="Arial" w:cs="Arial" w:eastAsia="Arial" w:hAnsi="Arial"/>
          <w:sz w:val="17"/>
          <w:szCs w:val="17"/>
          <w:color w:val="auto"/>
        </w:rPr>
        <w:t>” has the meaning set forth in the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 SPAC Founders Shares</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 SPAC Units</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 SPAC I</w:t>
      </w:r>
      <w:r>
        <w:rPr>
          <w:rFonts w:ascii="Arial" w:cs="Arial" w:eastAsia="Arial" w:hAnsi="Arial"/>
          <w:sz w:val="17"/>
          <w:szCs w:val="17"/>
          <w:color w:val="auto"/>
        </w:rPr>
        <w:t>” has the meaning set forth in the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 SPAC I Founders Shares</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 SPAC I Units</w:t>
      </w:r>
      <w:r>
        <w:rPr>
          <w:rFonts w:ascii="Arial" w:cs="Arial" w:eastAsia="Arial" w:hAnsi="Arial"/>
          <w:sz w:val="17"/>
          <w:szCs w:val="17"/>
          <w:color w:val="auto"/>
        </w:rPr>
        <w:t>” has the meaning set forth in the Recitals.</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82" w:name="page83"/>
    <w:bookmarkEnd w:id="82"/>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 SPAC II</w:t>
      </w:r>
      <w:r>
        <w:rPr>
          <w:rFonts w:ascii="Arial" w:cs="Arial" w:eastAsia="Arial" w:hAnsi="Arial"/>
          <w:sz w:val="17"/>
          <w:szCs w:val="17"/>
          <w:color w:val="auto"/>
        </w:rPr>
        <w:t>” has the meaning set forth in the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 SPAC II Founders Shares</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 SPAC II Units</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Party</w:t>
      </w:r>
      <w:r>
        <w:rPr>
          <w:rFonts w:ascii="Arial" w:cs="Arial" w:eastAsia="Arial" w:hAnsi="Arial"/>
          <w:sz w:val="17"/>
          <w:szCs w:val="17"/>
          <w:color w:val="auto"/>
        </w:rPr>
        <w:t>” and “</w:t>
      </w:r>
      <w:r>
        <w:rPr>
          <w:rFonts w:ascii="Arial" w:cs="Arial" w:eastAsia="Arial" w:hAnsi="Arial"/>
          <w:sz w:val="17"/>
          <w:szCs w:val="17"/>
          <w:u w:val="single" w:color="auto"/>
          <w:color w:val="auto"/>
        </w:rPr>
        <w:t>Parties</w:t>
      </w:r>
      <w:r>
        <w:rPr>
          <w:rFonts w:ascii="Arial" w:cs="Arial" w:eastAsia="Arial" w:hAnsi="Arial"/>
          <w:sz w:val="17"/>
          <w:szCs w:val="17"/>
          <w:color w:val="auto"/>
        </w:rPr>
        <w:t>” have the meaning set forth in the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restrictions on the transfer of securities arising under applicable securities Laws or the Organizational Documents of Buyer.</w:t>
      </w:r>
    </w:p>
    <w:p>
      <w:pPr>
        <w:spacing w:after="0" w:line="21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Priority</w:t>
      </w:r>
      <w:r>
        <w:rPr>
          <w:rFonts w:ascii="Arial" w:cs="Arial" w:eastAsia="Arial" w:hAnsi="Arial"/>
          <w:sz w:val="17"/>
          <w:szCs w:val="17"/>
          <w:color w:val="auto"/>
        </w:rPr>
        <w:t>” has the meaning set forth in Preamble.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Priority Acquisition</w:t>
      </w:r>
      <w:r>
        <w:rPr>
          <w:rFonts w:ascii="Arial" w:cs="Arial" w:eastAsia="Arial" w:hAnsi="Arial"/>
          <w:sz w:val="17"/>
          <w:szCs w:val="17"/>
          <w:color w:val="auto"/>
        </w:rPr>
        <w:t>” has the meaning set forth in the Recitals.</w:t>
      </w:r>
    </w:p>
    <w:p>
      <w:pPr>
        <w:spacing w:after="0" w:line="203"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Priority Material Adverse Effect</w:t>
      </w:r>
      <w:r>
        <w:rPr>
          <w:rFonts w:ascii="Arial" w:cs="Arial" w:eastAsia="Arial" w:hAnsi="Arial"/>
          <w:sz w:val="17"/>
          <w:szCs w:val="17"/>
          <w:color w:val="auto"/>
        </w:rPr>
        <w:t>” means any event, development, or change that would have or reasonably be expected to have a material adverse effect on the ability of Priority to perform its obligations hereunder, or that would prevent, materially impede, interfere with, hinder or delay the consummation by Priority of the transactions contemplated hereby.</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Price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2.02</w:t>
      </w:r>
      <w:r>
        <w:rPr>
          <w:rFonts w:ascii="Arial" w:cs="Arial" w:eastAsia="Arial" w:hAnsi="Arial"/>
          <w:sz w:val="17"/>
          <w:szCs w:val="17"/>
          <w:color w:val="auto"/>
        </w:rPr>
        <w: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SPAC Founders Shares</w:t>
      </w:r>
      <w:r>
        <w:rPr>
          <w:rFonts w:ascii="Arial" w:cs="Arial" w:eastAsia="Arial" w:hAnsi="Arial"/>
          <w:sz w:val="17"/>
          <w:szCs w:val="17"/>
          <w:color w:val="auto"/>
        </w:rPr>
        <w:t>” means Buyer shares of common stock that were sold to Founders at a price of $0.02 per share.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SPAC Units</w:t>
      </w:r>
      <w:r>
        <w:rPr>
          <w:rFonts w:ascii="Arial" w:cs="Arial" w:eastAsia="Arial" w:hAnsi="Arial"/>
          <w:sz w:val="17"/>
          <w:szCs w:val="17"/>
          <w:color w:val="auto"/>
        </w:rPr>
        <w:t>” means the units issued by Buyer to Founders, consisting of one share of Buyer common stock and one SPAC Warrant.</w:t>
      </w:r>
    </w:p>
    <w:p>
      <w:pPr>
        <w:spacing w:after="0" w:line="20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SPAC Warrant</w:t>
      </w:r>
      <w:r>
        <w:rPr>
          <w:rFonts w:ascii="Arial" w:cs="Arial" w:eastAsia="Arial" w:hAnsi="Arial"/>
          <w:sz w:val="17"/>
          <w:szCs w:val="17"/>
          <w:color w:val="auto"/>
        </w:rPr>
        <w:t>” means a warrant issued by Buyer to Founders, entitling the holder thereof to purchase one share of Buyer common stock in accordance with the terms and conditions of the Warrant Agreement.</w:t>
      </w:r>
    </w:p>
    <w:p>
      <w:pPr>
        <w:spacing w:after="0" w:line="168"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Warrant Agreement</w:t>
      </w:r>
      <w:r>
        <w:rPr>
          <w:rFonts w:ascii="Arial" w:cs="Arial" w:eastAsia="Arial" w:hAnsi="Arial"/>
          <w:sz w:val="17"/>
          <w:szCs w:val="17"/>
          <w:color w:val="auto"/>
        </w:rPr>
        <w:t>” means that warrant agreement, dated as of September 13, 2016, by and between Buyer and American Stock Transfer &amp; Trust Company, as warrant agent thereunder.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II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PURCHASE AND SALE</w:t>
      </w:r>
    </w:p>
    <w:p>
      <w:pPr>
        <w:spacing w:after="0" w:line="203"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2.01 </w:t>
      </w:r>
      <w:r>
        <w:rPr>
          <w:rFonts w:ascii="Arial" w:cs="Arial" w:eastAsia="Arial" w:hAnsi="Arial"/>
          <w:sz w:val="17"/>
          <w:szCs w:val="17"/>
          <w:u w:val="single" w:color="auto"/>
          <w:color w:val="000000"/>
        </w:rPr>
        <w:t>Purchase and Sale</w:t>
      </w:r>
      <w:r>
        <w:rPr>
          <w:rFonts w:ascii="Arial" w:cs="Arial" w:eastAsia="Arial" w:hAnsi="Arial"/>
          <w:sz w:val="17"/>
          <w:szCs w:val="17"/>
          <w:color w:val="000000"/>
        </w:rPr>
        <w:t>. Upon the terms and subject to the conditions set forth herein, effective as of the Effective Time, Founders shall sell,</w:t>
      </w:r>
      <w:r>
        <w:rPr>
          <w:rFonts w:ascii="Arial" w:cs="Arial" w:eastAsia="Arial" w:hAnsi="Arial"/>
          <w:sz w:val="17"/>
          <w:szCs w:val="17"/>
          <w:color w:val="010000"/>
        </w:rPr>
        <w:t xml:space="preserve"> </w:t>
      </w:r>
      <w:r>
        <w:rPr>
          <w:rFonts w:ascii="Arial" w:cs="Arial" w:eastAsia="Arial" w:hAnsi="Arial"/>
          <w:sz w:val="17"/>
          <w:szCs w:val="17"/>
          <w:color w:val="000000"/>
        </w:rPr>
        <w:t xml:space="preserve">assign, transfer, convey and deliver to Priority, and Priority shall purchase, accept and acquire from Founders, the Acquired SPAC Interests (in the amounts specified on </w:t>
      </w:r>
      <w:r>
        <w:rPr>
          <w:rFonts w:ascii="Arial" w:cs="Arial" w:eastAsia="Arial" w:hAnsi="Arial"/>
          <w:sz w:val="17"/>
          <w:szCs w:val="17"/>
          <w:u w:val="single" w:color="auto"/>
          <w:color w:val="000000"/>
        </w:rPr>
        <w:t>Annex III</w:t>
      </w:r>
      <w:r>
        <w:rPr>
          <w:rFonts w:ascii="Arial" w:cs="Arial" w:eastAsia="Arial" w:hAnsi="Arial"/>
          <w:sz w:val="17"/>
          <w:szCs w:val="17"/>
          <w:color w:val="000000"/>
        </w:rPr>
        <w:t xml:space="preserve"> attached hereto), free and clear of all Liens (other than Permitted Liens).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83" w:name="page84"/>
    <w:bookmarkEnd w:id="83"/>
    <w:p>
      <w:pPr>
        <w:jc w:val="both"/>
        <w:ind w:firstLine="1195"/>
        <w:spacing w:after="0" w:line="251" w:lineRule="auto"/>
        <w:rPr>
          <w:sz w:val="20"/>
          <w:szCs w:val="20"/>
          <w:color w:val="auto"/>
        </w:rPr>
      </w:pPr>
      <w:r>
        <w:rPr>
          <w:rFonts w:ascii="Arial" w:cs="Arial" w:eastAsia="Arial" w:hAnsi="Arial"/>
          <w:sz w:val="17"/>
          <w:szCs w:val="17"/>
          <w:color w:val="010000"/>
        </w:rPr>
        <w:t xml:space="preserve">Section 2.02 </w:t>
      </w:r>
      <w:r>
        <w:rPr>
          <w:rFonts w:ascii="Arial" w:cs="Arial" w:eastAsia="Arial" w:hAnsi="Arial"/>
          <w:sz w:val="17"/>
          <w:szCs w:val="17"/>
          <w:u w:val="single" w:color="auto"/>
          <w:color w:val="000000"/>
        </w:rPr>
        <w:t>Purchase Price</w:t>
      </w:r>
      <w:r>
        <w:rPr>
          <w:rFonts w:ascii="Arial" w:cs="Arial" w:eastAsia="Arial" w:hAnsi="Arial"/>
          <w:sz w:val="17"/>
          <w:szCs w:val="17"/>
          <w:color w:val="000000"/>
        </w:rPr>
        <w:t>. The aggregate consideration (the “</w:t>
      </w:r>
      <w:r>
        <w:rPr>
          <w:rFonts w:ascii="Arial" w:cs="Arial" w:eastAsia="Arial" w:hAnsi="Arial"/>
          <w:sz w:val="17"/>
          <w:szCs w:val="17"/>
          <w:u w:val="single" w:color="auto"/>
          <w:color w:val="000000"/>
        </w:rPr>
        <w:t>Purchase Price</w:t>
      </w:r>
      <w:r>
        <w:rPr>
          <w:rFonts w:ascii="Arial" w:cs="Arial" w:eastAsia="Arial" w:hAnsi="Arial"/>
          <w:sz w:val="17"/>
          <w:szCs w:val="17"/>
          <w:color w:val="000000"/>
        </w:rPr>
        <w:t>”) payable by Priority to Founders for the acquisition of the Acquired</w:t>
      </w:r>
      <w:r>
        <w:rPr>
          <w:rFonts w:ascii="Arial" w:cs="Arial" w:eastAsia="Arial" w:hAnsi="Arial"/>
          <w:sz w:val="17"/>
          <w:szCs w:val="17"/>
          <w:color w:val="010000"/>
        </w:rPr>
        <w:t xml:space="preserve"> </w:t>
      </w:r>
      <w:r>
        <w:rPr>
          <w:rFonts w:ascii="Arial" w:cs="Arial" w:eastAsia="Arial" w:hAnsi="Arial"/>
          <w:sz w:val="17"/>
          <w:szCs w:val="17"/>
          <w:color w:val="000000"/>
        </w:rPr>
        <w:t xml:space="preserve">SPAC Interests shall be an amount equal to (a)(i) the number of M SPAC Units </w:t>
      </w:r>
      <w:r>
        <w:rPr>
          <w:rFonts w:ascii="Arial" w:cs="Arial" w:eastAsia="Arial" w:hAnsi="Arial"/>
          <w:sz w:val="17"/>
          <w:szCs w:val="17"/>
          <w:u w:val="single" w:color="auto"/>
          <w:color w:val="000000"/>
        </w:rPr>
        <w:t>multiplied by</w:t>
      </w:r>
      <w:r>
        <w:rPr>
          <w:rFonts w:ascii="Arial" w:cs="Arial" w:eastAsia="Arial" w:hAnsi="Arial"/>
          <w:sz w:val="17"/>
          <w:szCs w:val="17"/>
          <w:color w:val="000000"/>
        </w:rPr>
        <w:t xml:space="preserve"> (ii) $6.5083, </w:t>
      </w:r>
      <w:r>
        <w:rPr>
          <w:rFonts w:ascii="Arial" w:cs="Arial" w:eastAsia="Arial" w:hAnsi="Arial"/>
          <w:sz w:val="17"/>
          <w:szCs w:val="17"/>
          <w:u w:val="single" w:color="auto"/>
          <w:color w:val="000000"/>
        </w:rPr>
        <w:t>plus</w:t>
      </w:r>
      <w:r>
        <w:rPr>
          <w:rFonts w:ascii="Arial" w:cs="Arial" w:eastAsia="Arial" w:hAnsi="Arial"/>
          <w:sz w:val="17"/>
          <w:szCs w:val="17"/>
          <w:color w:val="000000"/>
        </w:rPr>
        <w:t xml:space="preserve"> (b)(i) the number of M SPAC I Units </w:t>
      </w:r>
      <w:r>
        <w:rPr>
          <w:rFonts w:ascii="Arial" w:cs="Arial" w:eastAsia="Arial" w:hAnsi="Arial"/>
          <w:sz w:val="17"/>
          <w:szCs w:val="17"/>
          <w:u w:val="single" w:color="auto"/>
          <w:color w:val="000000"/>
        </w:rPr>
        <w:t>multiplied by</w:t>
      </w:r>
      <w:r>
        <w:rPr>
          <w:rFonts w:ascii="Arial" w:cs="Arial" w:eastAsia="Arial" w:hAnsi="Arial"/>
          <w:sz w:val="17"/>
          <w:szCs w:val="17"/>
          <w:color w:val="000000"/>
        </w:rPr>
        <w:t xml:space="preserve"> (ii) $5.0094, </w:t>
      </w:r>
      <w:r>
        <w:rPr>
          <w:rFonts w:ascii="Arial" w:cs="Arial" w:eastAsia="Arial" w:hAnsi="Arial"/>
          <w:sz w:val="17"/>
          <w:szCs w:val="17"/>
          <w:u w:val="single" w:color="auto"/>
          <w:color w:val="000000"/>
        </w:rPr>
        <w:t>plus</w:t>
      </w:r>
      <w:r>
        <w:rPr>
          <w:rFonts w:ascii="Arial" w:cs="Arial" w:eastAsia="Arial" w:hAnsi="Arial"/>
          <w:sz w:val="17"/>
          <w:szCs w:val="17"/>
          <w:color w:val="000000"/>
        </w:rPr>
        <w:t xml:space="preserve"> (c)(i) the number of M SPAC II Units </w:t>
      </w:r>
      <w:r>
        <w:rPr>
          <w:rFonts w:ascii="Arial" w:cs="Arial" w:eastAsia="Arial" w:hAnsi="Arial"/>
          <w:sz w:val="17"/>
          <w:szCs w:val="17"/>
          <w:u w:val="single" w:color="auto"/>
          <w:color w:val="000000"/>
        </w:rPr>
        <w:t>multiplied by</w:t>
      </w:r>
      <w:r>
        <w:rPr>
          <w:rFonts w:ascii="Arial" w:cs="Arial" w:eastAsia="Arial" w:hAnsi="Arial"/>
          <w:sz w:val="17"/>
          <w:szCs w:val="17"/>
          <w:color w:val="000000"/>
        </w:rPr>
        <w:t xml:space="preserve"> (ii) $0.0001, </w:t>
      </w:r>
      <w:r>
        <w:rPr>
          <w:rFonts w:ascii="Arial" w:cs="Arial" w:eastAsia="Arial" w:hAnsi="Arial"/>
          <w:sz w:val="17"/>
          <w:szCs w:val="17"/>
          <w:u w:val="single" w:color="auto"/>
          <w:color w:val="000000"/>
        </w:rPr>
        <w:t>plus</w:t>
      </w:r>
      <w:r>
        <w:rPr>
          <w:rFonts w:ascii="Arial" w:cs="Arial" w:eastAsia="Arial" w:hAnsi="Arial"/>
          <w:sz w:val="17"/>
          <w:szCs w:val="17"/>
          <w:color w:val="000000"/>
        </w:rPr>
        <w:t xml:space="preserve"> (d)(i) the number of Acquired Founders Shares </w:t>
      </w:r>
      <w:r>
        <w:rPr>
          <w:rFonts w:ascii="Arial" w:cs="Arial" w:eastAsia="Arial" w:hAnsi="Arial"/>
          <w:sz w:val="17"/>
          <w:szCs w:val="17"/>
          <w:u w:val="single" w:color="auto"/>
          <w:color w:val="000000"/>
        </w:rPr>
        <w:t>multiplied by</w:t>
      </w:r>
      <w:r>
        <w:rPr>
          <w:rFonts w:ascii="Arial" w:cs="Arial" w:eastAsia="Arial" w:hAnsi="Arial"/>
          <w:sz w:val="17"/>
          <w:szCs w:val="17"/>
          <w:color w:val="000000"/>
        </w:rPr>
        <w:t xml:space="preserve"> (ii) $0.0188, and payable pursuant to </w:t>
      </w:r>
      <w:r>
        <w:rPr>
          <w:rFonts w:ascii="Arial" w:cs="Arial" w:eastAsia="Arial" w:hAnsi="Arial"/>
          <w:sz w:val="17"/>
          <w:szCs w:val="17"/>
          <w:u w:val="single" w:color="auto"/>
          <w:color w:val="000000"/>
        </w:rPr>
        <w:t>Section 2.05(a)</w:t>
      </w:r>
      <w:r>
        <w:rPr>
          <w:rFonts w:ascii="Arial" w:cs="Arial" w:eastAsia="Arial" w:hAnsi="Arial"/>
          <w:sz w:val="17"/>
          <w:szCs w:val="17"/>
          <w:color w:val="000000"/>
        </w:rPr>
        <w:t>.</w:t>
      </w:r>
    </w:p>
    <w:p>
      <w:pPr>
        <w:spacing w:after="0" w:line="178" w:lineRule="exact"/>
        <w:rPr>
          <w:sz w:val="20"/>
          <w:szCs w:val="20"/>
          <w:color w:val="auto"/>
        </w:rPr>
      </w:pPr>
    </w:p>
    <w:p>
      <w:pPr>
        <w:jc w:val="both"/>
        <w:ind w:firstLine="1195"/>
        <w:spacing w:after="0" w:line="296" w:lineRule="auto"/>
        <w:rPr>
          <w:sz w:val="20"/>
          <w:szCs w:val="20"/>
          <w:color w:val="auto"/>
        </w:rPr>
      </w:pPr>
      <w:r>
        <w:rPr>
          <w:rFonts w:ascii="Arial" w:cs="Arial" w:eastAsia="Arial" w:hAnsi="Arial"/>
          <w:sz w:val="16"/>
          <w:szCs w:val="16"/>
          <w:color w:val="010000"/>
        </w:rPr>
        <w:t xml:space="preserve">Section 2.03 </w:t>
      </w:r>
      <w:r>
        <w:rPr>
          <w:rFonts w:ascii="Arial" w:cs="Arial" w:eastAsia="Arial" w:hAnsi="Arial"/>
          <w:sz w:val="16"/>
          <w:szCs w:val="16"/>
          <w:u w:val="single" w:color="auto"/>
          <w:color w:val="000000"/>
        </w:rPr>
        <w:t>Effective Time</w:t>
      </w:r>
      <w:r>
        <w:rPr>
          <w:rFonts w:ascii="Arial" w:cs="Arial" w:eastAsia="Arial" w:hAnsi="Arial"/>
          <w:sz w:val="16"/>
          <w:szCs w:val="16"/>
          <w:color w:val="000000"/>
        </w:rPr>
        <w:t>. The closing of the transactions contemplated hereby shall be effective as of (i) immediately prior to the Closing or (ii) on</w:t>
      </w:r>
      <w:r>
        <w:rPr>
          <w:rFonts w:ascii="Arial" w:cs="Arial" w:eastAsia="Arial" w:hAnsi="Arial"/>
          <w:sz w:val="16"/>
          <w:szCs w:val="16"/>
          <w:color w:val="010000"/>
        </w:rPr>
        <w:t xml:space="preserve"> </w:t>
      </w:r>
      <w:r>
        <w:rPr>
          <w:rFonts w:ascii="Arial" w:cs="Arial" w:eastAsia="Arial" w:hAnsi="Arial"/>
          <w:sz w:val="16"/>
          <w:szCs w:val="16"/>
          <w:color w:val="000000"/>
        </w:rPr>
        <w:t xml:space="preserve">the third Business Day following the date on which the condition set forth in </w:t>
      </w:r>
      <w:r>
        <w:rPr>
          <w:rFonts w:ascii="Arial" w:cs="Arial" w:eastAsia="Arial" w:hAnsi="Arial"/>
          <w:sz w:val="16"/>
          <w:szCs w:val="16"/>
          <w:u w:val="single" w:color="auto"/>
          <w:color w:val="000000"/>
        </w:rPr>
        <w:t>Section 6.01(b)</w:t>
      </w:r>
      <w:r>
        <w:rPr>
          <w:rFonts w:ascii="Arial" w:cs="Arial" w:eastAsia="Arial" w:hAnsi="Arial"/>
          <w:sz w:val="16"/>
          <w:szCs w:val="16"/>
          <w:color w:val="000000"/>
        </w:rPr>
        <w:t xml:space="preserve"> has been satisfied or waived by Priority (the “</w:t>
      </w:r>
      <w:r>
        <w:rPr>
          <w:rFonts w:ascii="Arial" w:cs="Arial" w:eastAsia="Arial" w:hAnsi="Arial"/>
          <w:sz w:val="16"/>
          <w:szCs w:val="16"/>
          <w:u w:val="single" w:color="auto"/>
          <w:color w:val="000000"/>
        </w:rPr>
        <w:t>Effective Time</w:t>
      </w:r>
      <w:r>
        <w:rPr>
          <w:rFonts w:ascii="Arial" w:cs="Arial" w:eastAsia="Arial" w:hAnsi="Arial"/>
          <w:sz w:val="16"/>
          <w:szCs w:val="16"/>
          <w:color w:val="000000"/>
        </w:rPr>
        <w:t>”).</w:t>
      </w:r>
    </w:p>
    <w:p>
      <w:pPr>
        <w:spacing w:after="0" w:line="144" w:lineRule="exact"/>
        <w:rPr>
          <w:sz w:val="20"/>
          <w:szCs w:val="20"/>
          <w:color w:val="auto"/>
        </w:rPr>
      </w:pPr>
    </w:p>
    <w:p>
      <w:pPr>
        <w:jc w:val="both"/>
        <w:ind w:firstLine="1195"/>
        <w:spacing w:after="0" w:line="264" w:lineRule="auto"/>
        <w:rPr>
          <w:sz w:val="20"/>
          <w:szCs w:val="20"/>
          <w:color w:val="auto"/>
        </w:rPr>
      </w:pPr>
      <w:r>
        <w:rPr>
          <w:rFonts w:ascii="Arial" w:cs="Arial" w:eastAsia="Arial" w:hAnsi="Arial"/>
          <w:sz w:val="17"/>
          <w:szCs w:val="17"/>
          <w:color w:val="010000"/>
        </w:rPr>
        <w:t xml:space="preserve">Section 2.04 </w:t>
      </w:r>
      <w:r>
        <w:rPr>
          <w:rFonts w:ascii="Arial" w:cs="Arial" w:eastAsia="Arial" w:hAnsi="Arial"/>
          <w:sz w:val="17"/>
          <w:szCs w:val="17"/>
          <w:u w:val="single" w:color="auto"/>
          <w:color w:val="000000"/>
        </w:rPr>
        <w:t>Pre-Closing Deliveries</w:t>
      </w:r>
      <w:r>
        <w:rPr>
          <w:rFonts w:ascii="Arial" w:cs="Arial" w:eastAsia="Arial" w:hAnsi="Arial"/>
          <w:sz w:val="17"/>
          <w:szCs w:val="17"/>
          <w:color w:val="000000"/>
        </w:rPr>
        <w:t>. At least two (2) Business Days prior to the Closing Date, Founders shall deliver to Priority wire instructions for</w:t>
      </w:r>
      <w:r>
        <w:rPr>
          <w:rFonts w:ascii="Arial" w:cs="Arial" w:eastAsia="Arial" w:hAnsi="Arial"/>
          <w:sz w:val="17"/>
          <w:szCs w:val="17"/>
          <w:color w:val="010000"/>
        </w:rPr>
        <w:t xml:space="preserve"> </w:t>
      </w:r>
      <w:r>
        <w:rPr>
          <w:rFonts w:ascii="Arial" w:cs="Arial" w:eastAsia="Arial" w:hAnsi="Arial"/>
          <w:sz w:val="17"/>
          <w:szCs w:val="17"/>
          <w:color w:val="000000"/>
        </w:rPr>
        <w:t>the account or accounts of Founders to which the payment of the Purchase Price shall be made.</w:t>
      </w:r>
    </w:p>
    <w:p>
      <w:pPr>
        <w:spacing w:after="0" w:line="168" w:lineRule="exact"/>
        <w:rPr>
          <w:sz w:val="20"/>
          <w:szCs w:val="20"/>
          <w:color w:val="auto"/>
        </w:rPr>
      </w:pPr>
    </w:p>
    <w:p>
      <w:pPr>
        <w:ind w:left="1200"/>
        <w:spacing w:after="0"/>
        <w:tabs>
          <w:tab w:leader="none" w:pos="2260" w:val="left"/>
        </w:tabs>
        <w:rPr>
          <w:sz w:val="20"/>
          <w:szCs w:val="20"/>
          <w:color w:val="auto"/>
        </w:rPr>
      </w:pPr>
      <w:r>
        <w:rPr>
          <w:rFonts w:ascii="Arial" w:cs="Arial" w:eastAsia="Arial" w:hAnsi="Arial"/>
          <w:sz w:val="17"/>
          <w:szCs w:val="17"/>
          <w:color w:val="010000"/>
        </w:rPr>
        <w:t>Section 2.05</w:t>
      </w:r>
      <w:r>
        <w:rPr>
          <w:sz w:val="20"/>
          <w:szCs w:val="20"/>
          <w:color w:val="auto"/>
        </w:rPr>
        <w:tab/>
      </w:r>
      <w:r>
        <w:rPr>
          <w:rFonts w:ascii="Arial" w:cs="Arial" w:eastAsia="Arial" w:hAnsi="Arial"/>
          <w:sz w:val="13"/>
          <w:szCs w:val="13"/>
          <w:u w:val="single" w:color="auto"/>
          <w:color w:val="auto"/>
        </w:rPr>
        <w:t>Closing Payments and Deliveries</w:t>
      </w:r>
      <w:r>
        <w:rPr>
          <w:rFonts w:ascii="Arial" w:cs="Arial" w:eastAsia="Arial" w:hAnsi="Arial"/>
          <w:sz w:val="13"/>
          <w:szCs w:val="13"/>
          <w:color w:val="auto"/>
        </w:rPr>
        <w:t>.</w:t>
      </w:r>
    </w:p>
    <w:p>
      <w:pPr>
        <w:spacing w:after="0" w:line="203" w:lineRule="exact"/>
        <w:rPr>
          <w:sz w:val="20"/>
          <w:szCs w:val="20"/>
          <w:color w:val="auto"/>
        </w:rPr>
      </w:pPr>
    </w:p>
    <w:p>
      <w:pPr>
        <w:ind w:firstLine="1195"/>
        <w:spacing w:after="0" w:line="264" w:lineRule="auto"/>
        <w:tabs>
          <w:tab w:leader="none" w:pos="1831" w:val="left"/>
        </w:tabs>
        <w:numPr>
          <w:ilvl w:val="0"/>
          <w:numId w:val="72"/>
        </w:numPr>
        <w:rPr>
          <w:rFonts w:ascii="Arial" w:cs="Arial" w:eastAsia="Arial" w:hAnsi="Arial"/>
          <w:sz w:val="17"/>
          <w:szCs w:val="17"/>
          <w:color w:val="010000"/>
        </w:rPr>
      </w:pPr>
      <w:r>
        <w:rPr>
          <w:rFonts w:ascii="Arial" w:cs="Arial" w:eastAsia="Arial" w:hAnsi="Arial"/>
          <w:sz w:val="17"/>
          <w:szCs w:val="17"/>
          <w:color w:val="auto"/>
        </w:rPr>
        <w:t xml:space="preserve">At the Effective Time, Priority shall pay, or cause to be paid, to each Founder an amount in cash equal to the amount specified on </w:t>
      </w:r>
      <w:r>
        <w:rPr>
          <w:rFonts w:ascii="Arial" w:cs="Arial" w:eastAsia="Arial" w:hAnsi="Arial"/>
          <w:sz w:val="17"/>
          <w:szCs w:val="17"/>
          <w:u w:val="single" w:color="auto"/>
          <w:color w:val="auto"/>
        </w:rPr>
        <w:t>Annex III</w:t>
      </w:r>
      <w:r>
        <w:rPr>
          <w:rFonts w:ascii="Arial" w:cs="Arial" w:eastAsia="Arial" w:hAnsi="Arial"/>
          <w:sz w:val="17"/>
          <w:szCs w:val="17"/>
          <w:color w:val="auto"/>
        </w:rPr>
        <w:t xml:space="preserve"> by wire transfer of immediately available funds in accordance with the wire instructions delivered by Founders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w:t>
      </w:r>
    </w:p>
    <w:p>
      <w:pPr>
        <w:spacing w:after="0" w:line="167" w:lineRule="exact"/>
        <w:rPr>
          <w:rFonts w:ascii="Arial" w:cs="Arial" w:eastAsia="Arial" w:hAnsi="Arial"/>
          <w:sz w:val="17"/>
          <w:szCs w:val="17"/>
          <w:color w:val="010000"/>
        </w:rPr>
      </w:pPr>
    </w:p>
    <w:p>
      <w:pPr>
        <w:jc w:val="both"/>
        <w:ind w:firstLine="1195"/>
        <w:spacing w:after="0" w:line="254" w:lineRule="auto"/>
        <w:tabs>
          <w:tab w:leader="none" w:pos="1803" w:val="left"/>
        </w:tabs>
        <w:numPr>
          <w:ilvl w:val="0"/>
          <w:numId w:val="72"/>
        </w:numPr>
        <w:rPr>
          <w:rFonts w:ascii="Arial" w:cs="Arial" w:eastAsia="Arial" w:hAnsi="Arial"/>
          <w:sz w:val="17"/>
          <w:szCs w:val="17"/>
          <w:color w:val="010000"/>
        </w:rPr>
      </w:pPr>
      <w:r>
        <w:rPr>
          <w:rFonts w:ascii="Arial" w:cs="Arial" w:eastAsia="Arial" w:hAnsi="Arial"/>
          <w:sz w:val="17"/>
          <w:szCs w:val="17"/>
          <w:color w:val="auto"/>
        </w:rPr>
        <w:t>At the Effective Time, each Founder shall deliver, or cause to be delivered, to Priority certificates representing the Acquired SPAC Interests held by such Founder duly endorsed in blank for transfer or accompanied by a stock power or other applicable instrument of transfer duly executed by such Founder in blank form or in favor of Priority.</w:t>
      </w:r>
    </w:p>
    <w:p>
      <w:pPr>
        <w:spacing w:after="0" w:line="176" w:lineRule="exact"/>
        <w:rPr>
          <w:sz w:val="20"/>
          <w:szCs w:val="20"/>
          <w:color w:val="auto"/>
        </w:rPr>
      </w:pPr>
    </w:p>
    <w:p>
      <w:pPr>
        <w:ind w:left="1200"/>
        <w:spacing w:after="0"/>
        <w:tabs>
          <w:tab w:leader="none" w:pos="2260" w:val="left"/>
        </w:tabs>
        <w:rPr>
          <w:sz w:val="20"/>
          <w:szCs w:val="20"/>
          <w:color w:val="auto"/>
        </w:rPr>
      </w:pPr>
      <w:r>
        <w:rPr>
          <w:rFonts w:ascii="Arial" w:cs="Arial" w:eastAsia="Arial" w:hAnsi="Arial"/>
          <w:sz w:val="17"/>
          <w:szCs w:val="17"/>
          <w:color w:val="010000"/>
        </w:rPr>
        <w:t>Section 2.06</w:t>
      </w:r>
      <w:r>
        <w:rPr>
          <w:sz w:val="20"/>
          <w:szCs w:val="20"/>
          <w:color w:val="auto"/>
        </w:rPr>
        <w:tab/>
      </w:r>
      <w:r>
        <w:rPr>
          <w:rFonts w:ascii="Arial" w:cs="Arial" w:eastAsia="Arial" w:hAnsi="Arial"/>
          <w:sz w:val="13"/>
          <w:szCs w:val="13"/>
          <w:u w:val="single" w:color="auto"/>
          <w:color w:val="auto"/>
        </w:rPr>
        <w:t>Forfeiture and Earnout.</w:t>
      </w:r>
    </w:p>
    <w:p>
      <w:pPr>
        <w:spacing w:after="0" w:line="203" w:lineRule="exact"/>
        <w:rPr>
          <w:sz w:val="20"/>
          <w:szCs w:val="20"/>
          <w:color w:val="auto"/>
        </w:rPr>
      </w:pPr>
    </w:p>
    <w:p>
      <w:pPr>
        <w:ind w:left="1800" w:hanging="605"/>
        <w:spacing w:after="0"/>
        <w:tabs>
          <w:tab w:leader="none" w:pos="1800" w:val="left"/>
        </w:tabs>
        <w:numPr>
          <w:ilvl w:val="0"/>
          <w:numId w:val="73"/>
        </w:numPr>
        <w:rPr>
          <w:rFonts w:ascii="Arial" w:cs="Arial" w:eastAsia="Arial" w:hAnsi="Arial"/>
          <w:sz w:val="17"/>
          <w:szCs w:val="17"/>
          <w:color w:val="010000"/>
        </w:rPr>
      </w:pPr>
      <w:r>
        <w:rPr>
          <w:rFonts w:ascii="Arial" w:cs="Arial" w:eastAsia="Arial" w:hAnsi="Arial"/>
          <w:sz w:val="17"/>
          <w:szCs w:val="17"/>
          <w:color w:val="auto"/>
        </w:rPr>
        <w:t>The Parties agree that, at the Closing, the Forfeited Shares shall be canceled by Buyer.</w:t>
      </w:r>
    </w:p>
    <w:p>
      <w:pPr>
        <w:spacing w:after="0" w:line="202" w:lineRule="exact"/>
        <w:rPr>
          <w:rFonts w:ascii="Arial" w:cs="Arial" w:eastAsia="Arial" w:hAnsi="Arial"/>
          <w:sz w:val="17"/>
          <w:szCs w:val="17"/>
          <w:color w:val="010000"/>
        </w:rPr>
      </w:pPr>
    </w:p>
    <w:p>
      <w:pPr>
        <w:jc w:val="both"/>
        <w:ind w:firstLine="1195"/>
        <w:spacing w:after="0" w:line="254" w:lineRule="auto"/>
        <w:tabs>
          <w:tab w:leader="none" w:pos="1915" w:val="left"/>
        </w:tabs>
        <w:numPr>
          <w:ilvl w:val="0"/>
          <w:numId w:val="73"/>
        </w:numPr>
        <w:rPr>
          <w:rFonts w:ascii="Arial" w:cs="Arial" w:eastAsia="Arial" w:hAnsi="Arial"/>
          <w:sz w:val="17"/>
          <w:szCs w:val="17"/>
          <w:color w:val="010000"/>
        </w:rPr>
      </w:pPr>
      <w:r>
        <w:rPr>
          <w:rFonts w:ascii="Arial" w:cs="Arial" w:eastAsia="Arial" w:hAnsi="Arial"/>
          <w:sz w:val="17"/>
          <w:szCs w:val="17"/>
          <w:color w:val="auto"/>
        </w:rPr>
        <w:t xml:space="preserve">In consideration for the cancelation of the Forfeited Shares pursuant to </w:t>
      </w:r>
      <w:r>
        <w:rPr>
          <w:rFonts w:ascii="Arial" w:cs="Arial" w:eastAsia="Arial" w:hAnsi="Arial"/>
          <w:sz w:val="17"/>
          <w:szCs w:val="17"/>
          <w:u w:val="single" w:color="auto"/>
          <w:color w:val="auto"/>
        </w:rPr>
        <w:t>Section 2.06(a)</w:t>
      </w:r>
      <w:r>
        <w:rPr>
          <w:rFonts w:ascii="Arial" w:cs="Arial" w:eastAsia="Arial" w:hAnsi="Arial"/>
          <w:sz w:val="17"/>
          <w:szCs w:val="17"/>
          <w:color w:val="auto"/>
        </w:rPr>
        <w:t>, if, after the Closing, Buyer is permitted to issue any Equity Interests pursuant to and in accordance with the Buyer Incentive Plan, in the first year that Buyer is permitted to issue any such Equity Interests, Buyer shall, at its election in its sole discretion, either:</w:t>
      </w:r>
    </w:p>
    <w:p>
      <w:pPr>
        <w:spacing w:after="0" w:line="176" w:lineRule="exact"/>
        <w:rPr>
          <w:rFonts w:ascii="Arial" w:cs="Arial" w:eastAsia="Arial" w:hAnsi="Arial"/>
          <w:sz w:val="17"/>
          <w:szCs w:val="17"/>
          <w:color w:val="010000"/>
        </w:rPr>
      </w:pPr>
    </w:p>
    <w:p>
      <w:pPr>
        <w:ind w:left="2280" w:hanging="488"/>
        <w:spacing w:after="0"/>
        <w:tabs>
          <w:tab w:leader="none" w:pos="2280" w:val="left"/>
        </w:tabs>
        <w:numPr>
          <w:ilvl w:val="1"/>
          <w:numId w:val="73"/>
        </w:numPr>
        <w:rPr>
          <w:rFonts w:ascii="Arial" w:cs="Arial" w:eastAsia="Arial" w:hAnsi="Arial"/>
          <w:sz w:val="17"/>
          <w:szCs w:val="17"/>
          <w:color w:val="010000"/>
        </w:rPr>
      </w:pPr>
      <w:r>
        <w:rPr>
          <w:rFonts w:ascii="Arial" w:cs="Arial" w:eastAsia="Arial" w:hAnsi="Arial"/>
          <w:sz w:val="17"/>
          <w:szCs w:val="17"/>
          <w:color w:val="auto"/>
        </w:rPr>
        <w:t xml:space="preserve">issue 174,863 shares of Common Stock in the aggregate to Founders in accordance with </w:t>
      </w:r>
      <w:r>
        <w:rPr>
          <w:rFonts w:ascii="Arial" w:cs="Arial" w:eastAsia="Arial" w:hAnsi="Arial"/>
          <w:sz w:val="17"/>
          <w:szCs w:val="17"/>
          <w:u w:val="single" w:color="auto"/>
          <w:color w:val="auto"/>
        </w:rPr>
        <w:t>Annex III</w:t>
      </w:r>
      <w:r>
        <w:rPr>
          <w:rFonts w:ascii="Arial" w:cs="Arial" w:eastAsia="Arial" w:hAnsi="Arial"/>
          <w:sz w:val="17"/>
          <w:szCs w:val="17"/>
          <w:color w:val="auto"/>
        </w:rPr>
        <w:t>; or</w:t>
      </w:r>
    </w:p>
    <w:p>
      <w:pPr>
        <w:spacing w:after="0" w:line="202" w:lineRule="exact"/>
        <w:rPr>
          <w:rFonts w:ascii="Arial" w:cs="Arial" w:eastAsia="Arial" w:hAnsi="Arial"/>
          <w:sz w:val="17"/>
          <w:szCs w:val="17"/>
          <w:color w:val="010000"/>
        </w:rPr>
      </w:pPr>
    </w:p>
    <w:p>
      <w:pPr>
        <w:jc w:val="both"/>
        <w:ind w:firstLine="1792"/>
        <w:spacing w:after="0" w:line="251" w:lineRule="auto"/>
        <w:tabs>
          <w:tab w:leader="none" w:pos="2348" w:val="left"/>
        </w:tabs>
        <w:numPr>
          <w:ilvl w:val="1"/>
          <w:numId w:val="73"/>
        </w:numPr>
        <w:rPr>
          <w:rFonts w:ascii="Arial" w:cs="Arial" w:eastAsia="Arial" w:hAnsi="Arial"/>
          <w:sz w:val="17"/>
          <w:szCs w:val="17"/>
          <w:color w:val="010000"/>
        </w:rPr>
      </w:pPr>
      <w:r>
        <w:rPr>
          <w:rFonts w:ascii="Arial" w:cs="Arial" w:eastAsia="Arial" w:hAnsi="Arial"/>
          <w:sz w:val="17"/>
          <w:szCs w:val="17"/>
          <w:color w:val="auto"/>
        </w:rPr>
        <w:t xml:space="preserve">pay, or cause to be paid, to each Founder, an amount in cash equal to equal to (A) the number of shares specified on </w:t>
      </w:r>
      <w:r>
        <w:rPr>
          <w:rFonts w:ascii="Arial" w:cs="Arial" w:eastAsia="Arial" w:hAnsi="Arial"/>
          <w:sz w:val="17"/>
          <w:szCs w:val="17"/>
          <w:u w:val="single" w:color="auto"/>
          <w:color w:val="auto"/>
        </w:rPr>
        <w:t>Annex III</w:t>
      </w:r>
      <w:r>
        <w:rPr>
          <w:rFonts w:ascii="Arial" w:cs="Arial" w:eastAsia="Arial" w:hAnsi="Arial"/>
          <w:sz w:val="17"/>
          <w:szCs w:val="17"/>
          <w:color w:val="auto"/>
        </w:rPr>
        <w:t xml:space="preserve"> hereto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the volume weighted average closing price of the Common Stock on NASDAQ for the 20 trading days prior to the Founders Earnout Calculation Delivery Date (the “</w:t>
      </w:r>
      <w:r>
        <w:rPr>
          <w:rFonts w:ascii="Arial" w:cs="Arial" w:eastAsia="Arial" w:hAnsi="Arial"/>
          <w:sz w:val="17"/>
          <w:szCs w:val="17"/>
          <w:u w:val="single" w:color="auto"/>
          <w:color w:val="auto"/>
        </w:rPr>
        <w:t>VWAP</w:t>
      </w:r>
      <w:r>
        <w:rPr>
          <w:rFonts w:ascii="Arial" w:cs="Arial" w:eastAsia="Arial" w:hAnsi="Arial"/>
          <w:sz w:val="17"/>
          <w:szCs w:val="17"/>
          <w:color w:val="auto"/>
        </w:rPr>
        <w:t xml:space="preserve">”) and any such payment or issuance pursuant to this </w:t>
      </w:r>
      <w:r>
        <w:rPr>
          <w:rFonts w:ascii="Arial" w:cs="Arial" w:eastAsia="Arial" w:hAnsi="Arial"/>
          <w:sz w:val="17"/>
          <w:szCs w:val="17"/>
          <w:u w:val="single" w:color="auto"/>
          <w:color w:val="auto"/>
        </w:rPr>
        <w:t>Section 2.06(b)</w:t>
      </w:r>
      <w:r>
        <w:rPr>
          <w:rFonts w:ascii="Arial" w:cs="Arial" w:eastAsia="Arial" w:hAnsi="Arial"/>
          <w:sz w:val="17"/>
          <w:szCs w:val="17"/>
          <w:color w:val="auto"/>
        </w:rPr>
        <w:t>, (the “</w:t>
      </w:r>
      <w:r>
        <w:rPr>
          <w:rFonts w:ascii="Arial" w:cs="Arial" w:eastAsia="Arial" w:hAnsi="Arial"/>
          <w:sz w:val="17"/>
          <w:szCs w:val="17"/>
          <w:u w:val="single" w:color="auto"/>
          <w:color w:val="auto"/>
        </w:rPr>
        <w:t>Founders Earnout Payment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Founders shall only be entitled to one Founders Earnout Payment.</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84" w:name="page85"/>
    <w:bookmarkEnd w:id="84"/>
    <w:p>
      <w:pPr>
        <w:jc w:val="both"/>
        <w:ind w:firstLine="1195"/>
        <w:spacing w:after="0" w:line="248" w:lineRule="auto"/>
        <w:tabs>
          <w:tab w:leader="none" w:pos="1869"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On or before the date which is 120 days after the last day of each fiscal year during the period commencing on the date hereof and ending on December 31, 2020 (a “</w:t>
      </w:r>
      <w:r>
        <w:rPr>
          <w:rFonts w:ascii="Arial" w:cs="Arial" w:eastAsia="Arial" w:hAnsi="Arial"/>
          <w:sz w:val="17"/>
          <w:szCs w:val="17"/>
          <w:u w:val="single" w:color="auto"/>
          <w:color w:val="auto"/>
        </w:rPr>
        <w:t>Founders Earnout Calculation Delivery Date</w:t>
      </w:r>
      <w:r>
        <w:rPr>
          <w:rFonts w:ascii="Arial" w:cs="Arial" w:eastAsia="Arial" w:hAnsi="Arial"/>
          <w:sz w:val="17"/>
          <w:szCs w:val="17"/>
          <w:color w:val="auto"/>
        </w:rPr>
        <w:t xml:space="preserve">”), Buyer shall prepare and deliver to Founders a written statement setting forth in reasonable detail (i) Buyer’s calculation of Adjusted EBITDA for such fiscal year; (ii) Buyer’s conclusion as to whether any Equity Securities may be issued pursuant to and in accordance with the Buyer Incentive Plan in respect of such fiscal year; and (iii) if the Founders Earnout Payment is owed in respect of such fiscal year, (A) Buyer’s election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2.06(b)</w:t>
      </w:r>
      <w:r>
        <w:rPr>
          <w:rFonts w:ascii="Arial" w:cs="Arial" w:eastAsia="Arial" w:hAnsi="Arial"/>
          <w:sz w:val="17"/>
          <w:szCs w:val="17"/>
          <w:color w:val="auto"/>
        </w:rPr>
        <w:t xml:space="preserve"> and (B) Buyer’s calculation of the VWAP, if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Buyer’s obligations under this </w:t>
      </w:r>
      <w:r>
        <w:rPr>
          <w:rFonts w:ascii="Arial" w:cs="Arial" w:eastAsia="Arial" w:hAnsi="Arial"/>
          <w:sz w:val="17"/>
          <w:szCs w:val="17"/>
          <w:u w:val="single" w:color="auto"/>
          <w:color w:val="auto"/>
        </w:rPr>
        <w:t>Section 2.06(c)</w:t>
      </w:r>
      <w:r>
        <w:rPr>
          <w:rFonts w:ascii="Arial" w:cs="Arial" w:eastAsia="Arial" w:hAnsi="Arial"/>
          <w:sz w:val="17"/>
          <w:szCs w:val="17"/>
          <w:color w:val="auto"/>
        </w:rPr>
        <w:t xml:space="preserve"> shall terminate upon payment of the Founders Earnout Payment.</w:t>
      </w:r>
    </w:p>
    <w:p>
      <w:pPr>
        <w:spacing w:after="0" w:line="182" w:lineRule="exact"/>
        <w:rPr>
          <w:rFonts w:ascii="Arial" w:cs="Arial" w:eastAsia="Arial" w:hAnsi="Arial"/>
          <w:sz w:val="17"/>
          <w:szCs w:val="17"/>
          <w:color w:val="010000"/>
        </w:rPr>
      </w:pPr>
    </w:p>
    <w:p>
      <w:pPr>
        <w:ind w:firstLine="1195"/>
        <w:spacing w:after="0" w:line="264" w:lineRule="auto"/>
        <w:tabs>
          <w:tab w:leader="none" w:pos="1803"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 xml:space="preserve">If the Founders Earnout Payment is required to be made by Buyer pursuant to </w:t>
      </w:r>
      <w:r>
        <w:rPr>
          <w:rFonts w:ascii="Arial" w:cs="Arial" w:eastAsia="Arial" w:hAnsi="Arial"/>
          <w:sz w:val="17"/>
          <w:szCs w:val="17"/>
          <w:u w:val="single" w:color="auto"/>
          <w:color w:val="auto"/>
        </w:rPr>
        <w:t>Section 2.06(b)</w:t>
      </w:r>
      <w:r>
        <w:rPr>
          <w:rFonts w:ascii="Arial" w:cs="Arial" w:eastAsia="Arial" w:hAnsi="Arial"/>
          <w:sz w:val="17"/>
          <w:szCs w:val="17"/>
          <w:color w:val="auto"/>
        </w:rPr>
        <w:t>, such Founders Earnout Payment shall be made no later than 15 Business Days of the applicable Founders Earnout Calculation Delivery Date.</w:t>
      </w:r>
    </w:p>
    <w:p>
      <w:pPr>
        <w:spacing w:after="0" w:line="167" w:lineRule="exact"/>
        <w:rPr>
          <w:rFonts w:ascii="Arial" w:cs="Arial" w:eastAsia="Arial" w:hAnsi="Arial"/>
          <w:sz w:val="17"/>
          <w:szCs w:val="17"/>
          <w:color w:val="010000"/>
        </w:rPr>
      </w:pPr>
    </w:p>
    <w:p>
      <w:pPr>
        <w:jc w:val="both"/>
        <w:ind w:firstLine="1195"/>
        <w:spacing w:after="0" w:line="251" w:lineRule="auto"/>
        <w:tabs>
          <w:tab w:leader="none" w:pos="1968"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Notwithstanding any other provision of this Agreement to the contrary, Buyer shall be entitled to deduct and withhold from the Founders Earnout Payment such amounts as it is required to deduct and withhold with respect to such Founders Earnout Payment under any provision of U.S. federal, state, local, or non-U.S. tax law. Any amounts so deducted and withheld shall be treated for all purposes of this Agreement as having been paid to the Person in respect of which such deduction and withholding was made.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III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REPRESENTATIONS AND WARRANTIES OF FOUNDERS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 xml:space="preserve">Founders represent and warrant to Priority that all of the statements contained in this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are true as of the date hereof and as of the Effective Time.</w:t>
      </w:r>
    </w:p>
    <w:p>
      <w:pPr>
        <w:spacing w:after="0" w:line="226" w:lineRule="exact"/>
        <w:rPr>
          <w:sz w:val="20"/>
          <w:szCs w:val="20"/>
          <w:color w:val="auto"/>
        </w:rPr>
      </w:pPr>
    </w:p>
    <w:p>
      <w:pPr>
        <w:jc w:val="both"/>
        <w:ind w:firstLine="1195"/>
        <w:spacing w:after="0" w:line="290" w:lineRule="auto"/>
        <w:rPr>
          <w:sz w:val="20"/>
          <w:szCs w:val="20"/>
          <w:color w:val="auto"/>
        </w:rPr>
      </w:pPr>
      <w:r>
        <w:rPr>
          <w:rFonts w:ascii="Arial" w:cs="Arial" w:eastAsia="Arial" w:hAnsi="Arial"/>
          <w:sz w:val="15"/>
          <w:szCs w:val="15"/>
          <w:color w:val="010000"/>
        </w:rPr>
        <w:t xml:space="preserve">Section 3.01 </w:t>
      </w:r>
      <w:r>
        <w:rPr>
          <w:rFonts w:ascii="Arial" w:cs="Arial" w:eastAsia="Arial" w:hAnsi="Arial"/>
          <w:sz w:val="15"/>
          <w:szCs w:val="15"/>
          <w:u w:val="single" w:color="auto"/>
          <w:color w:val="000000"/>
        </w:rPr>
        <w:t>Organization and Good Standing</w:t>
      </w:r>
      <w:r>
        <w:rPr>
          <w:rFonts w:ascii="Arial" w:cs="Arial" w:eastAsia="Arial" w:hAnsi="Arial"/>
          <w:sz w:val="15"/>
          <w:szCs w:val="15"/>
          <w:color w:val="000000"/>
        </w:rPr>
        <w:t>. Each Founder is a legal entity validly existing and in good standing under the laws of the jurisdiction of</w:t>
      </w:r>
      <w:r>
        <w:rPr>
          <w:rFonts w:ascii="Arial" w:cs="Arial" w:eastAsia="Arial" w:hAnsi="Arial"/>
          <w:sz w:val="15"/>
          <w:szCs w:val="15"/>
          <w:color w:val="010000"/>
        </w:rPr>
        <w:t xml:space="preserve"> </w:t>
      </w:r>
      <w:r>
        <w:rPr>
          <w:rFonts w:ascii="Arial" w:cs="Arial" w:eastAsia="Arial" w:hAnsi="Arial"/>
          <w:sz w:val="15"/>
          <w:szCs w:val="15"/>
          <w:color w:val="000000"/>
        </w:rPr>
        <w:t>its formation and has all requisite power and authority to own, lease and operate its properties and to carry on its business in all material respects as is now being conducted. Each Founder is duly qualified or licensed and (if applicable) in good standing to do business in each jurisdiction in which the property owned, leased or operated by it or the nature of the business conducted by it makes such qualification or licensing necessary, except in such jurisdictions where the failure to be so duly qualified or licensed and in good standing would not reasonably be expected to have, individually or in the aggregate, a Founder Material Adverse Effect.</w:t>
      </w:r>
    </w:p>
    <w:p>
      <w:pPr>
        <w:spacing w:after="0" w:line="153" w:lineRule="exact"/>
        <w:rPr>
          <w:sz w:val="20"/>
          <w:szCs w:val="20"/>
          <w:color w:val="auto"/>
        </w:rPr>
      </w:pPr>
    </w:p>
    <w:p>
      <w:pPr>
        <w:jc w:val="both"/>
        <w:ind w:firstLine="1195"/>
        <w:spacing w:after="0" w:line="265" w:lineRule="auto"/>
        <w:rPr>
          <w:sz w:val="20"/>
          <w:szCs w:val="20"/>
          <w:color w:val="auto"/>
        </w:rPr>
      </w:pPr>
      <w:r>
        <w:rPr>
          <w:rFonts w:ascii="Arial" w:cs="Arial" w:eastAsia="Arial" w:hAnsi="Arial"/>
          <w:sz w:val="16"/>
          <w:szCs w:val="16"/>
          <w:color w:val="010000"/>
        </w:rPr>
        <w:t xml:space="preserve">Section 3.02 </w:t>
      </w:r>
      <w:r>
        <w:rPr>
          <w:rFonts w:ascii="Arial" w:cs="Arial" w:eastAsia="Arial" w:hAnsi="Arial"/>
          <w:sz w:val="16"/>
          <w:szCs w:val="16"/>
          <w:u w:val="single" w:color="auto"/>
          <w:color w:val="000000"/>
        </w:rPr>
        <w:t>Authorization; Validity of Agreements</w:t>
      </w:r>
      <w:r>
        <w:rPr>
          <w:rFonts w:ascii="Arial" w:cs="Arial" w:eastAsia="Arial" w:hAnsi="Arial"/>
          <w:sz w:val="16"/>
          <w:szCs w:val="16"/>
          <w:color w:val="000000"/>
        </w:rPr>
        <w:t>. Each Founder and Buyer has the requisite power and authority to execute and deliver, and</w:t>
      </w:r>
      <w:r>
        <w:rPr>
          <w:rFonts w:ascii="Arial" w:cs="Arial" w:eastAsia="Arial" w:hAnsi="Arial"/>
          <w:sz w:val="16"/>
          <w:szCs w:val="16"/>
          <w:color w:val="010000"/>
        </w:rPr>
        <w:t xml:space="preserve"> </w:t>
      </w:r>
      <w:r>
        <w:rPr>
          <w:rFonts w:ascii="Arial" w:cs="Arial" w:eastAsia="Arial" w:hAnsi="Arial"/>
          <w:sz w:val="16"/>
          <w:szCs w:val="16"/>
          <w:color w:val="000000"/>
        </w:rPr>
        <w:t>perform its obligations under this Agreement and to consummate the transactions contemplated hereby. The execution, delivery and performance by each Founder and Buyer of this Agreement, and the consummation by such Founder and Buyer of the transactions contemplated hereby, have been duly authorized by such Founder and Buyer, and no other company proceedings on the part of such Founder or Buyer are necessary to authorize such Founder’s or Buyer’s execution, delivery and performance of this Agreement or the consummation by such Founder or Buyer of the transactions contemplated hereby. This Agreement has been duly executed and delivered by each Founder and Buyer. Assuming the due and valid authorization, execution and delivery of this Agreement by the other Parties hereto, this Agreement constitutes a legal, valid and binding obligation of each Founder and Buyer, enforceable against such Founder and Buyer in accordance with its terms, subject to the Bankruptcy and Equity Exclusion.</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85" w:name="page86"/>
    <w:bookmarkEnd w:id="85"/>
    <w:p>
      <w:pPr>
        <w:jc w:val="both"/>
        <w:ind w:firstLine="1195"/>
        <w:spacing w:after="0" w:line="284" w:lineRule="auto"/>
        <w:rPr>
          <w:sz w:val="20"/>
          <w:szCs w:val="20"/>
          <w:color w:val="auto"/>
        </w:rPr>
      </w:pPr>
      <w:r>
        <w:rPr>
          <w:rFonts w:ascii="Arial" w:cs="Arial" w:eastAsia="Arial" w:hAnsi="Arial"/>
          <w:sz w:val="15"/>
          <w:szCs w:val="15"/>
          <w:color w:val="010000"/>
        </w:rPr>
        <w:t xml:space="preserve">Section 3.03 </w:t>
      </w:r>
      <w:r>
        <w:rPr>
          <w:rFonts w:ascii="Arial" w:cs="Arial" w:eastAsia="Arial" w:hAnsi="Arial"/>
          <w:sz w:val="15"/>
          <w:szCs w:val="15"/>
          <w:u w:val="single" w:color="auto"/>
          <w:color w:val="000000"/>
        </w:rPr>
        <w:t>Consents and Approvals; No Violations</w:t>
      </w:r>
      <w:r>
        <w:rPr>
          <w:rFonts w:ascii="Arial" w:cs="Arial" w:eastAsia="Arial" w:hAnsi="Arial"/>
          <w:sz w:val="15"/>
          <w:szCs w:val="15"/>
          <w:color w:val="000000"/>
        </w:rPr>
        <w:t>. Neither the execution, delivery or performance by each Founder of this Agreement, nor the</w:t>
      </w:r>
      <w:r>
        <w:rPr>
          <w:rFonts w:ascii="Arial" w:cs="Arial" w:eastAsia="Arial" w:hAnsi="Arial"/>
          <w:sz w:val="15"/>
          <w:szCs w:val="15"/>
          <w:color w:val="010000"/>
        </w:rPr>
        <w:t xml:space="preserve"> </w:t>
      </w:r>
      <w:r>
        <w:rPr>
          <w:rFonts w:ascii="Arial" w:cs="Arial" w:eastAsia="Arial" w:hAnsi="Arial"/>
          <w:sz w:val="15"/>
          <w:szCs w:val="15"/>
          <w:color w:val="000000"/>
        </w:rPr>
        <w:t xml:space="preserve">consummation by such Founder or Buyer of the transactions contemplated hereby, will (a) conflict with or violate any provision of any Organizational Documents of any Founder or Buyer; (b) result in a breach of, or constitute (with or without due notice or lapse of time or both) a default or give rise to any right of termination, cancellation or acceleration under, any of the terms, conditions or provisions of any Contract to which any Founder or Buyer is a party or by which any Founder or Buyer or any of its properties or assets may be bound; (c) violate any Laws applicable to any Founder or Buyer or any of the properties or assets of any Founder or Buyer; (d) require on the part of any Founder or Buyer any filing or registration with, notification to, or authorization, consent or approval of, any Governmental Authority; or (e) result in the creation or imposition of any Lien (other than Permitted Liens) on any assets or properties of any Founder or Buyer, except, in the cases of clauses (b) through (e) of this </w:t>
      </w:r>
      <w:r>
        <w:rPr>
          <w:rFonts w:ascii="Arial" w:cs="Arial" w:eastAsia="Arial" w:hAnsi="Arial"/>
          <w:sz w:val="15"/>
          <w:szCs w:val="15"/>
          <w:u w:val="single" w:color="auto"/>
          <w:color w:val="000000"/>
        </w:rPr>
        <w:t>Section 3.03</w:t>
      </w:r>
      <w:r>
        <w:rPr>
          <w:rFonts w:ascii="Arial" w:cs="Arial" w:eastAsia="Arial" w:hAnsi="Arial"/>
          <w:sz w:val="15"/>
          <w:szCs w:val="15"/>
          <w:color w:val="000000"/>
        </w:rPr>
        <w:t>, as would not reasonably be expected to have, individually or in the aggregate, a Founder Material Adverse Effect.</w:t>
      </w:r>
    </w:p>
    <w:p>
      <w:pPr>
        <w:spacing w:after="0" w:line="160" w:lineRule="exact"/>
        <w:rPr>
          <w:sz w:val="20"/>
          <w:szCs w:val="20"/>
          <w:color w:val="auto"/>
        </w:rPr>
      </w:pPr>
    </w:p>
    <w:p>
      <w:pPr>
        <w:ind w:left="1200"/>
        <w:spacing w:after="0"/>
        <w:tabs>
          <w:tab w:leader="none" w:pos="2260" w:val="left"/>
        </w:tabs>
        <w:rPr>
          <w:sz w:val="20"/>
          <w:szCs w:val="20"/>
          <w:color w:val="auto"/>
        </w:rPr>
      </w:pPr>
      <w:r>
        <w:rPr>
          <w:rFonts w:ascii="Arial" w:cs="Arial" w:eastAsia="Arial" w:hAnsi="Arial"/>
          <w:sz w:val="17"/>
          <w:szCs w:val="17"/>
          <w:color w:val="010000"/>
        </w:rPr>
        <w:t>Section 3.04</w:t>
      </w:r>
      <w:r>
        <w:rPr>
          <w:sz w:val="20"/>
          <w:szCs w:val="20"/>
          <w:color w:val="auto"/>
        </w:rPr>
        <w:tab/>
      </w:r>
      <w:r>
        <w:rPr>
          <w:rFonts w:ascii="Arial" w:cs="Arial" w:eastAsia="Arial" w:hAnsi="Arial"/>
          <w:sz w:val="15"/>
          <w:szCs w:val="15"/>
          <w:u w:val="single" w:color="auto"/>
          <w:color w:val="auto"/>
        </w:rPr>
        <w:t>Ownership</w:t>
      </w:r>
      <w:r>
        <w:rPr>
          <w:rFonts w:ascii="Arial" w:cs="Arial" w:eastAsia="Arial" w:hAnsi="Arial"/>
          <w:sz w:val="15"/>
          <w:szCs w:val="15"/>
          <w:color w:val="auto"/>
        </w:rPr>
        <w:t>.</w:t>
      </w:r>
    </w:p>
    <w:p>
      <w:pPr>
        <w:spacing w:after="0" w:line="203" w:lineRule="exact"/>
        <w:rPr>
          <w:sz w:val="20"/>
          <w:szCs w:val="20"/>
          <w:color w:val="auto"/>
        </w:rPr>
      </w:pPr>
    </w:p>
    <w:p>
      <w:pPr>
        <w:jc w:val="both"/>
        <w:ind w:firstLine="1195"/>
        <w:spacing w:after="0" w:line="268" w:lineRule="auto"/>
        <w:tabs>
          <w:tab w:leader="none" w:pos="1794" w:val="left"/>
        </w:tabs>
        <w:numPr>
          <w:ilvl w:val="0"/>
          <w:numId w:val="75"/>
        </w:numPr>
        <w:rPr>
          <w:rFonts w:ascii="Arial" w:cs="Arial" w:eastAsia="Arial" w:hAnsi="Arial"/>
          <w:sz w:val="16"/>
          <w:szCs w:val="16"/>
          <w:color w:val="010000"/>
        </w:rPr>
      </w:pPr>
      <w:r>
        <w:rPr>
          <w:rFonts w:ascii="Arial" w:cs="Arial" w:eastAsia="Arial" w:hAnsi="Arial"/>
          <w:sz w:val="16"/>
          <w:szCs w:val="16"/>
          <w:color w:val="auto"/>
        </w:rPr>
        <w:t>Except for (i) this Agreement and the other Transaction Documents and (ii) the Organizational Documents of Founders and Buyer, neither Buyer nor any Founder has (A) granted any outstanding options, warrants, rights or other securities convertible into, or exchangeable or exercisable for, any Equity Interests of Buyer; (B) entered into any Contracts relating to the issuance, sale, transfer, voting or registration of any Equity Interests of Buyer, or options, warrants, rights or other securities convertible into, or exchangeable or exercisable for, any of the foregoing; or (C) granted or authorized any stock appreciation, phantom stock, profit participation or similar rights (in each case as to which Buyer has any outstanding liabilities or obligations).</w:t>
      </w:r>
    </w:p>
    <w:p>
      <w:pPr>
        <w:spacing w:after="0" w:line="167" w:lineRule="exact"/>
        <w:rPr>
          <w:rFonts w:ascii="Arial" w:cs="Arial" w:eastAsia="Arial" w:hAnsi="Arial"/>
          <w:sz w:val="16"/>
          <w:szCs w:val="16"/>
          <w:color w:val="010000"/>
        </w:rPr>
      </w:pPr>
    </w:p>
    <w:p>
      <w:pPr>
        <w:jc w:val="both"/>
        <w:ind w:firstLine="1195"/>
        <w:spacing w:after="0" w:line="254" w:lineRule="auto"/>
        <w:tabs>
          <w:tab w:leader="none" w:pos="1940" w:val="left"/>
        </w:tabs>
        <w:numPr>
          <w:ilvl w:val="0"/>
          <w:numId w:val="75"/>
        </w:numPr>
        <w:rPr>
          <w:rFonts w:ascii="Arial" w:cs="Arial" w:eastAsia="Arial" w:hAnsi="Arial"/>
          <w:sz w:val="17"/>
          <w:szCs w:val="17"/>
          <w:color w:val="010000"/>
        </w:rPr>
      </w:pPr>
      <w:r>
        <w:rPr>
          <w:rFonts w:ascii="Arial" w:cs="Arial" w:eastAsia="Arial" w:hAnsi="Arial"/>
          <w:sz w:val="17"/>
          <w:szCs w:val="17"/>
          <w:color w:val="auto"/>
        </w:rPr>
        <w:t xml:space="preserve">Each Founder is the holder of the Acquired SPAC Interests set forth across such Founder’s name on </w:t>
      </w:r>
      <w:r>
        <w:rPr>
          <w:rFonts w:ascii="Arial" w:cs="Arial" w:eastAsia="Arial" w:hAnsi="Arial"/>
          <w:sz w:val="17"/>
          <w:szCs w:val="17"/>
          <w:u w:val="single" w:color="auto"/>
          <w:color w:val="auto"/>
        </w:rPr>
        <w:t>Annex III</w:t>
      </w:r>
      <w:r>
        <w:rPr>
          <w:rFonts w:ascii="Arial" w:cs="Arial" w:eastAsia="Arial" w:hAnsi="Arial"/>
          <w:sz w:val="17"/>
          <w:szCs w:val="17"/>
          <w:color w:val="auto"/>
        </w:rPr>
        <w:t xml:space="preserve"> attached hereto, and, at the Closing, assuming the performance by Priority of its obligations under </w:t>
      </w:r>
      <w:r>
        <w:rPr>
          <w:rFonts w:ascii="Arial" w:cs="Arial" w:eastAsia="Arial" w:hAnsi="Arial"/>
          <w:sz w:val="17"/>
          <w:szCs w:val="17"/>
          <w:u w:val="single" w:color="auto"/>
          <w:color w:val="auto"/>
        </w:rPr>
        <w:t>Section 2.05(a)</w:t>
      </w:r>
      <w:r>
        <w:rPr>
          <w:rFonts w:ascii="Arial" w:cs="Arial" w:eastAsia="Arial" w:hAnsi="Arial"/>
          <w:sz w:val="17"/>
          <w:szCs w:val="17"/>
          <w:color w:val="auto"/>
        </w:rPr>
        <w:t>, the Acquired SPAC Interests will be free and clear of all Liens (other than Permitted Liens).</w:t>
      </w:r>
    </w:p>
    <w:p>
      <w:pPr>
        <w:spacing w:after="0" w:line="176"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3.05 </w:t>
      </w:r>
      <w:r>
        <w:rPr>
          <w:rFonts w:ascii="Arial" w:cs="Arial" w:eastAsia="Arial" w:hAnsi="Arial"/>
          <w:sz w:val="17"/>
          <w:szCs w:val="17"/>
          <w:u w:val="single" w:color="auto"/>
          <w:color w:val="000000"/>
        </w:rPr>
        <w:t>Proceedings; Orders</w:t>
      </w:r>
      <w:r>
        <w:rPr>
          <w:rFonts w:ascii="Arial" w:cs="Arial" w:eastAsia="Arial" w:hAnsi="Arial"/>
          <w:sz w:val="17"/>
          <w:szCs w:val="17"/>
          <w:color w:val="000000"/>
        </w:rPr>
        <w:t>. There are no Proceedings pending or, to the Knowledge of Founders, threatened, against any Founder, nor are there</w:t>
      </w:r>
      <w:r>
        <w:rPr>
          <w:rFonts w:ascii="Arial" w:cs="Arial" w:eastAsia="Arial" w:hAnsi="Arial"/>
          <w:sz w:val="17"/>
          <w:szCs w:val="17"/>
          <w:color w:val="010000"/>
        </w:rPr>
        <w:t xml:space="preserve"> </w:t>
      </w:r>
      <w:r>
        <w:rPr>
          <w:rFonts w:ascii="Arial" w:cs="Arial" w:eastAsia="Arial" w:hAnsi="Arial"/>
          <w:sz w:val="17"/>
          <w:szCs w:val="17"/>
          <w:color w:val="000000"/>
        </w:rPr>
        <w:t>any Orders naming any Founder, or by which any Founder is bound, which remain outstanding or unsatisfied, except, in each case, as would not reasonably be expected to have, individually or in the aggregate, a Founders Material Adverse Effect.</w:t>
      </w:r>
    </w:p>
    <w:p>
      <w:pPr>
        <w:spacing w:after="0" w:line="176" w:lineRule="exact"/>
        <w:rPr>
          <w:sz w:val="20"/>
          <w:szCs w:val="20"/>
          <w:color w:val="auto"/>
        </w:rPr>
      </w:pPr>
    </w:p>
    <w:p>
      <w:pPr>
        <w:jc w:val="both"/>
        <w:ind w:firstLine="1195"/>
        <w:spacing w:after="0" w:line="296" w:lineRule="auto"/>
        <w:rPr>
          <w:sz w:val="20"/>
          <w:szCs w:val="20"/>
          <w:color w:val="auto"/>
        </w:rPr>
      </w:pPr>
      <w:r>
        <w:rPr>
          <w:rFonts w:ascii="Arial" w:cs="Arial" w:eastAsia="Arial" w:hAnsi="Arial"/>
          <w:sz w:val="16"/>
          <w:szCs w:val="16"/>
          <w:color w:val="010000"/>
        </w:rPr>
        <w:t xml:space="preserve">Section 3.06 </w:t>
      </w:r>
      <w:r>
        <w:rPr>
          <w:rFonts w:ascii="Arial" w:cs="Arial" w:eastAsia="Arial" w:hAnsi="Arial"/>
          <w:sz w:val="16"/>
          <w:szCs w:val="16"/>
          <w:u w:val="single" w:color="auto"/>
          <w:color w:val="000000"/>
        </w:rPr>
        <w:t>Brokers or Finders</w:t>
      </w:r>
      <w:r>
        <w:rPr>
          <w:rFonts w:ascii="Arial" w:cs="Arial" w:eastAsia="Arial" w:hAnsi="Arial"/>
          <w:sz w:val="16"/>
          <w:szCs w:val="16"/>
          <w:color w:val="000000"/>
        </w:rPr>
        <w:t>. There is no investment banker, broker, finder or other intermediary that has been retained by or is authorized to act on</w:t>
      </w:r>
      <w:r>
        <w:rPr>
          <w:rFonts w:ascii="Arial" w:cs="Arial" w:eastAsia="Arial" w:hAnsi="Arial"/>
          <w:sz w:val="16"/>
          <w:szCs w:val="16"/>
          <w:color w:val="010000"/>
        </w:rPr>
        <w:t xml:space="preserve"> </w:t>
      </w:r>
      <w:r>
        <w:rPr>
          <w:rFonts w:ascii="Arial" w:cs="Arial" w:eastAsia="Arial" w:hAnsi="Arial"/>
          <w:sz w:val="16"/>
          <w:szCs w:val="16"/>
          <w:color w:val="000000"/>
        </w:rPr>
        <w:t>behalf of Founders or Buyer who might be entitled to any fee or commission in connection with the transactions contemplated hereby.</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7"/>
          <w:szCs w:val="17"/>
          <w:color w:val="010000"/>
        </w:rPr>
        <w:t>ARTICLE IV</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REPRESENTATIONS AND WARRANTIES OF PRIORITY</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Priority represents and warrants to Founders that all of the statements contained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true as of the date hereof.</w:t>
      </w:r>
    </w:p>
    <w:p>
      <w:pPr>
        <w:spacing w:after="0" w:line="203" w:lineRule="exact"/>
        <w:rPr>
          <w:sz w:val="20"/>
          <w:szCs w:val="20"/>
          <w:color w:val="auto"/>
        </w:rPr>
      </w:pPr>
    </w:p>
    <w:p>
      <w:pPr>
        <w:jc w:val="both"/>
        <w:ind w:firstLine="1195"/>
        <w:spacing w:after="0" w:line="249" w:lineRule="auto"/>
        <w:rPr>
          <w:sz w:val="20"/>
          <w:szCs w:val="20"/>
          <w:color w:val="auto"/>
        </w:rPr>
      </w:pPr>
      <w:r>
        <w:rPr>
          <w:rFonts w:ascii="Arial" w:cs="Arial" w:eastAsia="Arial" w:hAnsi="Arial"/>
          <w:sz w:val="17"/>
          <w:szCs w:val="17"/>
          <w:color w:val="010000"/>
        </w:rPr>
        <w:t xml:space="preserve">Section 4.01 </w:t>
      </w:r>
      <w:r>
        <w:rPr>
          <w:rFonts w:ascii="Arial" w:cs="Arial" w:eastAsia="Arial" w:hAnsi="Arial"/>
          <w:sz w:val="17"/>
          <w:szCs w:val="17"/>
          <w:u w:val="single" w:color="auto"/>
          <w:color w:val="000000"/>
        </w:rPr>
        <w:t>Organization and Good Standing</w:t>
      </w:r>
      <w:r>
        <w:rPr>
          <w:rFonts w:ascii="Arial" w:cs="Arial" w:eastAsia="Arial" w:hAnsi="Arial"/>
          <w:sz w:val="17"/>
          <w:szCs w:val="17"/>
          <w:color w:val="000000"/>
        </w:rPr>
        <w:t>. Priority is a Delaware limited liability company validly existing and in good standing under the laws of</w:t>
      </w:r>
      <w:r>
        <w:rPr>
          <w:rFonts w:ascii="Arial" w:cs="Arial" w:eastAsia="Arial" w:hAnsi="Arial"/>
          <w:sz w:val="17"/>
          <w:szCs w:val="17"/>
          <w:color w:val="010000"/>
        </w:rPr>
        <w:t xml:space="preserve"> </w:t>
      </w:r>
      <w:r>
        <w:rPr>
          <w:rFonts w:ascii="Arial" w:cs="Arial" w:eastAsia="Arial" w:hAnsi="Arial"/>
          <w:sz w:val="17"/>
          <w:szCs w:val="17"/>
          <w:color w:val="000000"/>
        </w:rPr>
        <w:t>the jurisdiction of its formation and has all requisite company power and authority to own, lease and operate its properties and to carry on its business as is now being conducted. Priority is duly qualified or licensed and in good standing to do business as a foreign limited liability company in each jurisdiction where such qualification is necessary, except for those jurisdictions where failure to be so qualified would not reasonably be expected to have, individually or in the aggregate, a Priority Material Adverse Effect.</w:t>
      </w:r>
    </w:p>
    <w:p>
      <w:pPr>
        <w:spacing w:after="0" w:line="181" w:lineRule="exact"/>
        <w:rPr>
          <w:sz w:val="20"/>
          <w:szCs w:val="20"/>
          <w:color w:val="auto"/>
        </w:rPr>
      </w:pPr>
    </w:p>
    <w:p>
      <w:pPr>
        <w:jc w:val="both"/>
        <w:ind w:firstLine="1195"/>
        <w:spacing w:after="0" w:line="247" w:lineRule="auto"/>
        <w:rPr>
          <w:sz w:val="20"/>
          <w:szCs w:val="20"/>
          <w:color w:val="auto"/>
        </w:rPr>
      </w:pPr>
      <w:r>
        <w:rPr>
          <w:rFonts w:ascii="Arial" w:cs="Arial" w:eastAsia="Arial" w:hAnsi="Arial"/>
          <w:sz w:val="17"/>
          <w:szCs w:val="17"/>
          <w:color w:val="010000"/>
        </w:rPr>
        <w:t xml:space="preserve">Section 4.02 </w:t>
      </w:r>
      <w:r>
        <w:rPr>
          <w:rFonts w:ascii="Arial" w:cs="Arial" w:eastAsia="Arial" w:hAnsi="Arial"/>
          <w:sz w:val="17"/>
          <w:szCs w:val="17"/>
          <w:u w:val="single" w:color="auto"/>
          <w:color w:val="000000"/>
        </w:rPr>
        <w:t>Authorization; Validity of Agreement</w:t>
      </w:r>
      <w:r>
        <w:rPr>
          <w:rFonts w:ascii="Arial" w:cs="Arial" w:eastAsia="Arial" w:hAnsi="Arial"/>
          <w:sz w:val="17"/>
          <w:szCs w:val="17"/>
          <w:color w:val="000000"/>
        </w:rPr>
        <w:t>. Priority has the requisite company power and authority to execute and deliver, and perform its</w:t>
      </w:r>
      <w:r>
        <w:rPr>
          <w:rFonts w:ascii="Arial" w:cs="Arial" w:eastAsia="Arial" w:hAnsi="Arial"/>
          <w:sz w:val="17"/>
          <w:szCs w:val="17"/>
          <w:color w:val="010000"/>
        </w:rPr>
        <w:t xml:space="preserve"> </w:t>
      </w:r>
      <w:r>
        <w:rPr>
          <w:rFonts w:ascii="Arial" w:cs="Arial" w:eastAsia="Arial" w:hAnsi="Arial"/>
          <w:sz w:val="17"/>
          <w:szCs w:val="17"/>
          <w:color w:val="000000"/>
        </w:rPr>
        <w:t>obligations under this Agreement and to consummate the transactions contemplated hereby. The execution, delivery and performance by Priority of this Agreement, and the consummation by Priority of the transactions contemplated hereby, have been duly authorized by Priority, and no other company proceedings on the part of Priority are necessary to authorize Priority’s execution, delivery and performance of this Agreement or the consummation by Priority of the transactions contemplated hereby. This Agreement has been duly executed and delivered by Priority. Assuming the due and valid authorization, execution and delivery of this Agreement by the other Parties, this Agreement constitutes a legal, valid and binding obligation of Priority, enforceable against Priority in accordance with its terms, subject to the Bankruptcy and Equity Exclusion.</w:t>
      </w:r>
    </w:p>
    <w:p>
      <w:pPr>
        <w:spacing w:after="0" w:line="185" w:lineRule="exact"/>
        <w:rPr>
          <w:sz w:val="20"/>
          <w:szCs w:val="20"/>
          <w:color w:val="auto"/>
        </w:rPr>
      </w:pPr>
    </w:p>
    <w:p>
      <w:pPr>
        <w:jc w:val="both"/>
        <w:ind w:firstLine="1195"/>
        <w:spacing w:after="0" w:line="265" w:lineRule="auto"/>
        <w:rPr>
          <w:sz w:val="20"/>
          <w:szCs w:val="20"/>
          <w:color w:val="auto"/>
        </w:rPr>
      </w:pPr>
      <w:r>
        <w:rPr>
          <w:rFonts w:ascii="Arial" w:cs="Arial" w:eastAsia="Arial" w:hAnsi="Arial"/>
          <w:sz w:val="16"/>
          <w:szCs w:val="16"/>
          <w:color w:val="010000"/>
        </w:rPr>
        <w:t xml:space="preserve">Section 4.03 </w:t>
      </w:r>
      <w:r>
        <w:rPr>
          <w:rFonts w:ascii="Arial" w:cs="Arial" w:eastAsia="Arial" w:hAnsi="Arial"/>
          <w:sz w:val="16"/>
          <w:szCs w:val="16"/>
          <w:u w:val="single" w:color="auto"/>
          <w:color w:val="000000"/>
        </w:rPr>
        <w:t>Consents and Approvals; No Violations</w:t>
      </w:r>
      <w:r>
        <w:rPr>
          <w:rFonts w:ascii="Arial" w:cs="Arial" w:eastAsia="Arial" w:hAnsi="Arial"/>
          <w:sz w:val="16"/>
          <w:szCs w:val="16"/>
          <w:color w:val="000000"/>
        </w:rPr>
        <w:t>. Neither the execution, delivery or performance by Priority of any this Agreement, nor the</w:t>
      </w:r>
      <w:r>
        <w:rPr>
          <w:rFonts w:ascii="Arial" w:cs="Arial" w:eastAsia="Arial" w:hAnsi="Arial"/>
          <w:sz w:val="16"/>
          <w:szCs w:val="16"/>
          <w:color w:val="010000"/>
        </w:rPr>
        <w:t xml:space="preserve"> </w:t>
      </w:r>
      <w:r>
        <w:rPr>
          <w:rFonts w:ascii="Arial" w:cs="Arial" w:eastAsia="Arial" w:hAnsi="Arial"/>
          <w:sz w:val="16"/>
          <w:szCs w:val="16"/>
          <w:color w:val="000000"/>
        </w:rPr>
        <w:t xml:space="preserve">consummation by Priority of the transactions contemplated hereby, will (a) conflict with or violate any provision of any Organizational Documents of Priority, (b) result in a breach of, or constitute (with or without due notice or lapse of time or both) a default or give rise to any right of termination, cancellation or acceleration under, any of the terms, conditions or provisions of any Contract to which Priority is a party or by which Priority or any of its properties or assets may be bound, (c) violate any material Laws applicable to Priority or any of its material properties or assets, or (d) require on the part of Priority any filing or registration with, notification to, or authorization, consent or approval of, any Governmental Authority, except, in the cases of clauses (b) through (d) of this </w:t>
      </w:r>
      <w:r>
        <w:rPr>
          <w:rFonts w:ascii="Arial" w:cs="Arial" w:eastAsia="Arial" w:hAnsi="Arial"/>
          <w:sz w:val="16"/>
          <w:szCs w:val="16"/>
          <w:u w:val="single" w:color="auto"/>
          <w:color w:val="000000"/>
        </w:rPr>
        <w:t>Section 4.03</w:t>
      </w:r>
      <w:r>
        <w:rPr>
          <w:rFonts w:ascii="Arial" w:cs="Arial" w:eastAsia="Arial" w:hAnsi="Arial"/>
          <w:sz w:val="16"/>
          <w:szCs w:val="16"/>
          <w:color w:val="000000"/>
        </w:rPr>
        <w:t>, as would not reasonably be expected to have, individually or in the aggregate, a Priority Material Adverse Effect.</w:t>
      </w:r>
    </w:p>
    <w:p>
      <w:pPr>
        <w:spacing w:after="0" w:line="172"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4.04 </w:t>
      </w:r>
      <w:r>
        <w:rPr>
          <w:rFonts w:ascii="Arial" w:cs="Arial" w:eastAsia="Arial" w:hAnsi="Arial"/>
          <w:sz w:val="17"/>
          <w:szCs w:val="17"/>
          <w:u w:val="single" w:color="auto"/>
          <w:color w:val="000000"/>
        </w:rPr>
        <w:t>Proceedings; Orders</w:t>
      </w:r>
      <w:r>
        <w:rPr>
          <w:rFonts w:ascii="Arial" w:cs="Arial" w:eastAsia="Arial" w:hAnsi="Arial"/>
          <w:sz w:val="17"/>
          <w:szCs w:val="17"/>
          <w:color w:val="000000"/>
        </w:rPr>
        <w:t>. There are no Proceedings pending or, to the Knowledge of Priority, threatened, against Priority, nor are there any</w:t>
      </w:r>
      <w:r>
        <w:rPr>
          <w:rFonts w:ascii="Arial" w:cs="Arial" w:eastAsia="Arial" w:hAnsi="Arial"/>
          <w:sz w:val="17"/>
          <w:szCs w:val="17"/>
          <w:color w:val="010000"/>
        </w:rPr>
        <w:t xml:space="preserve"> </w:t>
      </w:r>
      <w:r>
        <w:rPr>
          <w:rFonts w:ascii="Arial" w:cs="Arial" w:eastAsia="Arial" w:hAnsi="Arial"/>
          <w:sz w:val="17"/>
          <w:szCs w:val="17"/>
          <w:color w:val="000000"/>
        </w:rPr>
        <w:t>Orders naming Priority, or by which Priority or any of its Subsidiaries is bound, which remain outstanding or unsatisfied, except, in each case, as would not reasonably be expected to have, individually or in the aggregate, a Priority Material Adverse Effect.</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87" w:name="page88"/>
    <w:bookmarkEnd w:id="87"/>
    <w:p>
      <w:pPr>
        <w:ind w:left="1200"/>
        <w:spacing w:after="0"/>
        <w:tabs>
          <w:tab w:leader="none" w:pos="2260" w:val="left"/>
        </w:tabs>
        <w:rPr>
          <w:sz w:val="20"/>
          <w:szCs w:val="20"/>
          <w:color w:val="auto"/>
        </w:rPr>
      </w:pPr>
      <w:r>
        <w:rPr>
          <w:rFonts w:ascii="Arial" w:cs="Arial" w:eastAsia="Arial" w:hAnsi="Arial"/>
          <w:sz w:val="17"/>
          <w:szCs w:val="17"/>
          <w:color w:val="010000"/>
        </w:rPr>
        <w:t>Section 4.05</w:t>
      </w:r>
      <w:r>
        <w:rPr>
          <w:sz w:val="20"/>
          <w:szCs w:val="20"/>
          <w:color w:val="auto"/>
        </w:rPr>
        <w:tab/>
      </w:r>
      <w:r>
        <w:rPr>
          <w:rFonts w:ascii="Arial" w:cs="Arial" w:eastAsia="Arial" w:hAnsi="Arial"/>
          <w:sz w:val="13"/>
          <w:szCs w:val="13"/>
          <w:u w:val="single" w:color="auto"/>
          <w:color w:val="auto"/>
        </w:rPr>
        <w:t>Purchase for Investment.</w:t>
      </w:r>
    </w:p>
    <w:p>
      <w:pPr>
        <w:spacing w:after="0" w:line="203" w:lineRule="exact"/>
        <w:rPr>
          <w:sz w:val="20"/>
          <w:szCs w:val="20"/>
          <w:color w:val="auto"/>
        </w:rPr>
      </w:pPr>
    </w:p>
    <w:p>
      <w:pPr>
        <w:ind w:left="1800" w:hanging="605"/>
        <w:spacing w:after="0"/>
        <w:tabs>
          <w:tab w:leader="none" w:pos="1800" w:val="left"/>
        </w:tabs>
        <w:numPr>
          <w:ilvl w:val="0"/>
          <w:numId w:val="76"/>
        </w:numPr>
        <w:rPr>
          <w:rFonts w:ascii="Arial" w:cs="Arial" w:eastAsia="Arial" w:hAnsi="Arial"/>
          <w:sz w:val="17"/>
          <w:szCs w:val="17"/>
          <w:color w:val="010000"/>
        </w:rPr>
      </w:pPr>
      <w:r>
        <w:rPr>
          <w:rFonts w:ascii="Arial" w:cs="Arial" w:eastAsia="Arial" w:hAnsi="Arial"/>
          <w:sz w:val="17"/>
          <w:szCs w:val="17"/>
          <w:color w:val="auto"/>
        </w:rPr>
        <w:t>Priority is an “accredited investor” within the meaning of Section 506 of Regulation D promulgated under the Securities Act.</w:t>
      </w:r>
    </w:p>
    <w:p>
      <w:pPr>
        <w:spacing w:after="0" w:line="202" w:lineRule="exact"/>
        <w:rPr>
          <w:rFonts w:ascii="Arial" w:cs="Arial" w:eastAsia="Arial" w:hAnsi="Arial"/>
          <w:sz w:val="17"/>
          <w:szCs w:val="17"/>
          <w:color w:val="010000"/>
        </w:rPr>
      </w:pPr>
    </w:p>
    <w:p>
      <w:pPr>
        <w:jc w:val="both"/>
        <w:ind w:firstLine="1195"/>
        <w:spacing w:after="0" w:line="254" w:lineRule="auto"/>
        <w:tabs>
          <w:tab w:leader="none" w:pos="1928" w:val="left"/>
        </w:tabs>
        <w:numPr>
          <w:ilvl w:val="0"/>
          <w:numId w:val="76"/>
        </w:numPr>
        <w:rPr>
          <w:rFonts w:ascii="Arial" w:cs="Arial" w:eastAsia="Arial" w:hAnsi="Arial"/>
          <w:sz w:val="17"/>
          <w:szCs w:val="17"/>
          <w:color w:val="010000"/>
        </w:rPr>
      </w:pPr>
      <w:r>
        <w:rPr>
          <w:rFonts w:ascii="Arial" w:cs="Arial" w:eastAsia="Arial" w:hAnsi="Arial"/>
          <w:sz w:val="17"/>
          <w:szCs w:val="17"/>
          <w:color w:val="auto"/>
        </w:rPr>
        <w:t>The Acquired SPAC Interests will be acquired for investment for Priority’s own account and not with a view to the distribution of any part thereof (or participation therein) in violation of the Securities Act. Priority does not have any contract, undertaking or agreement with any Person to sell, transfer, or grant participations with respect to the Acquired SPAC Interests.</w:t>
      </w:r>
    </w:p>
    <w:p>
      <w:pPr>
        <w:spacing w:after="0" w:line="176" w:lineRule="exact"/>
        <w:rPr>
          <w:rFonts w:ascii="Arial" w:cs="Arial" w:eastAsia="Arial" w:hAnsi="Arial"/>
          <w:sz w:val="17"/>
          <w:szCs w:val="17"/>
          <w:color w:val="010000"/>
        </w:rPr>
      </w:pPr>
    </w:p>
    <w:p>
      <w:pPr>
        <w:ind w:firstLine="1195"/>
        <w:spacing w:after="0" w:line="264" w:lineRule="auto"/>
        <w:tabs>
          <w:tab w:leader="none" w:pos="1856" w:val="left"/>
        </w:tabs>
        <w:numPr>
          <w:ilvl w:val="0"/>
          <w:numId w:val="76"/>
        </w:numPr>
        <w:rPr>
          <w:rFonts w:ascii="Arial" w:cs="Arial" w:eastAsia="Arial" w:hAnsi="Arial"/>
          <w:sz w:val="17"/>
          <w:szCs w:val="17"/>
          <w:color w:val="010000"/>
        </w:rPr>
      </w:pPr>
      <w:r>
        <w:rPr>
          <w:rFonts w:ascii="Arial" w:cs="Arial" w:eastAsia="Arial" w:hAnsi="Arial"/>
          <w:sz w:val="17"/>
          <w:szCs w:val="17"/>
          <w:color w:val="auto"/>
        </w:rPr>
        <w:t>Priority’s financial condition is such that it is able to bear the risk of holding the Acquired SPAC Interests for an indefinite period of time and can bear the loss of its entire investment in the Acquired SPAC Interests.</w:t>
      </w:r>
    </w:p>
    <w:p>
      <w:pPr>
        <w:spacing w:after="0" w:line="167" w:lineRule="exact"/>
        <w:rPr>
          <w:rFonts w:ascii="Arial" w:cs="Arial" w:eastAsia="Arial" w:hAnsi="Arial"/>
          <w:sz w:val="17"/>
          <w:szCs w:val="17"/>
          <w:color w:val="010000"/>
        </w:rPr>
      </w:pPr>
    </w:p>
    <w:p>
      <w:pPr>
        <w:ind w:firstLine="1195"/>
        <w:spacing w:after="0" w:line="296" w:lineRule="auto"/>
        <w:tabs>
          <w:tab w:leader="none" w:pos="1816" w:val="left"/>
        </w:tabs>
        <w:numPr>
          <w:ilvl w:val="0"/>
          <w:numId w:val="76"/>
        </w:numPr>
        <w:rPr>
          <w:rFonts w:ascii="Arial" w:cs="Arial" w:eastAsia="Arial" w:hAnsi="Arial"/>
          <w:sz w:val="16"/>
          <w:szCs w:val="16"/>
          <w:color w:val="010000"/>
        </w:rPr>
      </w:pPr>
      <w:r>
        <w:rPr>
          <w:rFonts w:ascii="Arial" w:cs="Arial" w:eastAsia="Arial" w:hAnsi="Arial"/>
          <w:sz w:val="16"/>
          <w:szCs w:val="16"/>
          <w:color w:val="auto"/>
        </w:rPr>
        <w:t>Priority (either alone or together with its advisors) has sufficient knowledge and experience in financial and business matters so as to be capable of evaluating the merits and risks of its investment in the Acquired SPAC Interests and is capable of bearing the economic risks of such investment.</w:t>
      </w:r>
    </w:p>
    <w:p>
      <w:pPr>
        <w:spacing w:after="0" w:line="143" w:lineRule="exact"/>
        <w:rPr>
          <w:rFonts w:ascii="Arial" w:cs="Arial" w:eastAsia="Arial" w:hAnsi="Arial"/>
          <w:sz w:val="16"/>
          <w:szCs w:val="16"/>
          <w:color w:val="010000"/>
        </w:rPr>
      </w:pPr>
    </w:p>
    <w:p>
      <w:pPr>
        <w:ind w:left="1800" w:hanging="605"/>
        <w:spacing w:after="0"/>
        <w:tabs>
          <w:tab w:leader="none" w:pos="1800" w:val="left"/>
        </w:tabs>
        <w:numPr>
          <w:ilvl w:val="0"/>
          <w:numId w:val="76"/>
        </w:numPr>
        <w:rPr>
          <w:rFonts w:ascii="Arial" w:cs="Arial" w:eastAsia="Arial" w:hAnsi="Arial"/>
          <w:sz w:val="13"/>
          <w:szCs w:val="13"/>
          <w:color w:val="010000"/>
        </w:rPr>
      </w:pPr>
      <w:r>
        <w:rPr>
          <w:rFonts w:ascii="Arial" w:cs="Arial" w:eastAsia="Arial" w:hAnsi="Arial"/>
          <w:sz w:val="13"/>
          <w:szCs w:val="13"/>
          <w:color w:val="auto"/>
        </w:rPr>
        <w:t>Priority acknowledges that the Acquired SPAC Interests have not been registered under the Securities Act or under any state or foreign securities</w:t>
      </w:r>
    </w:p>
    <w:p>
      <w:pPr>
        <w:spacing w:after="0" w:line="62"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7"/>
          <w:szCs w:val="17"/>
          <w:color w:val="auto"/>
        </w:rPr>
        <w:t>Laws.</w:t>
      </w:r>
    </w:p>
    <w:p>
      <w:pPr>
        <w:spacing w:after="0" w:line="190" w:lineRule="exact"/>
        <w:rPr>
          <w:sz w:val="20"/>
          <w:szCs w:val="20"/>
          <w:color w:val="auto"/>
        </w:rPr>
      </w:pPr>
    </w:p>
    <w:p>
      <w:pPr>
        <w:jc w:val="both"/>
        <w:ind w:firstLine="1195"/>
        <w:spacing w:after="0" w:line="331" w:lineRule="auto"/>
        <w:rPr>
          <w:sz w:val="20"/>
          <w:szCs w:val="20"/>
          <w:color w:val="auto"/>
        </w:rPr>
      </w:pPr>
      <w:r>
        <w:rPr>
          <w:rFonts w:ascii="Arial" w:cs="Arial" w:eastAsia="Arial" w:hAnsi="Arial"/>
          <w:sz w:val="15"/>
          <w:szCs w:val="15"/>
          <w:color w:val="010000"/>
        </w:rPr>
        <w:t xml:space="preserve">Section 4.06 </w:t>
      </w:r>
      <w:r>
        <w:rPr>
          <w:rFonts w:ascii="Arial" w:cs="Arial" w:eastAsia="Arial" w:hAnsi="Arial"/>
          <w:sz w:val="15"/>
          <w:szCs w:val="15"/>
          <w:u w:val="single" w:color="auto"/>
          <w:color w:val="000000"/>
        </w:rPr>
        <w:t>Brokers or Finders</w:t>
      </w:r>
      <w:r>
        <w:rPr>
          <w:rFonts w:ascii="Arial" w:cs="Arial" w:eastAsia="Arial" w:hAnsi="Arial"/>
          <w:sz w:val="15"/>
          <w:szCs w:val="15"/>
          <w:color w:val="000000"/>
        </w:rPr>
        <w:t>. Other than the Financial Advisor, there is no investment banker, broker, finder or other intermediary that has been</w:t>
      </w:r>
      <w:r>
        <w:rPr>
          <w:rFonts w:ascii="Arial" w:cs="Arial" w:eastAsia="Arial" w:hAnsi="Arial"/>
          <w:sz w:val="15"/>
          <w:szCs w:val="15"/>
          <w:color w:val="010000"/>
        </w:rPr>
        <w:t xml:space="preserve"> </w:t>
      </w:r>
      <w:r>
        <w:rPr>
          <w:rFonts w:ascii="Arial" w:cs="Arial" w:eastAsia="Arial" w:hAnsi="Arial"/>
          <w:sz w:val="15"/>
          <w:szCs w:val="15"/>
          <w:color w:val="000000"/>
        </w:rPr>
        <w:t>retained by or is authorized to act on behalf of Priority who might be entitled to any fee or commission in connection with the transactions contemplated hereby.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V</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COVENANTS</w:t>
      </w:r>
    </w:p>
    <w:p>
      <w:pPr>
        <w:spacing w:after="0" w:line="203" w:lineRule="exact"/>
        <w:rPr>
          <w:sz w:val="20"/>
          <w:szCs w:val="20"/>
          <w:color w:val="auto"/>
        </w:rPr>
      </w:pPr>
    </w:p>
    <w:p>
      <w:pPr>
        <w:jc w:val="both"/>
        <w:ind w:firstLine="1195"/>
        <w:spacing w:after="0" w:line="264" w:lineRule="auto"/>
        <w:rPr>
          <w:sz w:val="20"/>
          <w:szCs w:val="20"/>
          <w:color w:val="auto"/>
        </w:rPr>
      </w:pPr>
      <w:r>
        <w:rPr>
          <w:rFonts w:ascii="Arial" w:cs="Arial" w:eastAsia="Arial" w:hAnsi="Arial"/>
          <w:sz w:val="17"/>
          <w:szCs w:val="17"/>
          <w:color w:val="010000"/>
        </w:rPr>
        <w:t xml:space="preserve">Section 5.01 </w:t>
      </w:r>
      <w:r>
        <w:rPr>
          <w:rFonts w:ascii="Arial" w:cs="Arial" w:eastAsia="Arial" w:hAnsi="Arial"/>
          <w:sz w:val="17"/>
          <w:szCs w:val="17"/>
          <w:u w:val="single" w:color="auto"/>
          <w:color w:val="000000"/>
        </w:rPr>
        <w:t>Conduct of Buyer’s Business Pending the Closing</w:t>
      </w:r>
      <w:r>
        <w:rPr>
          <w:rFonts w:ascii="Arial" w:cs="Arial" w:eastAsia="Arial" w:hAnsi="Arial"/>
          <w:sz w:val="17"/>
          <w:szCs w:val="17"/>
          <w:color w:val="000000"/>
        </w:rPr>
        <w:t>. From the date hereof until the earlier of the Closing Date or the termination of this</w:t>
      </w:r>
      <w:r>
        <w:rPr>
          <w:rFonts w:ascii="Arial" w:cs="Arial" w:eastAsia="Arial" w:hAnsi="Arial"/>
          <w:sz w:val="17"/>
          <w:szCs w:val="17"/>
          <w:color w:val="010000"/>
        </w:rPr>
        <w:t xml:space="preserve"> </w:t>
      </w:r>
      <w:r>
        <w:rPr>
          <w:rFonts w:ascii="Arial" w:cs="Arial" w:eastAsia="Arial" w:hAnsi="Arial"/>
          <w:sz w:val="17"/>
          <w:szCs w:val="17"/>
          <w:color w:val="000000"/>
        </w:rPr>
        <w:t>Agreement, Founders will not, and will cause Buyer not to, take any action prohibited by Section 5.02 of the Contribution Agreement.</w:t>
      </w:r>
    </w:p>
    <w:p>
      <w:pPr>
        <w:spacing w:after="0" w:line="168"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5.02 </w:t>
      </w:r>
      <w:r>
        <w:rPr>
          <w:rFonts w:ascii="Arial" w:cs="Arial" w:eastAsia="Arial" w:hAnsi="Arial"/>
          <w:sz w:val="17"/>
          <w:szCs w:val="17"/>
          <w:u w:val="single" w:color="auto"/>
          <w:color w:val="000000"/>
        </w:rPr>
        <w:t>Reasonable Best Efforts; Further Assurances</w:t>
      </w:r>
      <w:r>
        <w:rPr>
          <w:rFonts w:ascii="Arial" w:cs="Arial" w:eastAsia="Arial" w:hAnsi="Arial"/>
          <w:sz w:val="17"/>
          <w:szCs w:val="17"/>
          <w:color w:val="000000"/>
        </w:rPr>
        <w:t>. Priority and Founders will use their respective reasonable best efforts to take, or cause to be</w:t>
      </w:r>
      <w:r>
        <w:rPr>
          <w:rFonts w:ascii="Arial" w:cs="Arial" w:eastAsia="Arial" w:hAnsi="Arial"/>
          <w:sz w:val="17"/>
          <w:szCs w:val="17"/>
          <w:color w:val="010000"/>
        </w:rPr>
        <w:t xml:space="preserve"> </w:t>
      </w:r>
      <w:r>
        <w:rPr>
          <w:rFonts w:ascii="Arial" w:cs="Arial" w:eastAsia="Arial" w:hAnsi="Arial"/>
          <w:sz w:val="17"/>
          <w:szCs w:val="17"/>
          <w:color w:val="000000"/>
        </w:rPr>
        <w:t>taken (including by causing any Affiliates to take actions), all actions and to do, or cause to be done, all things necessary or desirable under applicable Laws to consummate the transactions contemplated hereby.</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88" w:name="page89"/>
    <w:bookmarkEnd w:id="88"/>
    <w:p>
      <w:pPr>
        <w:jc w:val="both"/>
        <w:ind w:firstLine="1195"/>
        <w:spacing w:after="0" w:line="290" w:lineRule="auto"/>
        <w:rPr>
          <w:sz w:val="20"/>
          <w:szCs w:val="20"/>
          <w:color w:val="auto"/>
        </w:rPr>
      </w:pPr>
      <w:r>
        <w:rPr>
          <w:rFonts w:ascii="Arial" w:cs="Arial" w:eastAsia="Arial" w:hAnsi="Arial"/>
          <w:sz w:val="15"/>
          <w:szCs w:val="15"/>
          <w:color w:val="010000"/>
        </w:rPr>
        <w:t xml:space="preserve">Section 5.03 </w:t>
      </w:r>
      <w:r>
        <w:rPr>
          <w:rFonts w:ascii="Arial" w:cs="Arial" w:eastAsia="Arial" w:hAnsi="Arial"/>
          <w:sz w:val="15"/>
          <w:szCs w:val="15"/>
          <w:u w:val="single" w:color="auto"/>
          <w:color w:val="000000"/>
        </w:rPr>
        <w:t>Public Announcements</w:t>
      </w:r>
      <w:r>
        <w:rPr>
          <w:rFonts w:ascii="Arial" w:cs="Arial" w:eastAsia="Arial" w:hAnsi="Arial"/>
          <w:sz w:val="15"/>
          <w:szCs w:val="15"/>
          <w:color w:val="000000"/>
        </w:rPr>
        <w:t>. Except for the Press Release, neither Priority nor any Founder shall issue any press release or public</w:t>
      </w:r>
      <w:r>
        <w:rPr>
          <w:rFonts w:ascii="Arial" w:cs="Arial" w:eastAsia="Arial" w:hAnsi="Arial"/>
          <w:sz w:val="15"/>
          <w:szCs w:val="15"/>
          <w:color w:val="010000"/>
        </w:rPr>
        <w:t xml:space="preserve"> </w:t>
      </w:r>
      <w:r>
        <w:rPr>
          <w:rFonts w:ascii="Arial" w:cs="Arial" w:eastAsia="Arial" w:hAnsi="Arial"/>
          <w:sz w:val="15"/>
          <w:szCs w:val="15"/>
          <w:color w:val="000000"/>
        </w:rPr>
        <w:t xml:space="preserve">announcement concerning this Agreement or the transactions contemplated hereby without obtaining the prior written approval of the other Parties (which approval shall not be unreasonably withheld, delayed or conditioned) unless, such Party is advised by outside legal counsel that disclosure is otherwise required by applicable Law; </w:t>
      </w:r>
      <w:r>
        <w:rPr>
          <w:rFonts w:ascii="Arial" w:cs="Arial" w:eastAsia="Arial" w:hAnsi="Arial"/>
          <w:sz w:val="15"/>
          <w:szCs w:val="15"/>
          <w:u w:val="single" w:color="auto"/>
          <w:color w:val="000000"/>
        </w:rPr>
        <w:t>provided</w:t>
      </w:r>
      <w:r>
        <w:rPr>
          <w:rFonts w:ascii="Arial" w:cs="Arial" w:eastAsia="Arial" w:hAnsi="Arial"/>
          <w:sz w:val="15"/>
          <w:szCs w:val="15"/>
          <w:color w:val="000000"/>
        </w:rPr>
        <w:t xml:space="preserve"> that, to the extent any such disclosure is required by applicable Law, the Party intending to make such disclosure shall use reasonable best efforts consistent with applicable Law to consult with the other Parties with respect to the content and timing of any such disclosure before such disclosure is made.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VI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CONDITIONS TO CLOSING</w:t>
      </w:r>
    </w:p>
    <w:p>
      <w:pPr>
        <w:spacing w:after="0" w:line="203" w:lineRule="exact"/>
        <w:rPr>
          <w:sz w:val="20"/>
          <w:szCs w:val="20"/>
          <w:color w:val="auto"/>
        </w:rPr>
      </w:pPr>
    </w:p>
    <w:p>
      <w:pPr>
        <w:jc w:val="both"/>
        <w:ind w:firstLine="1195"/>
        <w:spacing w:after="0" w:line="331" w:lineRule="auto"/>
        <w:rPr>
          <w:sz w:val="20"/>
          <w:szCs w:val="20"/>
          <w:color w:val="auto"/>
        </w:rPr>
      </w:pPr>
      <w:r>
        <w:rPr>
          <w:rFonts w:ascii="Arial" w:cs="Arial" w:eastAsia="Arial" w:hAnsi="Arial"/>
          <w:sz w:val="15"/>
          <w:szCs w:val="15"/>
          <w:color w:val="010000"/>
        </w:rPr>
        <w:t xml:space="preserve">Section 6.01 </w:t>
      </w:r>
      <w:r>
        <w:rPr>
          <w:rFonts w:ascii="Arial" w:cs="Arial" w:eastAsia="Arial" w:hAnsi="Arial"/>
          <w:sz w:val="15"/>
          <w:szCs w:val="15"/>
          <w:u w:val="single" w:color="auto"/>
          <w:color w:val="000000"/>
        </w:rPr>
        <w:t>Conditions to the Obligation of Priority</w:t>
      </w:r>
      <w:r>
        <w:rPr>
          <w:rFonts w:ascii="Arial" w:cs="Arial" w:eastAsia="Arial" w:hAnsi="Arial"/>
          <w:sz w:val="15"/>
          <w:szCs w:val="15"/>
          <w:color w:val="000000"/>
        </w:rPr>
        <w:t>. The obligation of Priority to consummate the closing of the transactions contemplated hereby</w:t>
      </w:r>
      <w:r>
        <w:rPr>
          <w:rFonts w:ascii="Arial" w:cs="Arial" w:eastAsia="Arial" w:hAnsi="Arial"/>
          <w:sz w:val="15"/>
          <w:szCs w:val="15"/>
          <w:color w:val="010000"/>
        </w:rPr>
        <w:t xml:space="preserve"> </w:t>
      </w:r>
      <w:r>
        <w:rPr>
          <w:rFonts w:ascii="Arial" w:cs="Arial" w:eastAsia="Arial" w:hAnsi="Arial"/>
          <w:sz w:val="15"/>
          <w:szCs w:val="15"/>
          <w:color w:val="000000"/>
        </w:rPr>
        <w:t>shall be subject to the satisfaction, or (to the extent permitted by applicable Law) waiver by Priority on or prior to the Effective Time, of one of the following conditions:</w:t>
      </w:r>
    </w:p>
    <w:p>
      <w:pPr>
        <w:spacing w:after="0" w:line="122" w:lineRule="exact"/>
        <w:rPr>
          <w:sz w:val="20"/>
          <w:szCs w:val="20"/>
          <w:color w:val="auto"/>
        </w:rPr>
      </w:pPr>
    </w:p>
    <w:p>
      <w:pPr>
        <w:ind w:firstLine="1195"/>
        <w:spacing w:after="0" w:line="264" w:lineRule="auto"/>
        <w:tabs>
          <w:tab w:leader="none" w:pos="1981" w:val="left"/>
        </w:tabs>
        <w:numPr>
          <w:ilvl w:val="0"/>
          <w:numId w:val="77"/>
        </w:numPr>
        <w:rPr>
          <w:rFonts w:ascii="Arial" w:cs="Arial" w:eastAsia="Arial" w:hAnsi="Arial"/>
          <w:sz w:val="17"/>
          <w:szCs w:val="17"/>
          <w:color w:val="010000"/>
        </w:rPr>
      </w:pPr>
      <w:r>
        <w:rPr>
          <w:rFonts w:ascii="Arial" w:cs="Arial" w:eastAsia="Arial" w:hAnsi="Arial"/>
          <w:sz w:val="17"/>
          <w:szCs w:val="17"/>
          <w:color w:val="auto"/>
        </w:rPr>
        <w:t>the satisfaction, or (to the extent permitted by applicable Law) waiver by the applicable Person as expressly set forth in the Contribution Agreement of each of the conditions set forth in Article VI of the Contribution Agreement; or</w:t>
      </w:r>
    </w:p>
    <w:p>
      <w:pPr>
        <w:spacing w:after="0" w:line="167" w:lineRule="exact"/>
        <w:rPr>
          <w:rFonts w:ascii="Arial" w:cs="Arial" w:eastAsia="Arial" w:hAnsi="Arial"/>
          <w:sz w:val="17"/>
          <w:szCs w:val="17"/>
          <w:color w:val="010000"/>
        </w:rPr>
      </w:pPr>
    </w:p>
    <w:p>
      <w:pPr>
        <w:ind w:firstLine="1195"/>
        <w:spacing w:after="0" w:line="264" w:lineRule="auto"/>
        <w:tabs>
          <w:tab w:leader="none" w:pos="1853" w:val="left"/>
        </w:tabs>
        <w:numPr>
          <w:ilvl w:val="0"/>
          <w:numId w:val="77"/>
        </w:numPr>
        <w:rPr>
          <w:rFonts w:ascii="Arial" w:cs="Arial" w:eastAsia="Arial" w:hAnsi="Arial"/>
          <w:sz w:val="17"/>
          <w:szCs w:val="17"/>
          <w:color w:val="010000"/>
        </w:rPr>
      </w:pPr>
      <w:r>
        <w:rPr>
          <w:rFonts w:ascii="Arial" w:cs="Arial" w:eastAsia="Arial" w:hAnsi="Arial"/>
          <w:sz w:val="17"/>
          <w:szCs w:val="17"/>
          <w:color w:val="auto"/>
        </w:rPr>
        <w:t xml:space="preserve">if (i) the Contribution Agreement is terminated pursuant to and in accordance with Article VII thereof and (ii) Priority does not have a right to terminate this Agreement pursuant to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7.01(c)</w:t>
      </w:r>
      <w:r>
        <w:rPr>
          <w:rFonts w:ascii="Arial" w:cs="Arial" w:eastAsia="Arial" w:hAnsi="Arial"/>
          <w:sz w:val="17"/>
          <w:szCs w:val="17"/>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VII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TERMINATION</w:t>
      </w:r>
    </w:p>
    <w:p>
      <w:pPr>
        <w:spacing w:after="0" w:line="203" w:lineRule="exact"/>
        <w:rPr>
          <w:sz w:val="20"/>
          <w:szCs w:val="20"/>
          <w:color w:val="auto"/>
        </w:rPr>
      </w:pPr>
    </w:p>
    <w:p>
      <w:pPr>
        <w:ind w:firstLine="1195"/>
        <w:spacing w:after="0" w:line="264" w:lineRule="auto"/>
        <w:rPr>
          <w:sz w:val="20"/>
          <w:szCs w:val="20"/>
          <w:color w:val="auto"/>
        </w:rPr>
      </w:pPr>
      <w:r>
        <w:rPr>
          <w:rFonts w:ascii="Arial" w:cs="Arial" w:eastAsia="Arial" w:hAnsi="Arial"/>
          <w:sz w:val="17"/>
          <w:szCs w:val="17"/>
          <w:color w:val="010000"/>
        </w:rPr>
        <w:t xml:space="preserve">Section 7.01 </w:t>
      </w:r>
      <w:r>
        <w:rPr>
          <w:rFonts w:ascii="Arial" w:cs="Arial" w:eastAsia="Arial" w:hAnsi="Arial"/>
          <w:sz w:val="17"/>
          <w:szCs w:val="17"/>
          <w:u w:val="single" w:color="auto"/>
          <w:color w:val="000000"/>
        </w:rPr>
        <w:t>Grounds for Termination</w:t>
      </w:r>
      <w:r>
        <w:rPr>
          <w:rFonts w:ascii="Arial" w:cs="Arial" w:eastAsia="Arial" w:hAnsi="Arial"/>
          <w:sz w:val="17"/>
          <w:szCs w:val="17"/>
          <w:color w:val="000000"/>
        </w:rPr>
        <w:t>. This Agreement may be terminated and the transactions contemplated hereby may be abandoned at any time</w:t>
      </w:r>
      <w:r>
        <w:rPr>
          <w:rFonts w:ascii="Arial" w:cs="Arial" w:eastAsia="Arial" w:hAnsi="Arial"/>
          <w:sz w:val="17"/>
          <w:szCs w:val="17"/>
          <w:color w:val="010000"/>
        </w:rPr>
        <w:t xml:space="preserve"> </w:t>
      </w:r>
      <w:r>
        <w:rPr>
          <w:rFonts w:ascii="Arial" w:cs="Arial" w:eastAsia="Arial" w:hAnsi="Arial"/>
          <w:sz w:val="17"/>
          <w:szCs w:val="17"/>
          <w:color w:val="000000"/>
        </w:rPr>
        <w:t>prior to the Closing:</w:t>
      </w:r>
    </w:p>
    <w:p>
      <w:pPr>
        <w:spacing w:after="0" w:line="168" w:lineRule="exact"/>
        <w:rPr>
          <w:sz w:val="20"/>
          <w:szCs w:val="20"/>
          <w:color w:val="auto"/>
        </w:rPr>
      </w:pPr>
    </w:p>
    <w:p>
      <w:pPr>
        <w:ind w:left="1800" w:hanging="605"/>
        <w:spacing w:after="0"/>
        <w:tabs>
          <w:tab w:leader="none" w:pos="1800" w:val="left"/>
        </w:tabs>
        <w:numPr>
          <w:ilvl w:val="0"/>
          <w:numId w:val="78"/>
        </w:numPr>
        <w:rPr>
          <w:rFonts w:ascii="Arial" w:cs="Arial" w:eastAsia="Arial" w:hAnsi="Arial"/>
          <w:sz w:val="17"/>
          <w:szCs w:val="17"/>
          <w:color w:val="010000"/>
        </w:rPr>
      </w:pPr>
      <w:r>
        <w:rPr>
          <w:rFonts w:ascii="Arial" w:cs="Arial" w:eastAsia="Arial" w:hAnsi="Arial"/>
          <w:sz w:val="17"/>
          <w:szCs w:val="17"/>
          <w:color w:val="auto"/>
        </w:rPr>
        <w:t>by the mutual written agreement of Founders and Priority;</w:t>
      </w:r>
    </w:p>
    <w:p>
      <w:pPr>
        <w:spacing w:after="0" w:line="202" w:lineRule="exact"/>
        <w:rPr>
          <w:rFonts w:ascii="Arial" w:cs="Arial" w:eastAsia="Arial" w:hAnsi="Arial"/>
          <w:sz w:val="17"/>
          <w:szCs w:val="17"/>
          <w:color w:val="010000"/>
        </w:rPr>
      </w:pPr>
    </w:p>
    <w:p>
      <w:pPr>
        <w:jc w:val="both"/>
        <w:ind w:firstLine="1195"/>
        <w:spacing w:after="0" w:line="304" w:lineRule="auto"/>
        <w:tabs>
          <w:tab w:leader="none" w:pos="2052" w:val="left"/>
        </w:tabs>
        <w:numPr>
          <w:ilvl w:val="0"/>
          <w:numId w:val="78"/>
        </w:numPr>
        <w:rPr>
          <w:rFonts w:ascii="Arial" w:cs="Arial" w:eastAsia="Arial" w:hAnsi="Arial"/>
          <w:sz w:val="15"/>
          <w:szCs w:val="15"/>
          <w:color w:val="010000"/>
        </w:rPr>
      </w:pPr>
      <w:r>
        <w:rPr>
          <w:rFonts w:ascii="Arial" w:cs="Arial" w:eastAsia="Arial" w:hAnsi="Arial"/>
          <w:sz w:val="15"/>
          <w:szCs w:val="15"/>
          <w:color w:val="auto"/>
        </w:rPr>
        <w:t>by Priority if (i) the Contribution Agreement is terminated by Sellers pursuant to subsection (e) of Section 7.01 thereof or (ii) (A) the Contribution Agreement is terminated pursuant to any other subsection of Section 7.01 thereof and (B) at the time of such termination, the Contribution Agreement could have been terminated by Sellers pursuant to subsection (e) of Section 7.01 thereof (without giving effect to any notice or cure provisions with respect thereto; or</w:t>
      </w:r>
    </w:p>
    <w:p>
      <w:pPr>
        <w:spacing w:after="0" w:line="141" w:lineRule="exact"/>
        <w:rPr>
          <w:rFonts w:ascii="Arial" w:cs="Arial" w:eastAsia="Arial" w:hAnsi="Arial"/>
          <w:sz w:val="15"/>
          <w:szCs w:val="15"/>
          <w:color w:val="010000"/>
        </w:rPr>
      </w:pPr>
    </w:p>
    <w:p>
      <w:pPr>
        <w:ind w:left="1800" w:hanging="605"/>
        <w:spacing w:after="0"/>
        <w:tabs>
          <w:tab w:leader="none" w:pos="1800" w:val="left"/>
        </w:tabs>
        <w:numPr>
          <w:ilvl w:val="0"/>
          <w:numId w:val="78"/>
        </w:numPr>
        <w:rPr>
          <w:rFonts w:ascii="Arial" w:cs="Arial" w:eastAsia="Arial" w:hAnsi="Arial"/>
          <w:sz w:val="16"/>
          <w:szCs w:val="16"/>
          <w:color w:val="010000"/>
        </w:rPr>
      </w:pPr>
      <w:r>
        <w:rPr>
          <w:rFonts w:ascii="Arial" w:cs="Arial" w:eastAsia="Arial" w:hAnsi="Arial"/>
          <w:sz w:val="16"/>
          <w:szCs w:val="16"/>
          <w:color w:val="auto"/>
        </w:rPr>
        <w:t>by Priority if there has been a material breach by Founders of any representation, warranty, covenant or agreement set forth herein.</w:t>
      </w:r>
    </w:p>
    <w:p>
      <w:pPr>
        <w:spacing w:after="0" w:line="214" w:lineRule="exact"/>
        <w:rPr>
          <w:sz w:val="20"/>
          <w:szCs w:val="20"/>
          <w:color w:val="auto"/>
        </w:rPr>
      </w:pPr>
    </w:p>
    <w:p>
      <w:pPr>
        <w:jc w:val="both"/>
        <w:ind w:firstLine="1195"/>
        <w:spacing w:after="0" w:line="295" w:lineRule="auto"/>
        <w:rPr>
          <w:sz w:val="20"/>
          <w:szCs w:val="20"/>
          <w:color w:val="auto"/>
        </w:rPr>
      </w:pPr>
      <w:r>
        <w:rPr>
          <w:rFonts w:ascii="Arial" w:cs="Arial" w:eastAsia="Arial" w:hAnsi="Arial"/>
          <w:sz w:val="15"/>
          <w:szCs w:val="15"/>
          <w:color w:val="010000"/>
        </w:rPr>
        <w:t xml:space="preserve">Section 7.02 </w:t>
      </w:r>
      <w:r>
        <w:rPr>
          <w:rFonts w:ascii="Arial" w:cs="Arial" w:eastAsia="Arial" w:hAnsi="Arial"/>
          <w:sz w:val="15"/>
          <w:szCs w:val="15"/>
          <w:u w:val="single" w:color="auto"/>
          <w:color w:val="000000"/>
        </w:rPr>
        <w:t>Effect of Termination</w:t>
      </w:r>
      <w:r>
        <w:rPr>
          <w:rFonts w:ascii="Arial" w:cs="Arial" w:eastAsia="Arial" w:hAnsi="Arial"/>
          <w:sz w:val="15"/>
          <w:szCs w:val="15"/>
          <w:color w:val="000000"/>
        </w:rPr>
        <w:t>. If this Agreement is terminated and the transactions contemplated hereby are abandoned in accordance with</w:t>
      </w:r>
      <w:r>
        <w:rPr>
          <w:rFonts w:ascii="Arial" w:cs="Arial" w:eastAsia="Arial" w:hAnsi="Arial"/>
          <w:sz w:val="15"/>
          <w:szCs w:val="15"/>
          <w:color w:val="010000"/>
        </w:rPr>
        <w:t xml:space="preserve"> </w:t>
      </w:r>
      <w:r>
        <w:rPr>
          <w:rFonts w:ascii="Arial" w:cs="Arial" w:eastAsia="Arial" w:hAnsi="Arial"/>
          <w:sz w:val="15"/>
          <w:szCs w:val="15"/>
          <w:u w:val="single" w:color="auto"/>
          <w:color w:val="000000"/>
        </w:rPr>
        <w:t>Section 7.01</w:t>
      </w:r>
      <w:r>
        <w:rPr>
          <w:rFonts w:ascii="Arial" w:cs="Arial" w:eastAsia="Arial" w:hAnsi="Arial"/>
          <w:sz w:val="15"/>
          <w:szCs w:val="15"/>
          <w:color w:val="000000"/>
        </w:rPr>
        <w:t xml:space="preserve">, this Agreement shall become void and of no further force and effect (other than </w:t>
      </w:r>
      <w:r>
        <w:rPr>
          <w:rFonts w:ascii="Arial" w:cs="Arial" w:eastAsia="Arial" w:hAnsi="Arial"/>
          <w:sz w:val="15"/>
          <w:szCs w:val="15"/>
          <w:u w:val="single" w:color="auto"/>
          <w:color w:val="000000"/>
        </w:rPr>
        <w:t>Section 5.03</w:t>
      </w:r>
      <w:r>
        <w:rPr>
          <w:rFonts w:ascii="Arial" w:cs="Arial" w:eastAsia="Arial" w:hAnsi="Arial"/>
          <w:sz w:val="15"/>
          <w:szCs w:val="15"/>
          <w:color w:val="000000"/>
        </w:rPr>
        <w:t xml:space="preserve">, this </w:t>
      </w:r>
      <w:r>
        <w:rPr>
          <w:rFonts w:ascii="Arial" w:cs="Arial" w:eastAsia="Arial" w:hAnsi="Arial"/>
          <w:sz w:val="15"/>
          <w:szCs w:val="15"/>
          <w:u w:val="single" w:color="auto"/>
          <w:color w:val="000000"/>
        </w:rPr>
        <w:t>Section 7.02</w:t>
      </w:r>
      <w:r>
        <w:rPr>
          <w:rFonts w:ascii="Arial" w:cs="Arial" w:eastAsia="Arial" w:hAnsi="Arial"/>
          <w:sz w:val="15"/>
          <w:szCs w:val="15"/>
          <w:color w:val="000000"/>
        </w:rPr>
        <w:t xml:space="preserve">, and </w:t>
      </w:r>
      <w:r>
        <w:rPr>
          <w:rFonts w:ascii="Arial" w:cs="Arial" w:eastAsia="Arial" w:hAnsi="Arial"/>
          <w:sz w:val="15"/>
          <w:szCs w:val="15"/>
          <w:u w:val="single" w:color="auto"/>
          <w:color w:val="000000"/>
        </w:rPr>
        <w:t>ARTICLE VIII</w:t>
      </w:r>
      <w:r>
        <w:rPr>
          <w:rFonts w:ascii="Arial" w:cs="Arial" w:eastAsia="Arial" w:hAnsi="Arial"/>
          <w:sz w:val="15"/>
          <w:szCs w:val="15"/>
          <w:color w:val="000000"/>
        </w:rPr>
        <w:t xml:space="preserve">, each of which shall survive the termination of this Agreement and be enforceable by the Parties), and there shall be no liability or obligation on the part of any Party to the other Party. Nothing in this </w:t>
      </w:r>
      <w:r>
        <w:rPr>
          <w:rFonts w:ascii="Arial" w:cs="Arial" w:eastAsia="Arial" w:hAnsi="Arial"/>
          <w:sz w:val="15"/>
          <w:szCs w:val="15"/>
          <w:u w:val="single" w:color="auto"/>
          <w:color w:val="000000"/>
        </w:rPr>
        <w:t>ARTICLE VII</w:t>
      </w:r>
      <w:r>
        <w:rPr>
          <w:rFonts w:ascii="Arial" w:cs="Arial" w:eastAsia="Arial" w:hAnsi="Arial"/>
          <w:sz w:val="15"/>
          <w:szCs w:val="15"/>
          <w:color w:val="000000"/>
        </w:rPr>
        <w:t xml:space="preserve"> shall be deemed to impair the right of either Party to compel specific performance by the other Party of its obligations under this Agreement.</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7"/>
          <w:szCs w:val="17"/>
          <w:color w:val="010000"/>
        </w:rPr>
        <w:t>ARTICLE VIII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MISCELLANEOUS</w:t>
      </w:r>
    </w:p>
    <w:p>
      <w:pPr>
        <w:spacing w:after="0" w:line="203" w:lineRule="exact"/>
        <w:rPr>
          <w:sz w:val="20"/>
          <w:szCs w:val="20"/>
          <w:color w:val="auto"/>
        </w:rPr>
      </w:pPr>
    </w:p>
    <w:p>
      <w:pPr>
        <w:jc w:val="both"/>
        <w:ind w:firstLine="1195"/>
        <w:spacing w:after="0" w:line="290" w:lineRule="auto"/>
        <w:rPr>
          <w:sz w:val="20"/>
          <w:szCs w:val="20"/>
          <w:color w:val="auto"/>
        </w:rPr>
      </w:pPr>
      <w:r>
        <w:rPr>
          <w:rFonts w:ascii="Arial" w:cs="Arial" w:eastAsia="Arial" w:hAnsi="Arial"/>
          <w:sz w:val="15"/>
          <w:szCs w:val="15"/>
          <w:color w:val="010000"/>
        </w:rPr>
        <w:t xml:space="preserve">Section 8.01 </w:t>
      </w:r>
      <w:r>
        <w:rPr>
          <w:rFonts w:ascii="Arial" w:cs="Arial" w:eastAsia="Arial" w:hAnsi="Arial"/>
          <w:sz w:val="15"/>
          <w:szCs w:val="15"/>
          <w:u w:val="single" w:color="auto"/>
          <w:color w:val="000000"/>
        </w:rPr>
        <w:t>Notices</w:t>
      </w:r>
      <w:r>
        <w:rPr>
          <w:rFonts w:ascii="Arial" w:cs="Arial" w:eastAsia="Arial" w:hAnsi="Arial"/>
          <w:sz w:val="15"/>
          <w:szCs w:val="15"/>
          <w:color w:val="000000"/>
        </w:rPr>
        <w:t>. All notices, consents and other communications hereunder (a) shall be in writing; (b) shall be deemed to have been duly given (i)</w:t>
      </w:r>
      <w:r>
        <w:rPr>
          <w:rFonts w:ascii="Arial" w:cs="Arial" w:eastAsia="Arial" w:hAnsi="Arial"/>
          <w:sz w:val="15"/>
          <w:szCs w:val="15"/>
          <w:color w:val="010000"/>
        </w:rPr>
        <w:t xml:space="preserve"> </w:t>
      </w:r>
      <w:r>
        <w:rPr>
          <w:rFonts w:ascii="Arial" w:cs="Arial" w:eastAsia="Arial" w:hAnsi="Arial"/>
          <w:sz w:val="15"/>
          <w:szCs w:val="15"/>
          <w:color w:val="000000"/>
        </w:rPr>
        <w:t xml:space="preserve">when delivered by hand or by Federal Express or a similar overnight courier to the address for such Party set forth below; (ii) five (5) days after being post-marked by the United States Postal Service enclosed in a postage-prepaid, registered or certified envelope addressed to the address of such Party set forth below; or (iii) when successfully transmitted by email to the email address for such Party set forth below; and (c) shall be sent to the following addresses or email addresses (or at such other address or email address for a Party as shall be specified by like notice; </w:t>
      </w:r>
      <w:r>
        <w:rPr>
          <w:rFonts w:ascii="Arial" w:cs="Arial" w:eastAsia="Arial" w:hAnsi="Arial"/>
          <w:sz w:val="15"/>
          <w:szCs w:val="15"/>
          <w:u w:val="single" w:color="auto"/>
          <w:color w:val="000000"/>
        </w:rPr>
        <w:t>provided</w:t>
      </w:r>
      <w:r>
        <w:rPr>
          <w:rFonts w:ascii="Arial" w:cs="Arial" w:eastAsia="Arial" w:hAnsi="Arial"/>
          <w:sz w:val="15"/>
          <w:szCs w:val="15"/>
          <w:color w:val="000000"/>
        </w:rPr>
        <w:t xml:space="preserve">, </w:t>
      </w:r>
      <w:r>
        <w:rPr>
          <w:rFonts w:ascii="Arial" w:cs="Arial" w:eastAsia="Arial" w:hAnsi="Arial"/>
          <w:sz w:val="15"/>
          <w:szCs w:val="15"/>
          <w:u w:val="single" w:color="auto"/>
          <w:color w:val="000000"/>
        </w:rPr>
        <w:t>however</w:t>
      </w:r>
      <w:r>
        <w:rPr>
          <w:rFonts w:ascii="Arial" w:cs="Arial" w:eastAsia="Arial" w:hAnsi="Arial"/>
          <w:sz w:val="15"/>
          <w:szCs w:val="15"/>
          <w:color w:val="000000"/>
        </w:rPr>
        <w:t>, that any notice of change of email address shall be effective only upon receipt):</w:t>
      </w:r>
    </w:p>
    <w:p>
      <w:pPr>
        <w:spacing w:after="0" w:line="153" w:lineRule="exact"/>
        <w:rPr>
          <w:sz w:val="20"/>
          <w:szCs w:val="20"/>
          <w:color w:val="auto"/>
        </w:rPr>
      </w:pPr>
    </w:p>
    <w:p>
      <w:pPr>
        <w:ind w:left="1800" w:hanging="605"/>
        <w:spacing w:after="0"/>
        <w:tabs>
          <w:tab w:leader="none" w:pos="1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to Priority, to:</w:t>
      </w:r>
    </w:p>
    <w:p>
      <w:pPr>
        <w:spacing w:after="0" w:line="202"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7"/>
          <w:szCs w:val="17"/>
          <w:color w:val="auto"/>
        </w:rPr>
        <w:t>c/o PSD Partners</w:t>
      </w:r>
    </w:p>
    <w:p>
      <w:pPr>
        <w:spacing w:after="0" w:line="16" w:lineRule="exact"/>
        <w:rPr>
          <w:rFonts w:ascii="Arial" w:cs="Arial" w:eastAsia="Arial" w:hAnsi="Arial"/>
          <w:sz w:val="17"/>
          <w:szCs w:val="17"/>
          <w:color w:val="auto"/>
        </w:rPr>
      </w:pPr>
    </w:p>
    <w:p>
      <w:pPr>
        <w:ind w:left="1800" w:right="7560"/>
        <w:spacing w:after="0" w:line="228" w:lineRule="auto"/>
        <w:rPr>
          <w:rFonts w:ascii="Arial" w:cs="Arial" w:eastAsia="Arial" w:hAnsi="Arial"/>
          <w:sz w:val="17"/>
          <w:szCs w:val="17"/>
          <w:color w:val="auto"/>
        </w:rPr>
      </w:pPr>
      <w:r>
        <w:rPr>
          <w:rFonts w:ascii="Arial" w:cs="Arial" w:eastAsia="Arial" w:hAnsi="Arial"/>
          <w:sz w:val="16"/>
          <w:szCs w:val="16"/>
          <w:color w:val="auto"/>
        </w:rPr>
        <w:t>19 West 44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1416 New York, New York 10036 Email: tpriore@pps.io</w:t>
      </w:r>
    </w:p>
    <w:p>
      <w:pPr>
        <w:spacing w:after="0" w:line="1"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7"/>
          <w:szCs w:val="17"/>
          <w:color w:val="auto"/>
        </w:rPr>
        <w:t>Attn: Thomas C. Priore</w:t>
      </w:r>
    </w:p>
    <w:p>
      <w:pPr>
        <w:spacing w:after="0" w:line="190"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7"/>
          <w:szCs w:val="17"/>
          <w:color w:val="auto"/>
        </w:rPr>
        <w:t>with copy (which shall not constitute notice) to:</w:t>
      </w:r>
    </w:p>
    <w:p>
      <w:pPr>
        <w:spacing w:after="0" w:line="202" w:lineRule="exact"/>
        <w:rPr>
          <w:rFonts w:ascii="Arial" w:cs="Arial" w:eastAsia="Arial" w:hAnsi="Arial"/>
          <w:sz w:val="17"/>
          <w:szCs w:val="17"/>
          <w:color w:val="auto"/>
        </w:rPr>
      </w:pPr>
    </w:p>
    <w:p>
      <w:pPr>
        <w:ind w:left="1800" w:right="7840"/>
        <w:spacing w:after="0" w:line="252" w:lineRule="auto"/>
        <w:rPr>
          <w:rFonts w:ascii="Arial" w:cs="Arial" w:eastAsia="Arial" w:hAnsi="Arial"/>
          <w:sz w:val="17"/>
          <w:szCs w:val="17"/>
          <w:color w:val="auto"/>
        </w:rPr>
      </w:pPr>
      <w:r>
        <w:rPr>
          <w:rFonts w:ascii="Arial" w:cs="Arial" w:eastAsia="Arial" w:hAnsi="Arial"/>
          <w:sz w:val="17"/>
          <w:szCs w:val="17"/>
          <w:color w:val="auto"/>
        </w:rPr>
        <w:t>Schulte Roth &amp; Zabel LLP 919 Third Avenue</w:t>
      </w:r>
    </w:p>
    <w:p>
      <w:pPr>
        <w:ind w:left="1800" w:right="7400"/>
        <w:spacing w:after="0" w:line="295" w:lineRule="auto"/>
        <w:rPr>
          <w:rFonts w:ascii="Arial" w:cs="Arial" w:eastAsia="Arial" w:hAnsi="Arial"/>
          <w:sz w:val="17"/>
          <w:szCs w:val="17"/>
          <w:color w:val="auto"/>
        </w:rPr>
      </w:pPr>
      <w:r>
        <w:rPr>
          <w:rFonts w:ascii="Arial" w:cs="Arial" w:eastAsia="Arial" w:hAnsi="Arial"/>
          <w:sz w:val="15"/>
          <w:szCs w:val="15"/>
          <w:color w:val="auto"/>
        </w:rPr>
        <w:t>New York, New York 10022 Email: michael.gilligan@srz.com Attn: Michael E. Gilligan</w:t>
      </w:r>
    </w:p>
    <w:p>
      <w:pPr>
        <w:spacing w:after="0" w:line="148" w:lineRule="exact"/>
        <w:rPr>
          <w:rFonts w:ascii="Arial" w:cs="Arial" w:eastAsia="Arial" w:hAnsi="Arial"/>
          <w:sz w:val="17"/>
          <w:szCs w:val="17"/>
          <w:color w:val="auto"/>
        </w:rPr>
      </w:pPr>
    </w:p>
    <w:p>
      <w:pPr>
        <w:ind w:left="1820" w:hanging="625"/>
        <w:spacing w:after="0"/>
        <w:tabs>
          <w:tab w:leader="none" w:pos="18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to Founders, to:</w:t>
      </w:r>
    </w:p>
    <w:p>
      <w:pPr>
        <w:spacing w:after="0" w:line="202" w:lineRule="exact"/>
        <w:rPr>
          <w:rFonts w:ascii="Arial" w:cs="Arial" w:eastAsia="Arial" w:hAnsi="Arial"/>
          <w:sz w:val="17"/>
          <w:szCs w:val="17"/>
          <w:color w:val="auto"/>
        </w:rPr>
      </w:pPr>
    </w:p>
    <w:p>
      <w:pPr>
        <w:ind w:left="1800" w:right="7620"/>
        <w:spacing w:after="0" w:line="264" w:lineRule="auto"/>
        <w:rPr>
          <w:rFonts w:ascii="Arial" w:cs="Arial" w:eastAsia="Arial" w:hAnsi="Arial"/>
          <w:sz w:val="17"/>
          <w:szCs w:val="17"/>
          <w:color w:val="auto"/>
        </w:rPr>
      </w:pPr>
      <w:r>
        <w:rPr>
          <w:rFonts w:ascii="Arial" w:cs="Arial" w:eastAsia="Arial" w:hAnsi="Arial"/>
          <w:sz w:val="15"/>
          <w:szCs w:val="15"/>
          <w:color w:val="auto"/>
        </w:rPr>
        <w:t>c/o Magna Management, LLC 40 Wall Street, 58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Floor New York, New York 10005 Email: marc.manuel@mag.na Attn: Marc Manuel</w:t>
      </w:r>
    </w:p>
    <w:p>
      <w:pPr>
        <w:spacing w:after="0" w:line="170"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7"/>
          <w:szCs w:val="17"/>
          <w:color w:val="auto"/>
        </w:rPr>
        <w:t>with a copy (which shall not constitute notice) to:</w:t>
      </w:r>
    </w:p>
    <w:p>
      <w:pPr>
        <w:spacing w:after="0" w:line="202" w:lineRule="exact"/>
        <w:rPr>
          <w:rFonts w:ascii="Arial" w:cs="Arial" w:eastAsia="Arial" w:hAnsi="Arial"/>
          <w:sz w:val="17"/>
          <w:szCs w:val="17"/>
          <w:color w:val="auto"/>
        </w:rPr>
      </w:pPr>
    </w:p>
    <w:p>
      <w:pPr>
        <w:ind w:left="1800" w:right="8400"/>
        <w:spacing w:after="0" w:line="285" w:lineRule="auto"/>
        <w:rPr>
          <w:rFonts w:ascii="Arial" w:cs="Arial" w:eastAsia="Arial" w:hAnsi="Arial"/>
          <w:sz w:val="17"/>
          <w:szCs w:val="17"/>
          <w:color w:val="auto"/>
        </w:rPr>
      </w:pPr>
      <w:r>
        <w:rPr>
          <w:rFonts w:ascii="Arial" w:cs="Arial" w:eastAsia="Arial" w:hAnsi="Arial"/>
          <w:sz w:val="15"/>
          <w:szCs w:val="15"/>
          <w:color w:val="auto"/>
        </w:rPr>
        <w:t>Loeb &amp; Loeb LLP 345 Park Avenue</w:t>
      </w:r>
    </w:p>
    <w:p>
      <w:pPr>
        <w:spacing w:after="0" w:line="1" w:lineRule="exact"/>
        <w:rPr>
          <w:rFonts w:ascii="Arial" w:cs="Arial" w:eastAsia="Arial" w:hAnsi="Arial"/>
          <w:sz w:val="17"/>
          <w:szCs w:val="17"/>
          <w:color w:val="auto"/>
        </w:rPr>
      </w:pPr>
    </w:p>
    <w:p>
      <w:pPr>
        <w:ind w:left="1800" w:right="7720"/>
        <w:spacing w:after="0" w:line="295" w:lineRule="auto"/>
        <w:rPr>
          <w:rFonts w:ascii="Arial" w:cs="Arial" w:eastAsia="Arial" w:hAnsi="Arial"/>
          <w:sz w:val="17"/>
          <w:szCs w:val="17"/>
          <w:color w:val="auto"/>
        </w:rPr>
      </w:pPr>
      <w:r>
        <w:rPr>
          <w:rFonts w:ascii="Arial" w:cs="Arial" w:eastAsia="Arial" w:hAnsi="Arial"/>
          <w:sz w:val="15"/>
          <w:szCs w:val="15"/>
          <w:color w:val="auto"/>
        </w:rPr>
        <w:t>New York, New York 10154 Email: gcaruso@loeb.com Attn: Giovanni Caruso</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90" w:name="page91"/>
    <w:bookmarkEnd w:id="90"/>
    <w:p>
      <w:pPr>
        <w:ind w:left="1200"/>
        <w:spacing w:after="0"/>
        <w:tabs>
          <w:tab w:leader="none" w:pos="2280" w:val="left"/>
        </w:tabs>
        <w:rPr>
          <w:sz w:val="20"/>
          <w:szCs w:val="20"/>
          <w:color w:val="auto"/>
        </w:rPr>
      </w:pPr>
      <w:r>
        <w:rPr>
          <w:rFonts w:ascii="Arial" w:cs="Arial" w:eastAsia="Arial" w:hAnsi="Arial"/>
          <w:sz w:val="17"/>
          <w:szCs w:val="17"/>
          <w:color w:val="010000"/>
        </w:rPr>
        <w:t>Section 8.02</w:t>
      </w:r>
      <w:r>
        <w:rPr>
          <w:sz w:val="20"/>
          <w:szCs w:val="20"/>
          <w:color w:val="auto"/>
        </w:rPr>
        <w:tab/>
      </w:r>
      <w:r>
        <w:rPr>
          <w:rFonts w:ascii="Arial" w:cs="Arial" w:eastAsia="Arial" w:hAnsi="Arial"/>
          <w:sz w:val="15"/>
          <w:szCs w:val="15"/>
          <w:u w:val="single" w:color="auto"/>
          <w:color w:val="auto"/>
        </w:rPr>
        <w:t>Amendments and Modifications</w:t>
      </w:r>
      <w:r>
        <w:rPr>
          <w:rFonts w:ascii="Arial" w:cs="Arial" w:eastAsia="Arial" w:hAnsi="Arial"/>
          <w:sz w:val="15"/>
          <w:szCs w:val="15"/>
          <w:color w:val="auto"/>
        </w:rPr>
        <w:t>. Any provision of this Agreement may be amended or modified only by a written instrument signed by</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each Party.</w:t>
      </w:r>
    </w:p>
    <w:p>
      <w:pPr>
        <w:spacing w:after="0" w:line="190" w:lineRule="exact"/>
        <w:rPr>
          <w:sz w:val="20"/>
          <w:szCs w:val="20"/>
          <w:color w:val="auto"/>
        </w:rPr>
      </w:pPr>
    </w:p>
    <w:p>
      <w:pPr>
        <w:jc w:val="both"/>
        <w:ind w:firstLine="1195"/>
        <w:spacing w:after="0" w:line="290" w:lineRule="auto"/>
        <w:rPr>
          <w:sz w:val="20"/>
          <w:szCs w:val="20"/>
          <w:color w:val="auto"/>
        </w:rPr>
      </w:pPr>
      <w:r>
        <w:rPr>
          <w:rFonts w:ascii="Arial" w:cs="Arial" w:eastAsia="Arial" w:hAnsi="Arial"/>
          <w:sz w:val="15"/>
          <w:szCs w:val="15"/>
          <w:color w:val="010000"/>
        </w:rPr>
        <w:t xml:space="preserve">Section 8.03 </w:t>
      </w:r>
      <w:r>
        <w:rPr>
          <w:rFonts w:ascii="Arial" w:cs="Arial" w:eastAsia="Arial" w:hAnsi="Arial"/>
          <w:sz w:val="15"/>
          <w:szCs w:val="15"/>
          <w:u w:val="single" w:color="auto"/>
          <w:color w:val="000000"/>
        </w:rPr>
        <w:t>Waiver</w:t>
      </w:r>
      <w:r>
        <w:rPr>
          <w:rFonts w:ascii="Arial" w:cs="Arial" w:eastAsia="Arial" w:hAnsi="Arial"/>
          <w:sz w:val="15"/>
          <w:szCs w:val="15"/>
          <w:color w:val="000000"/>
        </w:rPr>
        <w:t>. No waiver hereunder shall be valid or binding unless set forth in writing and duly executed by the Party against whom</w:t>
      </w:r>
      <w:r>
        <w:rPr>
          <w:rFonts w:ascii="Arial" w:cs="Arial" w:eastAsia="Arial" w:hAnsi="Arial"/>
          <w:sz w:val="15"/>
          <w:szCs w:val="15"/>
          <w:color w:val="010000"/>
        </w:rPr>
        <w:t xml:space="preserve"> </w:t>
      </w:r>
      <w:r>
        <w:rPr>
          <w:rFonts w:ascii="Arial" w:cs="Arial" w:eastAsia="Arial" w:hAnsi="Arial"/>
          <w:sz w:val="15"/>
          <w:szCs w:val="15"/>
          <w:color w:val="000000"/>
        </w:rPr>
        <w:t>enforcement of the waiver is sought. Any such waiver shall constitute a waiver only with respect to the specific matter described in such writing and shall in no way impair the rights of the Party granting such waiver in any other respect or at any other time. Neither the waiver by any Party of a breach of or a default under any provision of this Agreement, nor the failure by any Party, on one or more occasions, to enforce any provision of this Agreement or to exercise any right or privilege hereunder, shall be construed as a waiver of any other breach or default of a similar nature, or as a waiver of any such provision, right or privilege hereunder.</w:t>
      </w:r>
    </w:p>
    <w:p>
      <w:pPr>
        <w:spacing w:after="0" w:line="153" w:lineRule="exact"/>
        <w:rPr>
          <w:sz w:val="20"/>
          <w:szCs w:val="20"/>
          <w:color w:val="auto"/>
        </w:rPr>
      </w:pPr>
    </w:p>
    <w:p>
      <w:pPr>
        <w:jc w:val="both"/>
        <w:ind w:firstLine="1195"/>
        <w:spacing w:after="0" w:line="249" w:lineRule="auto"/>
        <w:rPr>
          <w:sz w:val="20"/>
          <w:szCs w:val="20"/>
          <w:color w:val="auto"/>
        </w:rPr>
      </w:pPr>
      <w:r>
        <w:rPr>
          <w:rFonts w:ascii="Arial" w:cs="Arial" w:eastAsia="Arial" w:hAnsi="Arial"/>
          <w:sz w:val="17"/>
          <w:szCs w:val="17"/>
          <w:color w:val="010000"/>
        </w:rPr>
        <w:t xml:space="preserve">Section 8.04 </w:t>
      </w:r>
      <w:r>
        <w:rPr>
          <w:rFonts w:ascii="Arial" w:cs="Arial" w:eastAsia="Arial" w:hAnsi="Arial"/>
          <w:sz w:val="17"/>
          <w:szCs w:val="17"/>
          <w:u w:val="single" w:color="auto"/>
          <w:color w:val="000000"/>
        </w:rPr>
        <w:t>Expenses</w:t>
      </w:r>
      <w:r>
        <w:rPr>
          <w:rFonts w:ascii="Arial" w:cs="Arial" w:eastAsia="Arial" w:hAnsi="Arial"/>
          <w:sz w:val="17"/>
          <w:szCs w:val="17"/>
          <w:color w:val="000000"/>
        </w:rPr>
        <w:t>. Except as otherwise expressly provided herein, all costs and expenses incurred in connection with the preparation, negotiation</w:t>
      </w:r>
      <w:r>
        <w:rPr>
          <w:rFonts w:ascii="Arial" w:cs="Arial" w:eastAsia="Arial" w:hAnsi="Arial"/>
          <w:sz w:val="17"/>
          <w:szCs w:val="17"/>
          <w:color w:val="010000"/>
        </w:rPr>
        <w:t xml:space="preserve"> </w:t>
      </w:r>
      <w:r>
        <w:rPr>
          <w:rFonts w:ascii="Arial" w:cs="Arial" w:eastAsia="Arial" w:hAnsi="Arial"/>
          <w:sz w:val="17"/>
          <w:szCs w:val="17"/>
          <w:color w:val="000000"/>
        </w:rPr>
        <w:t xml:space="preserve">and execution of this Agreement, and the consummation of the transactions contemplated hereby, including any advisor fees and expenses, whether or not the transactions contemplated hereby are consummated, shall be paid by the Person incurring such cost or expense;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for the avoidance of doubt, nothing in this </w:t>
      </w:r>
      <w:r>
        <w:rPr>
          <w:rFonts w:ascii="Arial" w:cs="Arial" w:eastAsia="Arial" w:hAnsi="Arial"/>
          <w:sz w:val="17"/>
          <w:szCs w:val="17"/>
          <w:u w:val="single" w:color="auto"/>
          <w:color w:val="000000"/>
        </w:rPr>
        <w:t>Section 8.04</w:t>
      </w:r>
      <w:r>
        <w:rPr>
          <w:rFonts w:ascii="Arial" w:cs="Arial" w:eastAsia="Arial" w:hAnsi="Arial"/>
          <w:sz w:val="17"/>
          <w:szCs w:val="17"/>
          <w:color w:val="000000"/>
        </w:rPr>
        <w:t xml:space="preserve"> shall impair a Party’s rights under </w:t>
      </w:r>
      <w:r>
        <w:rPr>
          <w:rFonts w:ascii="Arial" w:cs="Arial" w:eastAsia="Arial" w:hAnsi="Arial"/>
          <w:sz w:val="17"/>
          <w:szCs w:val="17"/>
          <w:u w:val="single" w:color="auto"/>
          <w:color w:val="000000"/>
        </w:rPr>
        <w:t>Section 7.02</w:t>
      </w:r>
      <w:r>
        <w:rPr>
          <w:rFonts w:ascii="Arial" w:cs="Arial" w:eastAsia="Arial" w:hAnsi="Arial"/>
          <w:sz w:val="17"/>
          <w:szCs w:val="17"/>
          <w:color w:val="000000"/>
        </w:rPr>
        <w:t xml:space="preserve"> in the event this Agreement has been validly terminated, and the other Party had materially breached this Agreement prior to the time of such termination.</w:t>
      </w:r>
    </w:p>
    <w:p>
      <w:pPr>
        <w:spacing w:after="0" w:line="181" w:lineRule="exact"/>
        <w:rPr>
          <w:sz w:val="20"/>
          <w:szCs w:val="20"/>
          <w:color w:val="auto"/>
        </w:rPr>
      </w:pPr>
    </w:p>
    <w:p>
      <w:pPr>
        <w:jc w:val="both"/>
        <w:ind w:firstLine="1195"/>
        <w:spacing w:after="0" w:line="278" w:lineRule="auto"/>
        <w:rPr>
          <w:sz w:val="20"/>
          <w:szCs w:val="20"/>
          <w:color w:val="auto"/>
        </w:rPr>
      </w:pPr>
      <w:r>
        <w:rPr>
          <w:rFonts w:ascii="Arial" w:cs="Arial" w:eastAsia="Arial" w:hAnsi="Arial"/>
          <w:sz w:val="16"/>
          <w:szCs w:val="16"/>
          <w:color w:val="010000"/>
        </w:rPr>
        <w:t xml:space="preserve">Section 8.05 </w:t>
      </w:r>
      <w:r>
        <w:rPr>
          <w:rFonts w:ascii="Arial" w:cs="Arial" w:eastAsia="Arial" w:hAnsi="Arial"/>
          <w:sz w:val="16"/>
          <w:szCs w:val="16"/>
          <w:u w:val="single" w:color="auto"/>
          <w:color w:val="000000"/>
        </w:rPr>
        <w:t>Assignment</w:t>
      </w:r>
      <w:r>
        <w:rPr>
          <w:rFonts w:ascii="Arial" w:cs="Arial" w:eastAsia="Arial" w:hAnsi="Arial"/>
          <w:sz w:val="16"/>
          <w:szCs w:val="16"/>
          <w:color w:val="000000"/>
        </w:rPr>
        <w:t>. Neither this Agreement nor any rights, interests or obligations hereunder shall be assigned by any Party (whether by</w:t>
      </w:r>
      <w:r>
        <w:rPr>
          <w:rFonts w:ascii="Arial" w:cs="Arial" w:eastAsia="Arial" w:hAnsi="Arial"/>
          <w:sz w:val="16"/>
          <w:szCs w:val="16"/>
          <w:color w:val="010000"/>
        </w:rPr>
        <w:t xml:space="preserve"> </w:t>
      </w:r>
      <w:r>
        <w:rPr>
          <w:rFonts w:ascii="Arial" w:cs="Arial" w:eastAsia="Arial" w:hAnsi="Arial"/>
          <w:sz w:val="16"/>
          <w:szCs w:val="16"/>
          <w:color w:val="000000"/>
        </w:rPr>
        <w:t xml:space="preserve">operation of law or otherwise) without the prior written consent of the other Party, and any purported assignment without such consent shall be null and void </w:t>
      </w:r>
      <w:r>
        <w:rPr>
          <w:rFonts w:ascii="Arial" w:cs="Arial" w:eastAsia="Arial" w:hAnsi="Arial"/>
          <w:sz w:val="16"/>
          <w:szCs w:val="16"/>
          <w:i w:val="1"/>
          <w:iCs w:val="1"/>
          <w:color w:val="000000"/>
        </w:rPr>
        <w:t>ab initio</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notwithstanding the foregoing, Priority may assign any of its rights, interests or obligations hereunder to any of its Affiliates.</w:t>
      </w:r>
    </w:p>
    <w:p>
      <w:pPr>
        <w:spacing w:after="0" w:line="157" w:lineRule="exact"/>
        <w:rPr>
          <w:sz w:val="20"/>
          <w:szCs w:val="20"/>
          <w:color w:val="auto"/>
        </w:rPr>
      </w:pPr>
    </w:p>
    <w:p>
      <w:pPr>
        <w:jc w:val="both"/>
        <w:ind w:firstLine="1195"/>
        <w:spacing w:after="0" w:line="264" w:lineRule="auto"/>
        <w:rPr>
          <w:sz w:val="20"/>
          <w:szCs w:val="20"/>
          <w:color w:val="auto"/>
        </w:rPr>
      </w:pPr>
      <w:r>
        <w:rPr>
          <w:rFonts w:ascii="Arial" w:cs="Arial" w:eastAsia="Arial" w:hAnsi="Arial"/>
          <w:sz w:val="17"/>
          <w:szCs w:val="17"/>
          <w:color w:val="010000"/>
        </w:rPr>
        <w:t xml:space="preserve">Section 8.06 </w:t>
      </w:r>
      <w:r>
        <w:rPr>
          <w:rFonts w:ascii="Arial" w:cs="Arial" w:eastAsia="Arial" w:hAnsi="Arial"/>
          <w:sz w:val="17"/>
          <w:szCs w:val="17"/>
          <w:u w:val="single" w:color="auto"/>
          <w:color w:val="000000"/>
        </w:rPr>
        <w:t>Parties in Interest</w:t>
      </w:r>
      <w:r>
        <w:rPr>
          <w:rFonts w:ascii="Arial" w:cs="Arial" w:eastAsia="Arial" w:hAnsi="Arial"/>
          <w:sz w:val="17"/>
          <w:szCs w:val="17"/>
          <w:color w:val="000000"/>
        </w:rPr>
        <w:t>. This Agreement will be binding upon, inure solely to the benefit of and be enforceable by the Parties and their</w:t>
      </w:r>
      <w:r>
        <w:rPr>
          <w:rFonts w:ascii="Arial" w:cs="Arial" w:eastAsia="Arial" w:hAnsi="Arial"/>
          <w:sz w:val="17"/>
          <w:szCs w:val="17"/>
          <w:color w:val="010000"/>
        </w:rPr>
        <w:t xml:space="preserve"> </w:t>
      </w:r>
      <w:r>
        <w:rPr>
          <w:rFonts w:ascii="Arial" w:cs="Arial" w:eastAsia="Arial" w:hAnsi="Arial"/>
          <w:sz w:val="17"/>
          <w:szCs w:val="17"/>
          <w:color w:val="000000"/>
        </w:rPr>
        <w:t xml:space="preserve">respective successors and permitted assigns, except to the extent otherwise provided in </w:t>
      </w:r>
      <w:r>
        <w:rPr>
          <w:rFonts w:ascii="Arial" w:cs="Arial" w:eastAsia="Arial" w:hAnsi="Arial"/>
          <w:sz w:val="17"/>
          <w:szCs w:val="17"/>
          <w:u w:val="single" w:color="auto"/>
          <w:color w:val="000000"/>
        </w:rPr>
        <w:t>Section 8.12</w:t>
      </w:r>
      <w:r>
        <w:rPr>
          <w:rFonts w:ascii="Arial" w:cs="Arial" w:eastAsia="Arial" w:hAnsi="Arial"/>
          <w:sz w:val="17"/>
          <w:szCs w:val="17"/>
          <w:color w:val="000000"/>
        </w:rPr>
        <w:t>.</w:t>
      </w:r>
    </w:p>
    <w:p>
      <w:pPr>
        <w:spacing w:after="0" w:line="168"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8.07 </w:t>
      </w:r>
      <w:r>
        <w:rPr>
          <w:rFonts w:ascii="Arial" w:cs="Arial" w:eastAsia="Arial" w:hAnsi="Arial"/>
          <w:sz w:val="17"/>
          <w:szCs w:val="17"/>
          <w:u w:val="single" w:color="auto"/>
          <w:color w:val="000000"/>
        </w:rPr>
        <w:t>Governing Law</w:t>
      </w:r>
      <w:r>
        <w:rPr>
          <w:rFonts w:ascii="Arial" w:cs="Arial" w:eastAsia="Arial" w:hAnsi="Arial"/>
          <w:sz w:val="17"/>
          <w:szCs w:val="17"/>
          <w:color w:val="000000"/>
        </w:rPr>
        <w:t>. This Agreement shall be construed, performed and enforced in accordance with the Laws of the State of Delaware</w:t>
      </w:r>
      <w:r>
        <w:rPr>
          <w:rFonts w:ascii="Arial" w:cs="Arial" w:eastAsia="Arial" w:hAnsi="Arial"/>
          <w:sz w:val="17"/>
          <w:szCs w:val="17"/>
          <w:color w:val="010000"/>
        </w:rPr>
        <w:t xml:space="preserve"> </w:t>
      </w:r>
      <w:r>
        <w:rPr>
          <w:rFonts w:ascii="Arial" w:cs="Arial" w:eastAsia="Arial" w:hAnsi="Arial"/>
          <w:sz w:val="17"/>
          <w:szCs w:val="17"/>
          <w:color w:val="000000"/>
        </w:rPr>
        <w:t>(without giving effect to its principles or rules of conflict of laws to the extent such principles or rules would require or permit the application of the Laws of another jurisdiction) as to all matters, including matters of validity, construction, effect, performance and remedies.</w:t>
      </w:r>
    </w:p>
    <w:p>
      <w:pPr>
        <w:spacing w:after="0" w:line="176" w:lineRule="exact"/>
        <w:rPr>
          <w:sz w:val="20"/>
          <w:szCs w:val="20"/>
          <w:color w:val="auto"/>
        </w:rPr>
      </w:pPr>
    </w:p>
    <w:p>
      <w:pPr>
        <w:ind w:left="1200"/>
        <w:spacing w:after="0"/>
        <w:tabs>
          <w:tab w:leader="none" w:pos="2260" w:val="left"/>
        </w:tabs>
        <w:rPr>
          <w:sz w:val="20"/>
          <w:szCs w:val="20"/>
          <w:color w:val="auto"/>
        </w:rPr>
      </w:pPr>
      <w:r>
        <w:rPr>
          <w:rFonts w:ascii="Arial" w:cs="Arial" w:eastAsia="Arial" w:hAnsi="Arial"/>
          <w:sz w:val="17"/>
          <w:szCs w:val="17"/>
          <w:color w:val="010000"/>
        </w:rPr>
        <w:t>Section 8.08</w:t>
      </w:r>
      <w:r>
        <w:rPr>
          <w:sz w:val="20"/>
          <w:szCs w:val="20"/>
          <w:color w:val="auto"/>
        </w:rPr>
        <w:tab/>
      </w:r>
      <w:r>
        <w:rPr>
          <w:rFonts w:ascii="Arial" w:cs="Arial" w:eastAsia="Arial" w:hAnsi="Arial"/>
          <w:sz w:val="15"/>
          <w:szCs w:val="15"/>
          <w:u w:val="single" w:color="auto"/>
          <w:color w:val="auto"/>
        </w:rPr>
        <w:t>Jurisdiction</w:t>
      </w:r>
      <w:r>
        <w:rPr>
          <w:rFonts w:ascii="Arial" w:cs="Arial" w:eastAsia="Arial" w:hAnsi="Arial"/>
          <w:sz w:val="15"/>
          <w:szCs w:val="15"/>
          <w:color w:val="auto"/>
        </w:rPr>
        <w:t>.</w:t>
      </w:r>
    </w:p>
    <w:p>
      <w:pPr>
        <w:spacing w:after="0" w:line="203" w:lineRule="exact"/>
        <w:rPr>
          <w:sz w:val="20"/>
          <w:szCs w:val="20"/>
          <w:color w:val="auto"/>
        </w:rPr>
      </w:pPr>
    </w:p>
    <w:p>
      <w:pPr>
        <w:jc w:val="both"/>
        <w:ind w:firstLine="1195"/>
        <w:spacing w:after="0" w:line="286" w:lineRule="auto"/>
        <w:tabs>
          <w:tab w:leader="none" w:pos="1794" w:val="left"/>
        </w:tabs>
        <w:numPr>
          <w:ilvl w:val="0"/>
          <w:numId w:val="80"/>
        </w:numPr>
        <w:rPr>
          <w:rFonts w:ascii="Arial" w:cs="Arial" w:eastAsia="Arial" w:hAnsi="Arial"/>
          <w:sz w:val="15"/>
          <w:szCs w:val="15"/>
          <w:color w:val="010000"/>
        </w:rPr>
      </w:pPr>
      <w:r>
        <w:rPr>
          <w:rFonts w:ascii="Arial" w:cs="Arial" w:eastAsia="Arial" w:hAnsi="Arial"/>
          <w:sz w:val="15"/>
          <w:szCs w:val="15"/>
          <w:color w:val="auto"/>
        </w:rPr>
        <w:t xml:space="preserve">Each of the Parties irrevocably agrees that any Proceeding with respect to this Agreement and the rights and obligations arising hereunder, or for recognition and enforcement of any judgment in respect of this Agreement and the rights and obligations arising hereunder brought by the other Party or its successors or assigns, shall be brought and determined exclusively in the United State District Court for the District of Delaware or any state court sitting in the City of Wilmington in the State of Delaware. Each of the Parties hereby irrevocably submits with regard to any such Proceeding for itself and in respect of its property, generally and unconditionally, to the personal jurisdiction of the aforesaid courts and agrees that it will not bring any Proceeding relating to this Agreement or the transactions contemplated hereby in any court other than the aforesaid courts. Each of the Parties hereby agrees that service of process, summons, notice or document by registered mail addressed to them at its address provided in </w:t>
      </w:r>
      <w:r>
        <w:rPr>
          <w:rFonts w:ascii="Arial" w:cs="Arial" w:eastAsia="Arial" w:hAnsi="Arial"/>
          <w:sz w:val="15"/>
          <w:szCs w:val="15"/>
          <w:u w:val="single" w:color="auto"/>
          <w:color w:val="auto"/>
        </w:rPr>
        <w:t>Section 8.01</w:t>
      </w:r>
      <w:r>
        <w:rPr>
          <w:rFonts w:ascii="Arial" w:cs="Arial" w:eastAsia="Arial" w:hAnsi="Arial"/>
          <w:sz w:val="15"/>
          <w:szCs w:val="15"/>
          <w:color w:val="auto"/>
        </w:rPr>
        <w:t xml:space="preserve"> shall be effective service of process against them for any such Proceeding brought in any of the aforesaid courts.</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91" w:name="page92"/>
    <w:bookmarkEnd w:id="91"/>
    <w:p>
      <w:pPr>
        <w:jc w:val="both"/>
        <w:ind w:firstLine="1195"/>
        <w:spacing w:after="0" w:line="280" w:lineRule="auto"/>
        <w:tabs>
          <w:tab w:leader="none" w:pos="1854" w:val="left"/>
        </w:tabs>
        <w:numPr>
          <w:ilvl w:val="1"/>
          <w:numId w:val="81"/>
        </w:numPr>
        <w:rPr>
          <w:rFonts w:ascii="Arial" w:cs="Arial" w:eastAsia="Arial" w:hAnsi="Arial"/>
          <w:sz w:val="15"/>
          <w:szCs w:val="15"/>
          <w:color w:val="010000"/>
        </w:rPr>
      </w:pPr>
      <w:r>
        <w:rPr>
          <w:rFonts w:ascii="Arial" w:cs="Arial" w:eastAsia="Arial" w:hAnsi="Arial"/>
          <w:sz w:val="15"/>
          <w:szCs w:val="15"/>
          <w:color w:val="auto"/>
        </w:rPr>
        <w:t xml:space="preserve">Each of the Parties hereby irrevocably waives, and agrees not to assert as a defense, counterclaim or otherwise, in any Proceeding with respect to this Agreement, (i) any claim that it is not personally subject to the jurisdiction of the aforesaid courts for any reason other than the failure to serve in accordance with </w:t>
      </w:r>
      <w:r>
        <w:rPr>
          <w:rFonts w:ascii="Arial" w:cs="Arial" w:eastAsia="Arial" w:hAnsi="Arial"/>
          <w:sz w:val="15"/>
          <w:szCs w:val="15"/>
          <w:u w:val="single" w:color="auto"/>
          <w:color w:val="auto"/>
        </w:rPr>
        <w:t>Section 8.01</w:t>
      </w:r>
      <w:r>
        <w:rPr>
          <w:rFonts w:ascii="Arial" w:cs="Arial" w:eastAsia="Arial" w:hAnsi="Arial"/>
          <w:sz w:val="15"/>
          <w:szCs w:val="15"/>
          <w:color w:val="auto"/>
        </w:rPr>
        <w:t>; (ii) any claim that it or its property is exempt or immune from jurisdiction of any such court or from any Proceeding commenced in such courts (whether through service of notice, attachment prior to judgment, attachment in aid of execution of judgment, execution of judgment or otherwise); and (iii) to the fullest extent permitted by the applicable Law, any claim that (A) such Proceeding in such court is brought in an inconvenient forum; (B) the venue of such Proceeding is improper; or</w:t>
      </w:r>
    </w:p>
    <w:p>
      <w:pPr>
        <w:spacing w:after="0" w:line="2" w:lineRule="exact"/>
        <w:rPr>
          <w:rFonts w:ascii="Arial" w:cs="Arial" w:eastAsia="Arial" w:hAnsi="Arial"/>
          <w:sz w:val="15"/>
          <w:szCs w:val="15"/>
          <w:color w:val="010000"/>
        </w:rPr>
      </w:pPr>
    </w:p>
    <w:p>
      <w:pPr>
        <w:ind w:left="260" w:hanging="260"/>
        <w:spacing w:after="0"/>
        <w:tabs>
          <w:tab w:leader="none" w:pos="2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this Agreement, or the subject matter hereof, may not be enforced in or by such courts.</w:t>
      </w:r>
    </w:p>
    <w:p>
      <w:pPr>
        <w:spacing w:after="0" w:line="190" w:lineRule="exact"/>
        <w:rPr>
          <w:sz w:val="20"/>
          <w:szCs w:val="20"/>
          <w:color w:val="auto"/>
        </w:rPr>
      </w:pPr>
    </w:p>
    <w:p>
      <w:pPr>
        <w:ind w:left="1200"/>
        <w:spacing w:after="0"/>
        <w:tabs>
          <w:tab w:leader="none" w:pos="2260" w:val="left"/>
        </w:tabs>
        <w:rPr>
          <w:sz w:val="20"/>
          <w:szCs w:val="20"/>
          <w:color w:val="auto"/>
        </w:rPr>
      </w:pPr>
      <w:r>
        <w:rPr>
          <w:rFonts w:ascii="Arial" w:cs="Arial" w:eastAsia="Arial" w:hAnsi="Arial"/>
          <w:sz w:val="17"/>
          <w:szCs w:val="17"/>
          <w:color w:val="010000"/>
        </w:rPr>
        <w:t>Section 8.09</w:t>
      </w:r>
      <w:r>
        <w:rPr>
          <w:sz w:val="20"/>
          <w:szCs w:val="20"/>
          <w:color w:val="auto"/>
        </w:rPr>
        <w:tab/>
      </w:r>
      <w:r>
        <w:rPr>
          <w:rFonts w:ascii="Arial" w:cs="Arial" w:eastAsia="Arial" w:hAnsi="Arial"/>
          <w:sz w:val="15"/>
          <w:szCs w:val="15"/>
          <w:u w:val="single" w:color="auto"/>
          <w:color w:val="auto"/>
        </w:rPr>
        <w:t>Waiver of Jury Trial.</w:t>
      </w:r>
    </w:p>
    <w:p>
      <w:pPr>
        <w:spacing w:after="0" w:line="199" w:lineRule="exact"/>
        <w:rPr>
          <w:sz w:val="20"/>
          <w:szCs w:val="20"/>
          <w:color w:val="auto"/>
        </w:rPr>
      </w:pPr>
    </w:p>
    <w:p>
      <w:pPr>
        <w:jc w:val="both"/>
        <w:ind w:firstLine="1195"/>
        <w:spacing w:after="0" w:line="247" w:lineRule="auto"/>
        <w:tabs>
          <w:tab w:leader="none" w:pos="1894" w:val="left"/>
        </w:tabs>
        <w:numPr>
          <w:ilvl w:val="0"/>
          <w:numId w:val="83"/>
        </w:numPr>
        <w:rPr>
          <w:rFonts w:ascii="Arial" w:cs="Arial" w:eastAsia="Arial" w:hAnsi="Arial"/>
          <w:sz w:val="17"/>
          <w:szCs w:val="17"/>
          <w:color w:val="010000"/>
        </w:rPr>
      </w:pPr>
      <w:r>
        <w:rPr>
          <w:rFonts w:ascii="Arial" w:cs="Arial" w:eastAsia="Arial" w:hAnsi="Arial"/>
          <w:sz w:val="17"/>
          <w:szCs w:val="17"/>
          <w:b w:val="1"/>
          <w:bCs w:val="1"/>
          <w:color w:val="auto"/>
        </w:rPr>
        <w:t xml:space="preserve">EACH PARTY ACKNOWLEDGES AND AGREES THAT ANY CONTROVERSY OR CLAIM THAT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OR THE TRANSACTIONS CONTEMPLATED HEREBY. THIS WAIVER MAY NOT BE MODIFIED EITHER ORALLY OR IN WRITING (OTHER THAN BY A MUTUAL WRITTEN WAIVER SPECIFICALLY REFERRING TO THIS </w:t>
      </w:r>
      <w:r>
        <w:rPr>
          <w:rFonts w:ascii="Arial" w:cs="Arial" w:eastAsia="Arial" w:hAnsi="Arial"/>
          <w:sz w:val="17"/>
          <w:szCs w:val="17"/>
          <w:b w:val="1"/>
          <w:bCs w:val="1"/>
          <w:u w:val="single" w:color="auto"/>
          <w:color w:val="auto"/>
        </w:rPr>
        <w:t>SECTION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8.09(a)</w:t>
      </w:r>
      <w:r>
        <w:rPr>
          <w:rFonts w:ascii="Arial" w:cs="Arial" w:eastAsia="Arial" w:hAnsi="Arial"/>
          <w:sz w:val="17"/>
          <w:szCs w:val="17"/>
          <w:b w:val="1"/>
          <w:bCs w:val="1"/>
          <w:color w:val="auto"/>
        </w:rPr>
        <w:t xml:space="preserve"> AND EXECUTED BY EACH PARTY). THIS WAIVER SHALL APPLY TO ANY SUBSEQUENT AMENDMENTS, RENEWALS, SUPPLEMENTS OR MODIFICATIONS TO THIS AGREEMENT OR ANY OTHER AGREEMENTS OR DOCUMENTS RELATING TO THE TRANSACTIONS CONTEMPLATED HEREBY. </w:t>
      </w:r>
      <w:r>
        <w:rPr>
          <w:rFonts w:ascii="Arial" w:cs="Arial" w:eastAsia="Arial" w:hAnsi="Arial"/>
          <w:sz w:val="17"/>
          <w:szCs w:val="17"/>
          <w:color w:val="auto"/>
        </w:rPr>
        <w:t>The scope of this waiver is intended to be all-encompassing of any and all disputes that may be filed in any court and that relate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matter of the transactions contemplated hereby, including contract claims, tort claims, breach-of-duty claims and all other common law and statutory claims. In the event of litigation, this Agreement may be filed as a written consent to a trial by the court.</w:t>
      </w:r>
    </w:p>
    <w:p>
      <w:pPr>
        <w:spacing w:after="0" w:line="179" w:lineRule="exact"/>
        <w:rPr>
          <w:rFonts w:ascii="Arial" w:cs="Arial" w:eastAsia="Arial" w:hAnsi="Arial"/>
          <w:sz w:val="17"/>
          <w:szCs w:val="17"/>
          <w:color w:val="010000"/>
        </w:rPr>
      </w:pPr>
    </w:p>
    <w:p>
      <w:pPr>
        <w:jc w:val="both"/>
        <w:ind w:firstLine="1195"/>
        <w:spacing w:after="0" w:line="250" w:lineRule="auto"/>
        <w:tabs>
          <w:tab w:leader="none" w:pos="2053" w:val="left"/>
        </w:tabs>
        <w:numPr>
          <w:ilvl w:val="0"/>
          <w:numId w:val="83"/>
        </w:numPr>
        <w:rPr>
          <w:rFonts w:ascii="Arial" w:cs="Arial" w:eastAsia="Arial" w:hAnsi="Arial"/>
          <w:sz w:val="17"/>
          <w:szCs w:val="17"/>
          <w:color w:val="010000"/>
        </w:rPr>
      </w:pPr>
      <w:r>
        <w:rPr>
          <w:rFonts w:ascii="Arial" w:cs="Arial" w:eastAsia="Arial" w:hAnsi="Arial"/>
          <w:sz w:val="17"/>
          <w:szCs w:val="17"/>
          <w:b w:val="1"/>
          <w:bCs w:val="1"/>
          <w:color w:val="auto"/>
        </w:rPr>
        <w:t xml:space="preserve">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7"/>
          <w:szCs w:val="17"/>
          <w:b w:val="1"/>
          <w:bCs w:val="1"/>
          <w:u w:val="single" w:color="auto"/>
          <w:color w:val="auto"/>
        </w:rPr>
        <w:t>SECTION 8.09</w:t>
      </w:r>
      <w:r>
        <w:rPr>
          <w:rFonts w:ascii="Arial" w:cs="Arial" w:eastAsia="Arial" w:hAnsi="Arial"/>
          <w:sz w:val="17"/>
          <w:szCs w:val="17"/>
          <w:b w:val="1"/>
          <w:bCs w:val="1"/>
          <w:color w:val="auto"/>
        </w:rPr>
        <w:t>.</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92" w:name="page93"/>
    <w:bookmarkEnd w:id="92"/>
    <w:p>
      <w:pPr>
        <w:jc w:val="both"/>
        <w:ind w:firstLine="1195"/>
        <w:spacing w:after="0" w:line="251" w:lineRule="auto"/>
        <w:rPr>
          <w:sz w:val="20"/>
          <w:szCs w:val="20"/>
          <w:color w:val="auto"/>
        </w:rPr>
      </w:pPr>
      <w:r>
        <w:rPr>
          <w:rFonts w:ascii="Arial" w:cs="Arial" w:eastAsia="Arial" w:hAnsi="Arial"/>
          <w:sz w:val="17"/>
          <w:szCs w:val="17"/>
          <w:color w:val="010000"/>
        </w:rPr>
        <w:t xml:space="preserve">Section 8.10 </w:t>
      </w:r>
      <w:r>
        <w:rPr>
          <w:rFonts w:ascii="Arial" w:cs="Arial" w:eastAsia="Arial" w:hAnsi="Arial"/>
          <w:sz w:val="17"/>
          <w:szCs w:val="17"/>
          <w:u w:val="single" w:color="auto"/>
          <w:color w:val="000000"/>
        </w:rPr>
        <w:t>Relationship of the Parties</w:t>
      </w:r>
      <w:r>
        <w:rPr>
          <w:rFonts w:ascii="Arial" w:cs="Arial" w:eastAsia="Arial" w:hAnsi="Arial"/>
          <w:sz w:val="17"/>
          <w:szCs w:val="17"/>
          <w:color w:val="000000"/>
        </w:rPr>
        <w:t>. The Parties agree that this is an arm’s length transaction in which the Parties’ undertakings and obligations are</w:t>
      </w:r>
      <w:r>
        <w:rPr>
          <w:rFonts w:ascii="Arial" w:cs="Arial" w:eastAsia="Arial" w:hAnsi="Arial"/>
          <w:sz w:val="17"/>
          <w:szCs w:val="17"/>
          <w:color w:val="010000"/>
        </w:rPr>
        <w:t xml:space="preserve"> </w:t>
      </w:r>
      <w:r>
        <w:rPr>
          <w:rFonts w:ascii="Arial" w:cs="Arial" w:eastAsia="Arial" w:hAnsi="Arial"/>
          <w:sz w:val="17"/>
          <w:szCs w:val="17"/>
          <w:color w:val="000000"/>
        </w:rPr>
        <w:t>limited to the performance of their obligations under this Agreement. Priority acknowledges that it is a sophisticated investor and that it has only a contractual relationship with each Founder, based solely on the terms of this Agreement and the other Transaction Documents and the Confidentiality Agreement, and that there is no special relationship of trust or reliance between any Founder and Priority.</w:t>
      </w:r>
    </w:p>
    <w:p>
      <w:pPr>
        <w:spacing w:after="0" w:line="178" w:lineRule="exact"/>
        <w:rPr>
          <w:sz w:val="20"/>
          <w:szCs w:val="20"/>
          <w:color w:val="auto"/>
        </w:rPr>
      </w:pPr>
    </w:p>
    <w:p>
      <w:pPr>
        <w:jc w:val="both"/>
        <w:ind w:firstLine="1195"/>
        <w:spacing w:after="0" w:line="247" w:lineRule="auto"/>
        <w:rPr>
          <w:sz w:val="20"/>
          <w:szCs w:val="20"/>
          <w:color w:val="auto"/>
        </w:rPr>
      </w:pPr>
      <w:r>
        <w:rPr>
          <w:rFonts w:ascii="Arial" w:cs="Arial" w:eastAsia="Arial" w:hAnsi="Arial"/>
          <w:sz w:val="17"/>
          <w:szCs w:val="17"/>
          <w:color w:val="010000"/>
        </w:rPr>
        <w:t xml:space="preserve">Section 8.11 </w:t>
      </w:r>
      <w:r>
        <w:rPr>
          <w:rFonts w:ascii="Arial" w:cs="Arial" w:eastAsia="Arial" w:hAnsi="Arial"/>
          <w:sz w:val="17"/>
          <w:szCs w:val="17"/>
          <w:u w:val="single" w:color="auto"/>
          <w:color w:val="000000"/>
        </w:rPr>
        <w:t>Counterparts; Effectiveness</w:t>
      </w:r>
      <w:r>
        <w:rPr>
          <w:rFonts w:ascii="Arial" w:cs="Arial" w:eastAsia="Arial" w:hAnsi="Arial"/>
          <w:sz w:val="17"/>
          <w:szCs w:val="17"/>
          <w:color w:val="000000"/>
        </w:rPr>
        <w:t>. This Agreement may be executed in any number of counterparts, each of which shall be an original, with the</w:t>
      </w:r>
      <w:r>
        <w:rPr>
          <w:rFonts w:ascii="Arial" w:cs="Arial" w:eastAsia="Arial" w:hAnsi="Arial"/>
          <w:sz w:val="17"/>
          <w:szCs w:val="17"/>
          <w:color w:val="010000"/>
        </w:rPr>
        <w:t xml:space="preserve"> </w:t>
      </w:r>
      <w:r>
        <w:rPr>
          <w:rFonts w:ascii="Arial" w:cs="Arial" w:eastAsia="Arial" w:hAnsi="Arial"/>
          <w:sz w:val="17"/>
          <w:szCs w:val="17"/>
          <w:color w:val="000000"/>
        </w:rPr>
        <w:t>same effect as if the signatures thereto and hereto were upon the same instrument. In the event that any signature to this Agreement is delivered by facsimile transmission or by e-mail delivery of a portable document format (.pdf or similar format) data file, such signature shall create a valid and binding obligation of the Party executing (or on whose behalf such signature is executed) with the same force and effect as if such facsimile or “.pdf” signature page were an original thereof. This Agreement shall become effective when each Party shall have received a counterpart hereof signed by the other Party. Until and unless each Party has received a counterpart hereof signed by the other Party, this Agreement shall have no effect and no Party shall have any right or obligation hereunder (whether by virtue of any other oral or written agreement or other communication).</w:t>
      </w:r>
    </w:p>
    <w:p>
      <w:pPr>
        <w:spacing w:after="0" w:line="185"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8.12 </w:t>
      </w:r>
      <w:r>
        <w:rPr>
          <w:rFonts w:ascii="Arial" w:cs="Arial" w:eastAsia="Arial" w:hAnsi="Arial"/>
          <w:sz w:val="17"/>
          <w:szCs w:val="17"/>
          <w:u w:val="single" w:color="auto"/>
          <w:color w:val="000000"/>
        </w:rPr>
        <w:t>Third-Party Beneficiaries</w:t>
      </w:r>
      <w:r>
        <w:rPr>
          <w:rFonts w:ascii="Arial" w:cs="Arial" w:eastAsia="Arial" w:hAnsi="Arial"/>
          <w:sz w:val="17"/>
          <w:szCs w:val="17"/>
          <w:color w:val="000000"/>
        </w:rPr>
        <w:t>. The representations, warranties and agreements of the Parties contained herein are intended solely for the</w:t>
      </w:r>
      <w:r>
        <w:rPr>
          <w:rFonts w:ascii="Arial" w:cs="Arial" w:eastAsia="Arial" w:hAnsi="Arial"/>
          <w:sz w:val="17"/>
          <w:szCs w:val="17"/>
          <w:color w:val="010000"/>
        </w:rPr>
        <w:t xml:space="preserve"> </w:t>
      </w:r>
      <w:r>
        <w:rPr>
          <w:rFonts w:ascii="Arial" w:cs="Arial" w:eastAsia="Arial" w:hAnsi="Arial"/>
          <w:sz w:val="17"/>
          <w:szCs w:val="17"/>
          <w:color w:val="000000"/>
        </w:rPr>
        <w:t>benefit of the Party to whom such representations, warranties or agreements are made, and shall confer no rights hereunder, whether legal or equitable, in any other Person, and no other Person shall be entitled to rely thereon.</w:t>
      </w:r>
    </w:p>
    <w:p>
      <w:pPr>
        <w:spacing w:after="0" w:line="176" w:lineRule="exact"/>
        <w:rPr>
          <w:sz w:val="20"/>
          <w:szCs w:val="20"/>
          <w:color w:val="auto"/>
        </w:rPr>
      </w:pPr>
    </w:p>
    <w:p>
      <w:pPr>
        <w:jc w:val="both"/>
        <w:ind w:firstLine="1195"/>
        <w:spacing w:after="0" w:line="290" w:lineRule="auto"/>
        <w:rPr>
          <w:sz w:val="20"/>
          <w:szCs w:val="20"/>
          <w:color w:val="auto"/>
        </w:rPr>
      </w:pPr>
      <w:r>
        <w:rPr>
          <w:rFonts w:ascii="Arial" w:cs="Arial" w:eastAsia="Arial" w:hAnsi="Arial"/>
          <w:sz w:val="15"/>
          <w:szCs w:val="15"/>
          <w:color w:val="010000"/>
        </w:rPr>
        <w:t xml:space="preserve">Section 8.13 </w:t>
      </w:r>
      <w:r>
        <w:rPr>
          <w:rFonts w:ascii="Arial" w:cs="Arial" w:eastAsia="Arial" w:hAnsi="Arial"/>
          <w:sz w:val="15"/>
          <w:szCs w:val="15"/>
          <w:u w:val="single" w:color="auto"/>
          <w:color w:val="000000"/>
        </w:rPr>
        <w:t>Entire Agreement</w:t>
      </w:r>
      <w:r>
        <w:rPr>
          <w:rFonts w:ascii="Arial" w:cs="Arial" w:eastAsia="Arial" w:hAnsi="Arial"/>
          <w:sz w:val="15"/>
          <w:szCs w:val="15"/>
          <w:color w:val="000000"/>
        </w:rPr>
        <w:t>. This Agreement (including the Contribution Agreement and the other Transaction Documents and the other documents</w:t>
      </w:r>
      <w:r>
        <w:rPr>
          <w:rFonts w:ascii="Arial" w:cs="Arial" w:eastAsia="Arial" w:hAnsi="Arial"/>
          <w:sz w:val="15"/>
          <w:szCs w:val="15"/>
          <w:color w:val="010000"/>
        </w:rPr>
        <w:t xml:space="preserve"> </w:t>
      </w:r>
      <w:r>
        <w:rPr>
          <w:rFonts w:ascii="Arial" w:cs="Arial" w:eastAsia="Arial" w:hAnsi="Arial"/>
          <w:sz w:val="15"/>
          <w:szCs w:val="15"/>
          <w:color w:val="000000"/>
        </w:rPr>
        <w:t>and instruments referred to herein and therein) and the Confidentiality Agreement set forth the entire agreement and understanding of the Parties in respect of the Contemplated Transactions and supersede all prior discussions, negotiations, agreements, arrangements and understandings, whether oral or written, relating to the subject matter hereof and thereof. There are no warranties, representations or other agreements between the Parties in connection with the subject matter hereof, except as specifically set forth herein, or in the Contribution Agreement or the other Transaction Documents, or in the Confidentiality Agreement.</w:t>
      </w:r>
    </w:p>
    <w:p>
      <w:pPr>
        <w:spacing w:after="0" w:line="153" w:lineRule="exact"/>
        <w:rPr>
          <w:sz w:val="20"/>
          <w:szCs w:val="20"/>
          <w:color w:val="auto"/>
        </w:rPr>
      </w:pPr>
    </w:p>
    <w:p>
      <w:pPr>
        <w:jc w:val="both"/>
        <w:ind w:firstLine="1195"/>
        <w:spacing w:after="0" w:line="248" w:lineRule="auto"/>
        <w:rPr>
          <w:sz w:val="20"/>
          <w:szCs w:val="20"/>
          <w:color w:val="auto"/>
        </w:rPr>
      </w:pPr>
      <w:r>
        <w:rPr>
          <w:rFonts w:ascii="Arial" w:cs="Arial" w:eastAsia="Arial" w:hAnsi="Arial"/>
          <w:sz w:val="17"/>
          <w:szCs w:val="17"/>
          <w:color w:val="010000"/>
        </w:rPr>
        <w:t xml:space="preserve">Section 8.14 </w:t>
      </w:r>
      <w:r>
        <w:rPr>
          <w:rFonts w:ascii="Arial" w:cs="Arial" w:eastAsia="Arial" w:hAnsi="Arial"/>
          <w:sz w:val="17"/>
          <w:szCs w:val="17"/>
          <w:u w:val="single" w:color="auto"/>
          <w:color w:val="000000"/>
        </w:rPr>
        <w:t>Severability</w:t>
      </w:r>
      <w:r>
        <w:rPr>
          <w:rFonts w:ascii="Arial" w:cs="Arial" w:eastAsia="Arial" w:hAnsi="Arial"/>
          <w:sz w:val="17"/>
          <w:szCs w:val="17"/>
          <w:color w:val="000000"/>
        </w:rPr>
        <w:t>. If any term, provision, covenant or restriction of this Agreement is held by a court of competent jurisdiction or other</w:t>
      </w:r>
      <w:r>
        <w:rPr>
          <w:rFonts w:ascii="Arial" w:cs="Arial" w:eastAsia="Arial" w:hAnsi="Arial"/>
          <w:sz w:val="17"/>
          <w:szCs w:val="17"/>
          <w:color w:val="010000"/>
        </w:rPr>
        <w:t xml:space="preserve"> </w:t>
      </w:r>
      <w:r>
        <w:rPr>
          <w:rFonts w:ascii="Arial" w:cs="Arial" w:eastAsia="Arial" w:hAnsi="Arial"/>
          <w:sz w:val="17"/>
          <w:szCs w:val="17"/>
          <w:color w:val="000000"/>
        </w:rPr>
        <w:t>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93" w:name="page94"/>
    <w:bookmarkEnd w:id="93"/>
    <w:p>
      <w:pPr>
        <w:jc w:val="both"/>
        <w:ind w:firstLine="1195"/>
        <w:spacing w:after="0" w:line="267" w:lineRule="auto"/>
        <w:rPr>
          <w:sz w:val="20"/>
          <w:szCs w:val="20"/>
          <w:color w:val="auto"/>
        </w:rPr>
      </w:pPr>
      <w:r>
        <w:rPr>
          <w:rFonts w:ascii="Arial" w:cs="Arial" w:eastAsia="Arial" w:hAnsi="Arial"/>
          <w:sz w:val="16"/>
          <w:szCs w:val="16"/>
          <w:color w:val="010000"/>
        </w:rPr>
        <w:t xml:space="preserve">Section 8.15 </w:t>
      </w:r>
      <w:r>
        <w:rPr>
          <w:rFonts w:ascii="Arial" w:cs="Arial" w:eastAsia="Arial" w:hAnsi="Arial"/>
          <w:sz w:val="16"/>
          <w:szCs w:val="16"/>
          <w:u w:val="single" w:color="auto"/>
          <w:color w:val="000000"/>
        </w:rPr>
        <w:t>Non-Survival of Representations, Warranties and Covenants</w:t>
      </w:r>
      <w:r>
        <w:rPr>
          <w:rFonts w:ascii="Arial" w:cs="Arial" w:eastAsia="Arial" w:hAnsi="Arial"/>
          <w:sz w:val="16"/>
          <w:szCs w:val="16"/>
          <w:color w:val="000000"/>
        </w:rPr>
        <w:t>. No representation, warranty, covenant or other agreement contained herein</w:t>
      </w:r>
      <w:r>
        <w:rPr>
          <w:rFonts w:ascii="Arial" w:cs="Arial" w:eastAsia="Arial" w:hAnsi="Arial"/>
          <w:sz w:val="16"/>
          <w:szCs w:val="16"/>
          <w:color w:val="010000"/>
        </w:rPr>
        <w:t xml:space="preserve"> </w:t>
      </w:r>
      <w:r>
        <w:rPr>
          <w:rFonts w:ascii="Arial" w:cs="Arial" w:eastAsia="Arial" w:hAnsi="Arial"/>
          <w:sz w:val="16"/>
          <w:szCs w:val="16"/>
          <w:color w:val="000000"/>
        </w:rPr>
        <w:t xml:space="preserve">or in any instrument or certificate delivered by any Party at Closing will survive the Closing or termination of this Agreement, and no Party shall have any liability to the other Party after the Closing for any breach thereof, except for covenants and agreements that contemplate performance after the Closing or after the termination of this Agreement or otherwise expressly by their terms survive the Closing or termination of this Agreement, will survive in accordance with its terms,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for the avoidance of doubt, nothing in this </w:t>
      </w:r>
      <w:r>
        <w:rPr>
          <w:rFonts w:ascii="Arial" w:cs="Arial" w:eastAsia="Arial" w:hAnsi="Arial"/>
          <w:sz w:val="16"/>
          <w:szCs w:val="16"/>
          <w:u w:val="single" w:color="auto"/>
          <w:color w:val="000000"/>
        </w:rPr>
        <w:t>Section 8.15</w:t>
      </w:r>
      <w:r>
        <w:rPr>
          <w:rFonts w:ascii="Arial" w:cs="Arial" w:eastAsia="Arial" w:hAnsi="Arial"/>
          <w:sz w:val="16"/>
          <w:szCs w:val="16"/>
          <w:color w:val="000000"/>
        </w:rPr>
        <w:t xml:space="preserve"> shall impair a Party’s rights under </w:t>
      </w:r>
      <w:r>
        <w:rPr>
          <w:rFonts w:ascii="Arial" w:cs="Arial" w:eastAsia="Arial" w:hAnsi="Arial"/>
          <w:sz w:val="16"/>
          <w:szCs w:val="16"/>
          <w:u w:val="single" w:color="auto"/>
          <w:color w:val="000000"/>
        </w:rPr>
        <w:t>Section 7.02</w:t>
      </w:r>
      <w:r>
        <w:rPr>
          <w:rFonts w:ascii="Arial" w:cs="Arial" w:eastAsia="Arial" w:hAnsi="Arial"/>
          <w:sz w:val="16"/>
          <w:szCs w:val="16"/>
          <w:color w:val="000000"/>
        </w:rPr>
        <w:t xml:space="preserve"> in the event this Agreement has been validly terminated, and the other Party had materially breached this Agreement prior to the time of such termination.</w:t>
      </w:r>
    </w:p>
    <w:p>
      <w:pPr>
        <w:spacing w:after="0" w:line="166" w:lineRule="exact"/>
        <w:rPr>
          <w:sz w:val="20"/>
          <w:szCs w:val="20"/>
          <w:color w:val="auto"/>
        </w:rPr>
      </w:pPr>
    </w:p>
    <w:p>
      <w:pPr>
        <w:ind w:left="1200"/>
        <w:spacing w:after="0"/>
        <w:tabs>
          <w:tab w:leader="none" w:pos="2260" w:val="left"/>
        </w:tabs>
        <w:rPr>
          <w:sz w:val="20"/>
          <w:szCs w:val="20"/>
          <w:color w:val="auto"/>
        </w:rPr>
      </w:pPr>
      <w:r>
        <w:rPr>
          <w:rFonts w:ascii="Arial" w:cs="Arial" w:eastAsia="Arial" w:hAnsi="Arial"/>
          <w:sz w:val="17"/>
          <w:szCs w:val="17"/>
          <w:color w:val="010000"/>
        </w:rPr>
        <w:t>Section 8.16</w:t>
      </w:r>
      <w:r>
        <w:rPr>
          <w:sz w:val="20"/>
          <w:szCs w:val="20"/>
          <w:color w:val="auto"/>
        </w:rPr>
        <w:tab/>
      </w:r>
      <w:r>
        <w:rPr>
          <w:rFonts w:ascii="Arial" w:cs="Arial" w:eastAsia="Arial" w:hAnsi="Arial"/>
          <w:sz w:val="13"/>
          <w:szCs w:val="13"/>
          <w:u w:val="single" w:color="auto"/>
          <w:color w:val="auto"/>
        </w:rPr>
        <w:t>Remedies</w:t>
      </w:r>
      <w:r>
        <w:rPr>
          <w:rFonts w:ascii="Arial" w:cs="Arial" w:eastAsia="Arial" w:hAnsi="Arial"/>
          <w:sz w:val="13"/>
          <w:szCs w:val="13"/>
          <w:color w:val="auto"/>
        </w:rPr>
        <w:t>.</w:t>
      </w:r>
    </w:p>
    <w:p>
      <w:pPr>
        <w:spacing w:after="0" w:line="203" w:lineRule="exact"/>
        <w:rPr>
          <w:sz w:val="20"/>
          <w:szCs w:val="20"/>
          <w:color w:val="auto"/>
        </w:rPr>
      </w:pPr>
    </w:p>
    <w:p>
      <w:pPr>
        <w:jc w:val="both"/>
        <w:ind w:firstLine="1195"/>
        <w:spacing w:after="0" w:line="265" w:lineRule="auto"/>
        <w:tabs>
          <w:tab w:leader="none" w:pos="1968" w:val="left"/>
        </w:tabs>
        <w:numPr>
          <w:ilvl w:val="0"/>
          <w:numId w:val="84"/>
        </w:numPr>
        <w:rPr>
          <w:rFonts w:ascii="Arial" w:cs="Arial" w:eastAsia="Arial" w:hAnsi="Arial"/>
          <w:sz w:val="16"/>
          <w:szCs w:val="16"/>
          <w:color w:val="010000"/>
        </w:rPr>
      </w:pPr>
      <w:r>
        <w:rPr>
          <w:rFonts w:ascii="Arial" w:cs="Arial" w:eastAsia="Arial" w:hAnsi="Arial"/>
          <w:sz w:val="16"/>
          <w:szCs w:val="16"/>
          <w:color w:val="auto"/>
        </w:rPr>
        <w:t xml:space="preserve">Each Party acknowledges and agrees that irreparable injury to the other Party would occur if any provision hereof were not performed in accordance with its specific terms or were otherwise breached, and that such injury would not be adequately compensable in damages because of the difficulty of ascertaining the amount of damages that would be suffered in the event that this Agreement were breached. It is accordingly agreed that, subject to the further provisions of this </w:t>
      </w:r>
      <w:r>
        <w:rPr>
          <w:rFonts w:ascii="Arial" w:cs="Arial" w:eastAsia="Arial" w:hAnsi="Arial"/>
          <w:sz w:val="16"/>
          <w:szCs w:val="16"/>
          <w:u w:val="single" w:color="auto"/>
          <w:color w:val="auto"/>
        </w:rPr>
        <w:t>Section 8.16</w:t>
      </w:r>
      <w:r>
        <w:rPr>
          <w:rFonts w:ascii="Arial" w:cs="Arial" w:eastAsia="Arial" w:hAnsi="Arial"/>
          <w:sz w:val="16"/>
          <w:szCs w:val="16"/>
          <w:color w:val="auto"/>
        </w:rPr>
        <w:t xml:space="preserve">, prior to the valid termination of this Agreement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each Party shall be entitled, in addition to any other remedy to which it is entitled at law or in equity, to specific enforcement of, and injunctive relief, without proof of actual damages, to prevent any breach or violation of, the terms hereof, and the other Party shall not take action, directly or indirectly, in opposition to the Party seeking such relief on the grounds that any other remedy or relief is available at law or in equity. Any requirements for the securing or posting of any bond with such remedy are hereby waived.</w:t>
      </w:r>
    </w:p>
    <w:p>
      <w:pPr>
        <w:spacing w:after="0" w:line="171" w:lineRule="exact"/>
        <w:rPr>
          <w:rFonts w:ascii="Arial" w:cs="Arial" w:eastAsia="Arial" w:hAnsi="Arial"/>
          <w:sz w:val="16"/>
          <w:szCs w:val="16"/>
          <w:color w:val="010000"/>
        </w:rPr>
      </w:pPr>
    </w:p>
    <w:p>
      <w:pPr>
        <w:jc w:val="both"/>
        <w:ind w:firstLine="1195"/>
        <w:spacing w:after="0" w:line="254" w:lineRule="auto"/>
        <w:tabs>
          <w:tab w:leader="none" w:pos="1853" w:val="left"/>
        </w:tabs>
        <w:numPr>
          <w:ilvl w:val="0"/>
          <w:numId w:val="84"/>
        </w:numPr>
        <w:rPr>
          <w:rFonts w:ascii="Arial" w:cs="Arial" w:eastAsia="Arial" w:hAnsi="Arial"/>
          <w:sz w:val="17"/>
          <w:szCs w:val="17"/>
          <w:color w:val="010000"/>
        </w:rPr>
      </w:pPr>
      <w:r>
        <w:rPr>
          <w:rFonts w:ascii="Arial" w:cs="Arial" w:eastAsia="Arial" w:hAnsi="Arial"/>
          <w:sz w:val="17"/>
          <w:szCs w:val="17"/>
          <w:color w:val="auto"/>
        </w:rPr>
        <w:t>The Parties agree that in no case shall either Party be entitled to any indirect, consequential, incidental, punitive or special damages (including loss of future revenue, lost profits, diminution in value or multiple of earnings damages) in connection with any claim arising out of or related to this Agreement or the transactions contemplated hereby.</w:t>
      </w:r>
    </w:p>
    <w:p>
      <w:pPr>
        <w:spacing w:after="0" w:line="176" w:lineRule="exact"/>
        <w:rPr>
          <w:sz w:val="20"/>
          <w:szCs w:val="20"/>
          <w:color w:val="auto"/>
        </w:rPr>
      </w:pPr>
    </w:p>
    <w:p>
      <w:pPr>
        <w:jc w:val="both"/>
        <w:ind w:firstLine="1195"/>
        <w:spacing w:after="0" w:line="251" w:lineRule="auto"/>
        <w:rPr>
          <w:sz w:val="20"/>
          <w:szCs w:val="20"/>
          <w:color w:val="auto"/>
        </w:rPr>
      </w:pPr>
      <w:r>
        <w:rPr>
          <w:rFonts w:ascii="Arial" w:cs="Arial" w:eastAsia="Arial" w:hAnsi="Arial"/>
          <w:sz w:val="17"/>
          <w:szCs w:val="17"/>
          <w:color w:val="010000"/>
        </w:rPr>
        <w:t xml:space="preserve">Section 8.17 </w:t>
      </w:r>
      <w:r>
        <w:rPr>
          <w:rFonts w:ascii="Arial" w:cs="Arial" w:eastAsia="Arial" w:hAnsi="Arial"/>
          <w:sz w:val="17"/>
          <w:szCs w:val="17"/>
          <w:u w:val="single" w:color="auto"/>
          <w:color w:val="000000"/>
        </w:rPr>
        <w:t>Representation by Counsel</w:t>
      </w:r>
      <w:r>
        <w:rPr>
          <w:rFonts w:ascii="Arial" w:cs="Arial" w:eastAsia="Arial" w:hAnsi="Arial"/>
          <w:sz w:val="17"/>
          <w:szCs w:val="17"/>
          <w:color w:val="000000"/>
        </w:rPr>
        <w:t>. Each Party acknowledges to the other that it has been represented by independent legal counsel of its own</w:t>
      </w:r>
      <w:r>
        <w:rPr>
          <w:rFonts w:ascii="Arial" w:cs="Arial" w:eastAsia="Arial" w:hAnsi="Arial"/>
          <w:sz w:val="17"/>
          <w:szCs w:val="17"/>
          <w:color w:val="010000"/>
        </w:rPr>
        <w:t xml:space="preserve"> </w:t>
      </w:r>
      <w:r>
        <w:rPr>
          <w:rFonts w:ascii="Arial" w:cs="Arial" w:eastAsia="Arial" w:hAnsi="Arial"/>
          <w:sz w:val="17"/>
          <w:szCs w:val="17"/>
          <w:color w:val="000000"/>
        </w:rPr>
        <w:t>choice throughout all of the negotiations that preceded the execution of this Agreement. Each Party further acknowledges that it and its counsel have had adequate opportunity to make whatever investigation or inquiry they may deem necessary or desirable in connection with the subject matter of this Agreement prior to the execution hereof.</w:t>
      </w:r>
    </w:p>
    <w:p>
      <w:pPr>
        <w:spacing w:after="0" w:line="178"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7"/>
          <w:szCs w:val="17"/>
          <w:color w:val="010000"/>
        </w:rPr>
        <w:t xml:space="preserve">Section 8.18 </w:t>
      </w:r>
      <w:r>
        <w:rPr>
          <w:rFonts w:ascii="Arial" w:cs="Arial" w:eastAsia="Arial" w:hAnsi="Arial"/>
          <w:sz w:val="17"/>
          <w:szCs w:val="17"/>
          <w:u w:val="single" w:color="auto"/>
          <w:color w:val="000000"/>
        </w:rPr>
        <w:t>Rules of Construction</w:t>
      </w:r>
      <w:r>
        <w:rPr>
          <w:rFonts w:ascii="Arial" w:cs="Arial" w:eastAsia="Arial" w:hAnsi="Arial"/>
          <w:sz w:val="17"/>
          <w:szCs w:val="17"/>
          <w:color w:val="000000"/>
        </w:rPr>
        <w:t>. The Parties have participated jointly in the negotiation and drafting of this Agreement. In the event an ambiguity or</w:t>
      </w:r>
      <w:r>
        <w:rPr>
          <w:rFonts w:ascii="Arial" w:cs="Arial" w:eastAsia="Arial" w:hAnsi="Arial"/>
          <w:sz w:val="17"/>
          <w:szCs w:val="17"/>
          <w:color w:val="010000"/>
        </w:rPr>
        <w:t xml:space="preserve"> </w:t>
      </w:r>
      <w:r>
        <w:rPr>
          <w:rFonts w:ascii="Arial" w:cs="Arial" w:eastAsia="Arial" w:hAnsi="Arial"/>
          <w:sz w:val="17"/>
          <w:szCs w:val="17"/>
          <w:color w:val="000000"/>
        </w:rPr>
        <w:t>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94" w:name="page95"/>
    <w:bookmarkEnd w:id="94"/>
    <w:p>
      <w:pPr>
        <w:jc w:val="both"/>
        <w:ind w:firstLine="1195"/>
        <w:spacing w:after="0" w:line="264" w:lineRule="auto"/>
        <w:rPr>
          <w:sz w:val="20"/>
          <w:szCs w:val="20"/>
          <w:color w:val="auto"/>
        </w:rPr>
      </w:pPr>
      <w:r>
        <w:rPr>
          <w:rFonts w:ascii="Arial" w:cs="Arial" w:eastAsia="Arial" w:hAnsi="Arial"/>
          <w:sz w:val="17"/>
          <w:szCs w:val="17"/>
          <w:color w:val="010000"/>
        </w:rPr>
        <w:t xml:space="preserve">Section 8.19 </w:t>
      </w:r>
      <w:r>
        <w:rPr>
          <w:rFonts w:ascii="Arial" w:cs="Arial" w:eastAsia="Arial" w:hAnsi="Arial"/>
          <w:sz w:val="17"/>
          <w:szCs w:val="17"/>
          <w:u w:val="single" w:color="auto"/>
          <w:color w:val="000000"/>
        </w:rPr>
        <w:t>Headings</w:t>
      </w:r>
      <w:r>
        <w:rPr>
          <w:rFonts w:ascii="Arial" w:cs="Arial" w:eastAsia="Arial" w:hAnsi="Arial"/>
          <w:sz w:val="17"/>
          <w:szCs w:val="17"/>
          <w:color w:val="000000"/>
        </w:rPr>
        <w:t>. Headings of the Articles and Sections of this Agreement, and the Table of Contents are for convenience of the Parties only, and</w:t>
      </w:r>
      <w:r>
        <w:rPr>
          <w:rFonts w:ascii="Arial" w:cs="Arial" w:eastAsia="Arial" w:hAnsi="Arial"/>
          <w:sz w:val="17"/>
          <w:szCs w:val="17"/>
          <w:color w:val="010000"/>
        </w:rPr>
        <w:t xml:space="preserve"> </w:t>
      </w:r>
      <w:r>
        <w:rPr>
          <w:rFonts w:ascii="Arial" w:cs="Arial" w:eastAsia="Arial" w:hAnsi="Arial"/>
          <w:sz w:val="17"/>
          <w:szCs w:val="17"/>
          <w:color w:val="000000"/>
        </w:rPr>
        <w:t>shall be given no substantive or interpretative effect whatsoever.</w:t>
      </w:r>
    </w:p>
    <w:p>
      <w:pPr>
        <w:spacing w:after="0" w:line="168" w:lineRule="exact"/>
        <w:rPr>
          <w:sz w:val="20"/>
          <w:szCs w:val="20"/>
          <w:color w:val="auto"/>
        </w:rPr>
      </w:pPr>
    </w:p>
    <w:p>
      <w:pPr>
        <w:jc w:val="both"/>
        <w:ind w:firstLine="1195"/>
        <w:spacing w:after="0" w:line="251" w:lineRule="auto"/>
        <w:rPr>
          <w:sz w:val="20"/>
          <w:szCs w:val="20"/>
          <w:color w:val="auto"/>
        </w:rPr>
      </w:pPr>
      <w:r>
        <w:rPr>
          <w:rFonts w:ascii="Arial" w:cs="Arial" w:eastAsia="Arial" w:hAnsi="Arial"/>
          <w:sz w:val="17"/>
          <w:szCs w:val="17"/>
          <w:color w:val="010000"/>
        </w:rPr>
        <w:t xml:space="preserve">Section 8.20 </w:t>
      </w:r>
      <w:r>
        <w:rPr>
          <w:rFonts w:ascii="Arial" w:cs="Arial" w:eastAsia="Arial" w:hAnsi="Arial"/>
          <w:sz w:val="17"/>
          <w:szCs w:val="17"/>
          <w:u w:val="single" w:color="auto"/>
          <w:color w:val="000000"/>
        </w:rPr>
        <w:t>Inconsistencies with Other Agreements</w:t>
      </w:r>
      <w:r>
        <w:rPr>
          <w:rFonts w:ascii="Arial" w:cs="Arial" w:eastAsia="Arial" w:hAnsi="Arial"/>
          <w:sz w:val="17"/>
          <w:szCs w:val="17"/>
          <w:color w:val="000000"/>
        </w:rPr>
        <w:t>. In the event of any inconsistency between the provisions in the body of this Agreement and those</w:t>
      </w:r>
      <w:r>
        <w:rPr>
          <w:rFonts w:ascii="Arial" w:cs="Arial" w:eastAsia="Arial" w:hAnsi="Arial"/>
          <w:sz w:val="17"/>
          <w:szCs w:val="17"/>
          <w:color w:val="010000"/>
        </w:rPr>
        <w:t xml:space="preserve"> </w:t>
      </w:r>
      <w:r>
        <w:rPr>
          <w:rFonts w:ascii="Arial" w:cs="Arial" w:eastAsia="Arial" w:hAnsi="Arial"/>
          <w:sz w:val="17"/>
          <w:szCs w:val="17"/>
          <w:color w:val="000000"/>
        </w:rPr>
        <w:t xml:space="preserve">in the other Transaction Documents (other than the Contribution Agreement) referred to herein, the provisions in the body of this Agreement will prevail and govern;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in the event of any inconsistency between the provisions in the body of this Agreement and those in the Contribution Agreement, the provisions in the body of the Contribution Agreement will prevail and govern.</w:t>
      </w:r>
    </w:p>
    <w:p>
      <w:pPr>
        <w:spacing w:after="0" w:line="178" w:lineRule="exact"/>
        <w:rPr>
          <w:sz w:val="20"/>
          <w:szCs w:val="20"/>
          <w:color w:val="auto"/>
        </w:rPr>
      </w:pPr>
    </w:p>
    <w:p>
      <w:pPr>
        <w:ind w:left="1200"/>
        <w:spacing w:after="0"/>
        <w:tabs>
          <w:tab w:leader="none" w:pos="2260" w:val="left"/>
        </w:tabs>
        <w:rPr>
          <w:sz w:val="20"/>
          <w:szCs w:val="20"/>
          <w:color w:val="auto"/>
        </w:rPr>
      </w:pPr>
      <w:r>
        <w:rPr>
          <w:rFonts w:ascii="Arial" w:cs="Arial" w:eastAsia="Arial" w:hAnsi="Arial"/>
          <w:sz w:val="17"/>
          <w:szCs w:val="17"/>
          <w:color w:val="010000"/>
        </w:rPr>
        <w:t>Section 8.21</w:t>
      </w:r>
      <w:r>
        <w:rPr>
          <w:sz w:val="20"/>
          <w:szCs w:val="20"/>
          <w:color w:val="auto"/>
        </w:rPr>
        <w:tab/>
      </w:r>
      <w:r>
        <w:rPr>
          <w:rFonts w:ascii="Arial" w:cs="Arial" w:eastAsia="Arial" w:hAnsi="Arial"/>
          <w:sz w:val="15"/>
          <w:szCs w:val="15"/>
          <w:u w:val="single" w:color="auto"/>
          <w:color w:val="auto"/>
        </w:rPr>
        <w:t>Interpretation</w:t>
      </w:r>
      <w:r>
        <w:rPr>
          <w:rFonts w:ascii="Arial" w:cs="Arial" w:eastAsia="Arial" w:hAnsi="Arial"/>
          <w:sz w:val="15"/>
          <w:szCs w:val="15"/>
          <w:color w:val="auto"/>
        </w:rPr>
        <w:t>.</w:t>
      </w:r>
    </w:p>
    <w:p>
      <w:pPr>
        <w:spacing w:after="0" w:line="203" w:lineRule="exact"/>
        <w:rPr>
          <w:sz w:val="20"/>
          <w:szCs w:val="20"/>
          <w:color w:val="auto"/>
        </w:rPr>
      </w:pPr>
    </w:p>
    <w:p>
      <w:pPr>
        <w:ind w:firstLine="1195"/>
        <w:spacing w:after="0" w:line="264" w:lineRule="auto"/>
        <w:tabs>
          <w:tab w:leader="none" w:pos="1831" w:val="left"/>
        </w:tabs>
        <w:numPr>
          <w:ilvl w:val="0"/>
          <w:numId w:val="85"/>
        </w:numPr>
        <w:rPr>
          <w:rFonts w:ascii="Arial" w:cs="Arial" w:eastAsia="Arial" w:hAnsi="Arial"/>
          <w:sz w:val="17"/>
          <w:szCs w:val="17"/>
          <w:color w:val="010000"/>
        </w:rPr>
      </w:pPr>
      <w:r>
        <w:rPr>
          <w:rFonts w:ascii="Arial" w:cs="Arial" w:eastAsia="Arial" w:hAnsi="Arial"/>
          <w:sz w:val="17"/>
          <w:szCs w:val="17"/>
          <w:color w:val="auto"/>
        </w:rPr>
        <w:t>The phrases “the date of this Agreement”, “the date hereof” and terms of similar import, unless the context otherwise requires, shall be deemed to refer to February 26, 2018.</w:t>
      </w:r>
    </w:p>
    <w:p>
      <w:pPr>
        <w:spacing w:after="0" w:line="167" w:lineRule="exact"/>
        <w:rPr>
          <w:rFonts w:ascii="Arial" w:cs="Arial" w:eastAsia="Arial" w:hAnsi="Arial"/>
          <w:sz w:val="17"/>
          <w:szCs w:val="17"/>
          <w:color w:val="010000"/>
        </w:rPr>
      </w:pPr>
    </w:p>
    <w:p>
      <w:pPr>
        <w:ind w:firstLine="1195"/>
        <w:spacing w:after="0" w:line="264" w:lineRule="auto"/>
        <w:tabs>
          <w:tab w:leader="none" w:pos="1816" w:val="left"/>
        </w:tabs>
        <w:numPr>
          <w:ilvl w:val="0"/>
          <w:numId w:val="85"/>
        </w:numPr>
        <w:rPr>
          <w:rFonts w:ascii="Arial" w:cs="Arial" w:eastAsia="Arial" w:hAnsi="Arial"/>
          <w:sz w:val="17"/>
          <w:szCs w:val="17"/>
          <w:color w:val="010000"/>
        </w:rPr>
      </w:pPr>
      <w:r>
        <w:rPr>
          <w:rFonts w:ascii="Arial" w:cs="Arial" w:eastAsia="Arial" w:hAnsi="Arial"/>
          <w:sz w:val="17"/>
          <w:szCs w:val="17"/>
          <w:color w:val="auto"/>
        </w:rPr>
        <w:t>The words “hereof”, “herein” and “hereunder” and words of like import used in this Agreement shall refer to this Agreement as a whole and not to any particular provision of this Agreement.</w:t>
      </w:r>
    </w:p>
    <w:p>
      <w:pPr>
        <w:spacing w:after="0" w:line="167" w:lineRule="exact"/>
        <w:rPr>
          <w:rFonts w:ascii="Arial" w:cs="Arial" w:eastAsia="Arial" w:hAnsi="Arial"/>
          <w:sz w:val="17"/>
          <w:szCs w:val="17"/>
          <w:color w:val="010000"/>
        </w:rPr>
      </w:pPr>
    </w:p>
    <w:p>
      <w:pPr>
        <w:ind w:left="1800" w:hanging="605"/>
        <w:spacing w:after="0"/>
        <w:tabs>
          <w:tab w:leader="none" w:pos="1800" w:val="left"/>
        </w:tabs>
        <w:numPr>
          <w:ilvl w:val="0"/>
          <w:numId w:val="85"/>
        </w:numPr>
        <w:rPr>
          <w:rFonts w:ascii="Arial" w:cs="Arial" w:eastAsia="Arial" w:hAnsi="Arial"/>
          <w:sz w:val="17"/>
          <w:szCs w:val="17"/>
          <w:color w:val="010000"/>
        </w:rPr>
      </w:pPr>
      <w:r>
        <w:rPr>
          <w:rFonts w:ascii="Arial" w:cs="Arial" w:eastAsia="Arial" w:hAnsi="Arial"/>
          <w:sz w:val="17"/>
          <w:szCs w:val="17"/>
          <w:color w:val="auto"/>
        </w:rPr>
        <w:t>References to Articles and Sections are to Articles and Sections of this Agreement unless otherwise specified.</w:t>
      </w:r>
    </w:p>
    <w:p>
      <w:pPr>
        <w:spacing w:after="0" w:line="202" w:lineRule="exact"/>
        <w:rPr>
          <w:rFonts w:ascii="Arial" w:cs="Arial" w:eastAsia="Arial" w:hAnsi="Arial"/>
          <w:sz w:val="17"/>
          <w:szCs w:val="17"/>
          <w:color w:val="010000"/>
        </w:rPr>
      </w:pPr>
    </w:p>
    <w:p>
      <w:pPr>
        <w:ind w:left="1800" w:hanging="605"/>
        <w:spacing w:after="0"/>
        <w:tabs>
          <w:tab w:leader="none" w:pos="1800" w:val="left"/>
        </w:tabs>
        <w:numPr>
          <w:ilvl w:val="0"/>
          <w:numId w:val="85"/>
        </w:numPr>
        <w:rPr>
          <w:rFonts w:ascii="Arial" w:cs="Arial" w:eastAsia="Arial" w:hAnsi="Arial"/>
          <w:sz w:val="17"/>
          <w:szCs w:val="17"/>
          <w:color w:val="010000"/>
        </w:rPr>
      </w:pPr>
      <w:r>
        <w:rPr>
          <w:rFonts w:ascii="Arial" w:cs="Arial" w:eastAsia="Arial" w:hAnsi="Arial"/>
          <w:sz w:val="17"/>
          <w:szCs w:val="17"/>
          <w:color w:val="auto"/>
        </w:rPr>
        <w:t>Any singular term in this Agreement shall be deemed to include the plural, and any plural term the singular.</w:t>
      </w:r>
    </w:p>
    <w:p>
      <w:pPr>
        <w:spacing w:after="0" w:line="202" w:lineRule="exact"/>
        <w:rPr>
          <w:rFonts w:ascii="Arial" w:cs="Arial" w:eastAsia="Arial" w:hAnsi="Arial"/>
          <w:sz w:val="17"/>
          <w:szCs w:val="17"/>
          <w:color w:val="010000"/>
        </w:rPr>
      </w:pPr>
    </w:p>
    <w:p>
      <w:pPr>
        <w:ind w:left="1800" w:hanging="605"/>
        <w:spacing w:after="0"/>
        <w:tabs>
          <w:tab w:leader="none" w:pos="1800" w:val="left"/>
        </w:tabs>
        <w:numPr>
          <w:ilvl w:val="0"/>
          <w:numId w:val="85"/>
        </w:numPr>
        <w:rPr>
          <w:rFonts w:ascii="Arial" w:cs="Arial" w:eastAsia="Arial" w:hAnsi="Arial"/>
          <w:sz w:val="17"/>
          <w:szCs w:val="17"/>
          <w:color w:val="010000"/>
        </w:rPr>
      </w:pPr>
      <w:r>
        <w:rPr>
          <w:rFonts w:ascii="Arial" w:cs="Arial" w:eastAsia="Arial" w:hAnsi="Arial"/>
          <w:sz w:val="17"/>
          <w:szCs w:val="17"/>
          <w:color w:val="auto"/>
        </w:rPr>
        <w:t>The word “or” shall be inclusive and not exclusive, unless the context otherwise requires.</w:t>
      </w:r>
    </w:p>
    <w:p>
      <w:pPr>
        <w:spacing w:after="0" w:line="202" w:lineRule="exact"/>
        <w:rPr>
          <w:rFonts w:ascii="Arial" w:cs="Arial" w:eastAsia="Arial" w:hAnsi="Arial"/>
          <w:sz w:val="17"/>
          <w:szCs w:val="17"/>
          <w:color w:val="010000"/>
        </w:rPr>
      </w:pPr>
    </w:p>
    <w:p>
      <w:pPr>
        <w:ind w:firstLine="1195"/>
        <w:spacing w:after="0" w:line="264" w:lineRule="auto"/>
        <w:tabs>
          <w:tab w:leader="none" w:pos="2016" w:val="left"/>
        </w:tabs>
        <w:numPr>
          <w:ilvl w:val="0"/>
          <w:numId w:val="85"/>
        </w:numPr>
        <w:rPr>
          <w:rFonts w:ascii="Arial" w:cs="Arial" w:eastAsia="Arial" w:hAnsi="Arial"/>
          <w:sz w:val="17"/>
          <w:szCs w:val="17"/>
          <w:color w:val="010000"/>
        </w:rPr>
      </w:pPr>
      <w:r>
        <w:rPr>
          <w:rFonts w:ascii="Arial" w:cs="Arial" w:eastAsia="Arial" w:hAnsi="Arial"/>
          <w:sz w:val="17"/>
          <w:szCs w:val="17"/>
          <w:color w:val="auto"/>
        </w:rPr>
        <w:t>Whenever the words “include”, “includes” or “including” are used in this Agreement, they shall be deemed to be followed by the words “without limitation”, whether or not they are in fact followed by those words or words of like import.</w:t>
      </w:r>
    </w:p>
    <w:p>
      <w:pPr>
        <w:spacing w:after="0" w:line="167" w:lineRule="exact"/>
        <w:rPr>
          <w:rFonts w:ascii="Arial" w:cs="Arial" w:eastAsia="Arial" w:hAnsi="Arial"/>
          <w:sz w:val="17"/>
          <w:szCs w:val="17"/>
          <w:color w:val="010000"/>
        </w:rPr>
      </w:pPr>
    </w:p>
    <w:p>
      <w:pPr>
        <w:ind w:left="1920" w:hanging="725"/>
        <w:spacing w:after="0"/>
        <w:tabs>
          <w:tab w:leader="none" w:pos="1920" w:val="left"/>
        </w:tabs>
        <w:numPr>
          <w:ilvl w:val="0"/>
          <w:numId w:val="85"/>
        </w:numPr>
        <w:rPr>
          <w:rFonts w:ascii="Arial" w:cs="Arial" w:eastAsia="Arial" w:hAnsi="Arial"/>
          <w:sz w:val="15"/>
          <w:szCs w:val="15"/>
          <w:color w:val="010000"/>
        </w:rPr>
      </w:pPr>
      <w:r>
        <w:rPr>
          <w:rFonts w:ascii="Arial" w:cs="Arial" w:eastAsia="Arial" w:hAnsi="Arial"/>
          <w:sz w:val="15"/>
          <w:szCs w:val="15"/>
          <w:color w:val="auto"/>
        </w:rPr>
        <w:t>“Writing”, “written” and comparable terms refer to printing, typing and other means of reproducing words (including electronic media) in a</w:t>
      </w:r>
    </w:p>
    <w:p>
      <w:pPr>
        <w:spacing w:after="0" w:line="39"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7"/>
          <w:szCs w:val="17"/>
          <w:color w:val="auto"/>
        </w:rPr>
        <w:t>visible form.</w:t>
      </w:r>
    </w:p>
    <w:p>
      <w:pPr>
        <w:spacing w:after="0" w:line="190" w:lineRule="exact"/>
        <w:rPr>
          <w:rFonts w:ascii="Arial" w:cs="Arial" w:eastAsia="Arial" w:hAnsi="Arial"/>
          <w:sz w:val="15"/>
          <w:szCs w:val="15"/>
          <w:color w:val="010000"/>
        </w:rPr>
      </w:pPr>
    </w:p>
    <w:p>
      <w:pPr>
        <w:ind w:left="1880" w:hanging="685"/>
        <w:spacing w:after="0"/>
        <w:tabs>
          <w:tab w:leader="none" w:pos="1880" w:val="left"/>
        </w:tabs>
        <w:numPr>
          <w:ilvl w:val="0"/>
          <w:numId w:val="85"/>
        </w:numPr>
        <w:rPr>
          <w:rFonts w:ascii="Arial" w:cs="Arial" w:eastAsia="Arial" w:hAnsi="Arial"/>
          <w:sz w:val="15"/>
          <w:szCs w:val="15"/>
          <w:color w:val="010000"/>
        </w:rPr>
      </w:pPr>
      <w:r>
        <w:rPr>
          <w:rFonts w:ascii="Arial" w:cs="Arial" w:eastAsia="Arial" w:hAnsi="Arial"/>
          <w:sz w:val="15"/>
          <w:szCs w:val="15"/>
          <w:color w:val="auto"/>
        </w:rPr>
        <w:t>References to any Contract are to that Contract as amended, modified or supplemented from time to time in accordance with the terms hereof</w:t>
      </w:r>
    </w:p>
    <w:p>
      <w:pPr>
        <w:spacing w:after="0" w:line="39"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7"/>
          <w:szCs w:val="17"/>
          <w:color w:val="auto"/>
        </w:rPr>
        <w:t>and thereof.</w:t>
      </w:r>
    </w:p>
    <w:p>
      <w:pPr>
        <w:spacing w:after="0" w:line="190" w:lineRule="exact"/>
        <w:rPr>
          <w:rFonts w:ascii="Arial" w:cs="Arial" w:eastAsia="Arial" w:hAnsi="Arial"/>
          <w:sz w:val="15"/>
          <w:szCs w:val="15"/>
          <w:color w:val="010000"/>
        </w:rPr>
      </w:pPr>
    </w:p>
    <w:p>
      <w:pPr>
        <w:ind w:firstLine="1195"/>
        <w:spacing w:after="0" w:line="331" w:lineRule="auto"/>
        <w:tabs>
          <w:tab w:leader="none" w:pos="1916" w:val="left"/>
        </w:tabs>
        <w:numPr>
          <w:ilvl w:val="0"/>
          <w:numId w:val="85"/>
        </w:numPr>
        <w:rPr>
          <w:rFonts w:ascii="Arial" w:cs="Arial" w:eastAsia="Arial" w:hAnsi="Arial"/>
          <w:sz w:val="15"/>
          <w:szCs w:val="15"/>
          <w:color w:val="010000"/>
        </w:rPr>
      </w:pPr>
      <w:r>
        <w:rPr>
          <w:rFonts w:ascii="Arial" w:cs="Arial" w:eastAsia="Arial" w:hAnsi="Arial"/>
          <w:sz w:val="15"/>
          <w:szCs w:val="15"/>
          <w:color w:val="auto"/>
        </w:rPr>
        <w:t xml:space="preserve">References to any Person include the successors and permitted assigns of that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for the avoidance of doubt, nothing in this </w:t>
      </w:r>
      <w:r>
        <w:rPr>
          <w:rFonts w:ascii="Arial" w:cs="Arial" w:eastAsia="Arial" w:hAnsi="Arial"/>
          <w:sz w:val="15"/>
          <w:szCs w:val="15"/>
          <w:u w:val="single" w:color="auto"/>
          <w:color w:val="auto"/>
        </w:rPr>
        <w:t>Section 8.21(i)</w:t>
      </w:r>
      <w:r>
        <w:rPr>
          <w:rFonts w:ascii="Arial" w:cs="Arial" w:eastAsia="Arial" w:hAnsi="Arial"/>
          <w:sz w:val="15"/>
          <w:szCs w:val="15"/>
          <w:color w:val="auto"/>
        </w:rPr>
        <w:t xml:space="preserve"> is intended to authorize, nor shall it be deemed to have authorized, any assignment or transfer not otherwise permitted by this Agreement.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95" w:name="page96"/>
    <w:bookmarkEnd w:id="95"/>
    <w:p>
      <w:pPr>
        <w:jc w:val="both"/>
        <w:ind w:firstLine="1195"/>
        <w:spacing w:after="0" w:line="251" w:lineRule="auto"/>
        <w:tabs>
          <w:tab w:leader="none" w:pos="1916" w:val="left"/>
        </w:tabs>
        <w:numPr>
          <w:ilvl w:val="0"/>
          <w:numId w:val="86"/>
        </w:numPr>
        <w:rPr>
          <w:rFonts w:ascii="Arial" w:cs="Arial" w:eastAsia="Arial" w:hAnsi="Arial"/>
          <w:sz w:val="17"/>
          <w:szCs w:val="17"/>
          <w:color w:val="010000"/>
        </w:rPr>
      </w:pPr>
      <w:r>
        <w:rPr>
          <w:rFonts w:ascii="Arial" w:cs="Arial" w:eastAsia="Arial" w:hAnsi="Arial"/>
          <w:sz w:val="17"/>
          <w:szCs w:val="17"/>
          <w:color w:val="auto"/>
        </w:rPr>
        <w:t>The word “day”, unless otherwise indicated, shall be deemed to refer to a calendar day. References from or through any date mean, unless otherwise specified, from and including or through and including, respectively.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178" w:lineRule="exact"/>
        <w:rPr>
          <w:rFonts w:ascii="Arial" w:cs="Arial" w:eastAsia="Arial" w:hAnsi="Arial"/>
          <w:sz w:val="17"/>
          <w:szCs w:val="17"/>
          <w:color w:val="010000"/>
        </w:rPr>
      </w:pPr>
    </w:p>
    <w:p>
      <w:pPr>
        <w:ind w:firstLine="1195"/>
        <w:spacing w:after="0" w:line="264" w:lineRule="auto"/>
        <w:tabs>
          <w:tab w:leader="none" w:pos="1903" w:val="left"/>
        </w:tabs>
        <w:numPr>
          <w:ilvl w:val="0"/>
          <w:numId w:val="86"/>
        </w:numPr>
        <w:rPr>
          <w:rFonts w:ascii="Arial" w:cs="Arial" w:eastAsia="Arial" w:hAnsi="Arial"/>
          <w:sz w:val="17"/>
          <w:szCs w:val="17"/>
          <w:color w:val="010000"/>
        </w:rPr>
      </w:pPr>
      <w:r>
        <w:rPr>
          <w:rFonts w:ascii="Arial" w:cs="Arial" w:eastAsia="Arial" w:hAnsi="Arial"/>
          <w:sz w:val="17"/>
          <w:szCs w:val="17"/>
          <w:color w:val="auto"/>
        </w:rPr>
        <w:t>Unless the context otherwise requires, references to “Law”, “Laws” or to a particular Law shall be deemed to refer to such Law as amended from time to time, and to the rules and regulations promulgated thereunder.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Follows.]</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57415" cy="234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96" w:name="page97"/>
    <w:bookmarkEnd w:id="96"/>
    <w:p>
      <w:pPr>
        <w:spacing w:after="0"/>
        <w:rPr>
          <w:sz w:val="20"/>
          <w:szCs w:val="20"/>
          <w:color w:val="auto"/>
        </w:rPr>
      </w:pPr>
      <w:r>
        <w:rPr>
          <w:rFonts w:ascii="Arial" w:cs="Arial" w:eastAsia="Arial" w:hAnsi="Arial"/>
          <w:sz w:val="15"/>
          <w:szCs w:val="15"/>
          <w:color w:val="auto"/>
        </w:rPr>
        <w:t>IN WITNESS WHEREOF, the Parties hereto have caused this Agreement to be duly executed as of the day and year first above written.</w:t>
      </w:r>
    </w:p>
    <w:p>
      <w:pPr>
        <w:spacing w:after="0" w:line="222"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FOUNDERS:</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M SPAC LLC</w:t>
      </w:r>
    </w:p>
    <w:p>
      <w:pPr>
        <w:spacing w:after="0" w:line="203"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By: /s/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10160</wp:posOffset>
            </wp:positionV>
            <wp:extent cx="340741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07410" cy="762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7"/>
          <w:szCs w:val="17"/>
          <w:color w:val="auto"/>
        </w:rPr>
        <w:t>Name:  Joshua Sason</w:t>
      </w:r>
    </w:p>
    <w:p>
      <w:pPr>
        <w:spacing w:after="0" w:line="16" w:lineRule="exact"/>
        <w:rPr>
          <w:sz w:val="20"/>
          <w:szCs w:val="20"/>
          <w:color w:val="auto"/>
        </w:rPr>
      </w:pPr>
    </w:p>
    <w:p>
      <w:pPr>
        <w:ind w:left="5460"/>
        <w:spacing w:after="0"/>
        <w:tabs>
          <w:tab w:leader="none" w:pos="6000" w:val="left"/>
        </w:tabs>
        <w:rPr>
          <w:sz w:val="20"/>
          <w:szCs w:val="20"/>
          <w:color w:val="auto"/>
        </w:rPr>
      </w:pPr>
      <w:r>
        <w:rPr>
          <w:rFonts w:ascii="Arial" w:cs="Arial" w:eastAsia="Arial" w:hAnsi="Arial"/>
          <w:sz w:val="17"/>
          <w:szCs w:val="17"/>
          <w:color w:val="auto"/>
        </w:rPr>
        <w:t>Title:</w:t>
        <w:tab/>
        <w:t>Managing Member</w:t>
      </w:r>
    </w:p>
    <w:p>
      <w:pPr>
        <w:spacing w:after="0" w:line="190"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M SPAC HOLDINGS I LLC</w:t>
      </w:r>
    </w:p>
    <w:p>
      <w:pPr>
        <w:spacing w:after="0" w:line="203"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By: /s/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10160</wp:posOffset>
            </wp:positionV>
            <wp:extent cx="340741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07410" cy="762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7"/>
          <w:szCs w:val="17"/>
          <w:color w:val="auto"/>
        </w:rPr>
        <w:t>Name:  Joshua Sason</w:t>
      </w:r>
    </w:p>
    <w:p>
      <w:pPr>
        <w:spacing w:after="0" w:line="16" w:lineRule="exact"/>
        <w:rPr>
          <w:sz w:val="20"/>
          <w:szCs w:val="20"/>
          <w:color w:val="auto"/>
        </w:rPr>
      </w:pPr>
    </w:p>
    <w:p>
      <w:pPr>
        <w:ind w:left="5460"/>
        <w:spacing w:after="0"/>
        <w:tabs>
          <w:tab w:leader="none" w:pos="6000" w:val="left"/>
        </w:tabs>
        <w:rPr>
          <w:sz w:val="20"/>
          <w:szCs w:val="20"/>
          <w:color w:val="auto"/>
        </w:rPr>
      </w:pPr>
      <w:r>
        <w:rPr>
          <w:rFonts w:ascii="Arial" w:cs="Arial" w:eastAsia="Arial" w:hAnsi="Arial"/>
          <w:sz w:val="17"/>
          <w:szCs w:val="17"/>
          <w:color w:val="auto"/>
        </w:rPr>
        <w:t>Title:</w:t>
        <w:tab/>
        <w:t>Managing Member</w:t>
      </w:r>
    </w:p>
    <w:p>
      <w:pPr>
        <w:spacing w:after="0" w:line="190"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M SPAC HOLDINGS II LLC</w:t>
      </w:r>
    </w:p>
    <w:p>
      <w:pPr>
        <w:spacing w:after="0" w:line="203"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By: /s/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10160</wp:posOffset>
            </wp:positionV>
            <wp:extent cx="340741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07410" cy="762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7"/>
          <w:szCs w:val="17"/>
          <w:color w:val="auto"/>
        </w:rPr>
        <w:t>Name:  Joshua Sason</w:t>
      </w:r>
    </w:p>
    <w:p>
      <w:pPr>
        <w:spacing w:after="0" w:line="16" w:lineRule="exact"/>
        <w:rPr>
          <w:sz w:val="20"/>
          <w:szCs w:val="20"/>
          <w:color w:val="auto"/>
        </w:rPr>
      </w:pPr>
    </w:p>
    <w:p>
      <w:pPr>
        <w:ind w:left="5460"/>
        <w:spacing w:after="0"/>
        <w:tabs>
          <w:tab w:leader="none" w:pos="6000" w:val="left"/>
        </w:tabs>
        <w:rPr>
          <w:sz w:val="20"/>
          <w:szCs w:val="20"/>
          <w:color w:val="auto"/>
        </w:rPr>
      </w:pPr>
      <w:r>
        <w:rPr>
          <w:rFonts w:ascii="Arial" w:cs="Arial" w:eastAsia="Arial" w:hAnsi="Arial"/>
          <w:sz w:val="17"/>
          <w:szCs w:val="17"/>
          <w:color w:val="auto"/>
        </w:rPr>
        <w:t>Title:</w:t>
        <w:tab/>
        <w:t>Managing Member</w:t>
      </w:r>
    </w:p>
    <w:p>
      <w:pPr>
        <w:spacing w:after="0" w:line="215"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Purchase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334645</wp:posOffset>
            </wp:positionV>
            <wp:extent cx="7257415" cy="23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619"/>
          </w:cols>
          <w:pgMar w:left="840" w:top="650" w:right="1440" w:bottom="1440" w:gutter="0" w:footer="0" w:header="0"/>
        </w:sectPr>
      </w:pPr>
    </w:p>
    <w:bookmarkStart w:id="97" w:name="page98"/>
    <w:bookmarkEnd w:id="97"/>
    <w:p>
      <w:pPr>
        <w:ind w:left="4520"/>
        <w:spacing w:after="0"/>
        <w:rPr>
          <w:sz w:val="20"/>
          <w:szCs w:val="20"/>
          <w:color w:val="auto"/>
        </w:rPr>
      </w:pPr>
      <w:r>
        <w:rPr>
          <w:rFonts w:ascii="Arial" w:cs="Arial" w:eastAsia="Arial" w:hAnsi="Arial"/>
          <w:sz w:val="17"/>
          <w:szCs w:val="17"/>
          <w:b w:val="1"/>
          <w:bCs w:val="1"/>
          <w:color w:val="auto"/>
        </w:rPr>
        <w:t>PRIORITY: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PRIORITY HOLDINGS, LLC</w:t>
      </w:r>
    </w:p>
    <w:p>
      <w:pPr>
        <w:spacing w:after="0" w:line="20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10160</wp:posOffset>
            </wp:positionV>
            <wp:extent cx="340741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07410" cy="762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7"/>
          <w:szCs w:val="17"/>
          <w:color w:val="auto"/>
        </w:rPr>
        <w:t>Name:  Joshua Sason</w:t>
      </w:r>
    </w:p>
    <w:p>
      <w:pPr>
        <w:spacing w:after="0" w:line="16" w:lineRule="exact"/>
        <w:rPr>
          <w:sz w:val="20"/>
          <w:szCs w:val="20"/>
          <w:color w:val="auto"/>
        </w:rPr>
      </w:pPr>
    </w:p>
    <w:p>
      <w:pPr>
        <w:ind w:left="4860"/>
        <w:spacing w:after="0"/>
        <w:tabs>
          <w:tab w:leader="none" w:pos="5400" w:val="left"/>
        </w:tabs>
        <w:rPr>
          <w:sz w:val="20"/>
          <w:szCs w:val="20"/>
          <w:color w:val="auto"/>
        </w:rPr>
      </w:pPr>
      <w:r>
        <w:rPr>
          <w:rFonts w:ascii="Arial" w:cs="Arial" w:eastAsia="Arial" w:hAnsi="Arial"/>
          <w:sz w:val="15"/>
          <w:szCs w:val="15"/>
          <w:color w:val="auto"/>
        </w:rPr>
        <w:t>Title:</w:t>
        <w:tab/>
        <w:t>Chief Executive Officer</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Purchase Agreement</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355600</wp:posOffset>
            </wp:positionV>
            <wp:extent cx="7257415" cy="234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98" w:name="page99"/>
    <w:bookmarkEnd w:id="98"/>
    <w:p>
      <w:pPr>
        <w:jc w:val="center"/>
        <w:ind w:right="-921"/>
        <w:spacing w:after="0"/>
        <w:rPr>
          <w:sz w:val="20"/>
          <w:szCs w:val="20"/>
          <w:color w:val="auto"/>
        </w:rPr>
      </w:pPr>
      <w:r>
        <w:rPr>
          <w:rFonts w:ascii="Arial" w:cs="Arial" w:eastAsia="Arial" w:hAnsi="Arial"/>
          <w:sz w:val="17"/>
          <w:szCs w:val="17"/>
          <w:u w:val="single" w:color="auto"/>
          <w:color w:val="auto"/>
        </w:rPr>
        <w:t>Annex I</w:t>
      </w:r>
    </w:p>
    <w:p>
      <w:pPr>
        <w:spacing w:after="0" w:line="203" w:lineRule="exact"/>
        <w:rPr>
          <w:sz w:val="20"/>
          <w:szCs w:val="20"/>
          <w:color w:val="auto"/>
        </w:rPr>
      </w:pPr>
    </w:p>
    <w:p>
      <w:pPr>
        <w:jc w:val="right"/>
        <w:ind w:right="3699"/>
        <w:spacing w:after="0"/>
        <w:rPr>
          <w:sz w:val="20"/>
          <w:szCs w:val="20"/>
          <w:color w:val="auto"/>
        </w:rPr>
      </w:pPr>
      <w:r>
        <w:rPr>
          <w:rFonts w:ascii="Arial" w:cs="Arial" w:eastAsia="Arial" w:hAnsi="Arial"/>
          <w:sz w:val="17"/>
          <w:szCs w:val="17"/>
          <w:color w:val="auto"/>
        </w:rPr>
        <w:t>Knowledge of Founders</w:t>
      </w:r>
    </w:p>
    <w:p>
      <w:pPr>
        <w:spacing w:after="0" w:line="203" w:lineRule="exact"/>
        <w:rPr>
          <w:sz w:val="20"/>
          <w:szCs w:val="20"/>
          <w:color w:val="auto"/>
        </w:rPr>
      </w:pPr>
    </w:p>
    <w:p>
      <w:pPr>
        <w:ind w:left="302" w:hanging="302"/>
        <w:spacing w:after="0"/>
        <w:tabs>
          <w:tab w:leader="none" w:pos="302" w:val="left"/>
        </w:tabs>
        <w:numPr>
          <w:ilvl w:val="0"/>
          <w:numId w:val="87"/>
        </w:numPr>
        <w:rPr>
          <w:rFonts w:ascii="Arial" w:cs="Arial" w:eastAsia="Arial" w:hAnsi="Arial"/>
          <w:sz w:val="17"/>
          <w:szCs w:val="17"/>
          <w:color w:val="auto"/>
        </w:rPr>
      </w:pPr>
      <w:r>
        <w:rPr>
          <w:rFonts w:ascii="Arial" w:cs="Arial" w:eastAsia="Arial" w:hAnsi="Arial"/>
          <w:sz w:val="17"/>
          <w:szCs w:val="17"/>
          <w:color w:val="auto"/>
        </w:rPr>
        <w:t>Joshua Sason</w:t>
      </w:r>
    </w:p>
    <w:p>
      <w:pPr>
        <w:spacing w:after="0" w:line="16" w:lineRule="exact"/>
        <w:rPr>
          <w:rFonts w:ascii="Arial" w:cs="Arial" w:eastAsia="Arial" w:hAnsi="Arial"/>
          <w:sz w:val="17"/>
          <w:szCs w:val="17"/>
          <w:color w:val="auto"/>
        </w:rPr>
      </w:pPr>
    </w:p>
    <w:p>
      <w:pPr>
        <w:ind w:left="302" w:hanging="302"/>
        <w:spacing w:after="0"/>
        <w:tabs>
          <w:tab w:leader="none" w:pos="302" w:val="left"/>
        </w:tabs>
        <w:numPr>
          <w:ilvl w:val="0"/>
          <w:numId w:val="87"/>
        </w:numPr>
        <w:rPr>
          <w:rFonts w:ascii="Arial" w:cs="Arial" w:eastAsia="Arial" w:hAnsi="Arial"/>
          <w:sz w:val="17"/>
          <w:szCs w:val="17"/>
          <w:color w:val="auto"/>
        </w:rPr>
      </w:pPr>
      <w:r>
        <w:rPr>
          <w:rFonts w:ascii="Arial" w:cs="Arial" w:eastAsia="Arial" w:hAnsi="Arial"/>
          <w:sz w:val="17"/>
          <w:szCs w:val="17"/>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318770</wp:posOffset>
            </wp:positionV>
            <wp:extent cx="7257415" cy="234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921"/>
          </w:cols>
          <w:pgMar w:left="538" w:top="650" w:right="1440" w:bottom="1440" w:gutter="0" w:footer="0" w:header="0"/>
        </w:sectPr>
      </w:pPr>
    </w:p>
    <w:bookmarkStart w:id="99" w:name="page100"/>
    <w:bookmarkEnd w:id="99"/>
    <w:p>
      <w:pPr>
        <w:jc w:val="center"/>
        <w:ind w:right="-901"/>
        <w:spacing w:after="0"/>
        <w:rPr>
          <w:sz w:val="20"/>
          <w:szCs w:val="20"/>
          <w:color w:val="auto"/>
        </w:rPr>
      </w:pPr>
      <w:r>
        <w:rPr>
          <w:rFonts w:ascii="Arial" w:cs="Arial" w:eastAsia="Arial" w:hAnsi="Arial"/>
          <w:sz w:val="17"/>
          <w:szCs w:val="17"/>
          <w:u w:val="single" w:color="auto"/>
          <w:color w:val="auto"/>
        </w:rPr>
        <w:t>Annex II</w:t>
      </w:r>
    </w:p>
    <w:p>
      <w:pPr>
        <w:spacing w:after="0" w:line="203" w:lineRule="exact"/>
        <w:rPr>
          <w:sz w:val="20"/>
          <w:szCs w:val="20"/>
          <w:color w:val="auto"/>
        </w:rPr>
      </w:pPr>
    </w:p>
    <w:p>
      <w:pPr>
        <w:jc w:val="right"/>
        <w:ind w:right="3759"/>
        <w:spacing w:after="0"/>
        <w:rPr>
          <w:sz w:val="20"/>
          <w:szCs w:val="20"/>
          <w:color w:val="auto"/>
        </w:rPr>
      </w:pPr>
      <w:r>
        <w:rPr>
          <w:rFonts w:ascii="Arial" w:cs="Arial" w:eastAsia="Arial" w:hAnsi="Arial"/>
          <w:sz w:val="17"/>
          <w:szCs w:val="17"/>
          <w:color w:val="auto"/>
        </w:rPr>
        <w:t>Knowledge of Priority</w:t>
      </w:r>
    </w:p>
    <w:p>
      <w:pPr>
        <w:spacing w:after="0" w:line="203" w:lineRule="exact"/>
        <w:rPr>
          <w:sz w:val="20"/>
          <w:szCs w:val="20"/>
          <w:color w:val="auto"/>
        </w:rPr>
      </w:pPr>
    </w:p>
    <w:p>
      <w:pPr>
        <w:ind w:left="302" w:hanging="302"/>
        <w:spacing w:after="0"/>
        <w:tabs>
          <w:tab w:leader="none" w:pos="302"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326390</wp:posOffset>
            </wp:positionV>
            <wp:extent cx="7257415" cy="234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921"/>
          </w:cols>
          <w:pgMar w:left="538" w:top="650" w:right="1440" w:bottom="1440" w:gutter="0" w:footer="0" w:header="0"/>
        </w:sectPr>
      </w:pPr>
    </w:p>
    <w:bookmarkStart w:id="100" w:name="page101"/>
    <w:bookmarkEnd w:id="100"/>
    <w:p>
      <w:pPr>
        <w:jc w:val="center"/>
        <w:spacing w:after="0"/>
        <w:rPr>
          <w:sz w:val="20"/>
          <w:szCs w:val="20"/>
          <w:color w:val="auto"/>
        </w:rPr>
      </w:pPr>
      <w:r>
        <w:rPr>
          <w:rFonts w:ascii="Arial" w:cs="Arial" w:eastAsia="Arial" w:hAnsi="Arial"/>
          <w:sz w:val="17"/>
          <w:szCs w:val="17"/>
          <w:u w:val="single" w:color="auto"/>
          <w:color w:val="auto"/>
        </w:rPr>
        <w:t>Annex III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Ownership of Acquired SPAC Interests</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2880" w:type="dxa"/>
            <w:vAlign w:val="bottom"/>
            <w:tcBorders>
              <w:top w:val="single" w:sz="8" w:color="auto"/>
              <w:left w:val="single" w:sz="8" w:color="auto"/>
              <w:right w:val="single" w:sz="8" w:color="auto"/>
            </w:tcBorders>
          </w:tcPr>
          <w:p>
            <w:pPr>
              <w:ind w:left="1140"/>
              <w:spacing w:after="0"/>
              <w:rPr>
                <w:sz w:val="20"/>
                <w:szCs w:val="20"/>
                <w:color w:val="auto"/>
              </w:rPr>
            </w:pPr>
            <w:r>
              <w:rPr>
                <w:rFonts w:ascii="Arial" w:cs="Arial" w:eastAsia="Arial" w:hAnsi="Arial"/>
                <w:sz w:val="17"/>
                <w:szCs w:val="17"/>
                <w:b w:val="1"/>
                <w:bCs w:val="1"/>
                <w:color w:val="auto"/>
              </w:rPr>
              <w:t>Founder</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Acquired SPAC</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Acquired</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Cash Payment</w:t>
            </w:r>
          </w:p>
        </w:tc>
        <w:tc>
          <w:tcPr>
            <w:tcW w:w="206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7"/>
                <w:szCs w:val="17"/>
                <w:b w:val="1"/>
                <w:bCs w:val="1"/>
                <w:color w:val="auto"/>
              </w:rPr>
              <w:t>Forfeited Shares</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Shares issued or</w:t>
            </w:r>
          </w:p>
        </w:tc>
      </w:tr>
      <w:tr>
        <w:trPr>
          <w:trHeight w:val="199"/>
        </w:trPr>
        <w:tc>
          <w:tcPr>
            <w:tcW w:w="288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Units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Founders Shares</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pursuant to Section</w:t>
            </w:r>
          </w:p>
        </w:tc>
        <w:tc>
          <w:tcPr>
            <w:tcW w:w="20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Cash paid</w:t>
            </w:r>
          </w:p>
        </w:tc>
      </w:tr>
      <w:tr>
        <w:trPr>
          <w:trHeight w:val="199"/>
        </w:trPr>
        <w:tc>
          <w:tcPr>
            <w:tcW w:w="288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2.05(a)</w:t>
            </w:r>
          </w:p>
        </w:tc>
        <w:tc>
          <w:tcPr>
            <w:tcW w:w="20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pursuant to</w:t>
            </w:r>
          </w:p>
        </w:tc>
      </w:tr>
      <w:tr>
        <w:trPr>
          <w:trHeight w:val="199"/>
        </w:trPr>
        <w:tc>
          <w:tcPr>
            <w:tcW w:w="288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Section 2.06(b)(i)</w:t>
            </w:r>
          </w:p>
        </w:tc>
      </w:tr>
      <w:tr>
        <w:trPr>
          <w:trHeight w:val="216"/>
        </w:trPr>
        <w:tc>
          <w:tcPr>
            <w:tcW w:w="2880" w:type="dxa"/>
            <w:vAlign w:val="bottom"/>
            <w:tcBorders>
              <w:left w:val="single" w:sz="8" w:color="auto"/>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or 2.06(b)(ii)</w:t>
            </w:r>
          </w:p>
        </w:tc>
      </w:tr>
      <w:tr>
        <w:trPr>
          <w:trHeight w:val="204"/>
        </w:trPr>
        <w:tc>
          <w:tcPr>
            <w:tcW w:w="2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 SPAC LLC</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277,941</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294,168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$1,814,474.97</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113,500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113,500</w:t>
            </w:r>
          </w:p>
        </w:tc>
      </w:tr>
      <w:tr>
        <w:trPr>
          <w:trHeight w:val="187"/>
        </w:trPr>
        <w:tc>
          <w:tcPr>
            <w:tcW w:w="2880" w:type="dxa"/>
            <w:vAlign w:val="bottom"/>
            <w:tcBorders>
              <w:left w:val="single" w:sz="8" w:color="auto"/>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r>
      <w:tr>
        <w:trPr>
          <w:trHeight w:val="204"/>
        </w:trPr>
        <w:tc>
          <w:tcPr>
            <w:tcW w:w="2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 SPAC HOLDINGS I LLC</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60,000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64,574</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$301,781.02</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24,915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24,915</w:t>
            </w:r>
          </w:p>
        </w:tc>
      </w:tr>
      <w:tr>
        <w:trPr>
          <w:trHeight w:val="187"/>
        </w:trPr>
        <w:tc>
          <w:tcPr>
            <w:tcW w:w="2880" w:type="dxa"/>
            <w:vAlign w:val="bottom"/>
            <w:tcBorders>
              <w:left w:val="single" w:sz="8" w:color="auto"/>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r>
      <w:tr>
        <w:trPr>
          <w:trHeight w:val="204"/>
        </w:trPr>
        <w:tc>
          <w:tcPr>
            <w:tcW w:w="2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 SPAC HOLDINGS II LLC</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83,166</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94,468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$1,779.01</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36,449</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36,449</w:t>
            </w:r>
          </w:p>
        </w:tc>
      </w:tr>
      <w:tr>
        <w:trPr>
          <w:trHeight w:val="187"/>
        </w:trPr>
        <w:tc>
          <w:tcPr>
            <w:tcW w:w="2880" w:type="dxa"/>
            <w:vAlign w:val="bottom"/>
            <w:tcBorders>
              <w:left w:val="single" w:sz="8" w:color="auto"/>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r>
      <w:tr>
        <w:trPr>
          <w:trHeight w:val="208"/>
        </w:trPr>
        <w:tc>
          <w:tcPr>
            <w:tcW w:w="2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TOTAL</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421,107</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453,210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$2,118,035.00</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174,863</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174,863</w:t>
            </w:r>
          </w:p>
        </w:tc>
      </w:tr>
      <w:tr>
        <w:trPr>
          <w:trHeight w:val="183"/>
        </w:trPr>
        <w:tc>
          <w:tcPr>
            <w:tcW w:w="2880" w:type="dxa"/>
            <w:vAlign w:val="bottom"/>
            <w:tcBorders>
              <w:left w:val="single" w:sz="8" w:color="auto"/>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r>
      <w:tr>
        <w:trPr>
          <w:trHeight w:val="757"/>
        </w:trPr>
        <w:tc>
          <w:tcPr>
            <w:tcW w:w="28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0" w:right="239" w:bottom="1440" w:gutter="0" w:footer="0" w:header="0"/>
        </w:sectPr>
      </w:pPr>
    </w:p>
    <w:bookmarkStart w:id="101" w:name="page102"/>
    <w:bookmarkEnd w:id="101"/>
    <w:p>
      <w:pPr>
        <w:jc w:val="right"/>
        <w:ind w:right="40"/>
        <w:spacing w:after="0"/>
        <w:rPr>
          <w:sz w:val="20"/>
          <w:szCs w:val="20"/>
          <w:color w:val="auto"/>
        </w:rPr>
      </w:pPr>
      <w:r>
        <w:rPr>
          <w:rFonts w:ascii="Arial" w:cs="Arial" w:eastAsia="Arial" w:hAnsi="Arial"/>
          <w:sz w:val="17"/>
          <w:szCs w:val="17"/>
          <w:b w:val="1"/>
          <w:bCs w:val="1"/>
          <w:color w:val="auto"/>
        </w:rPr>
        <w:t>Exhibit 10.2</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February 26, 2018</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M SPAC LLC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M SPAC Holdings I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M SPAC Holdings II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c/o Magna Management, LLC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40 Wall Street, 58th Floor</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10005</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Call Right and ROFR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Gentlemen:</w:t>
      </w:r>
    </w:p>
    <w:p>
      <w:pPr>
        <w:spacing w:after="0" w:line="203" w:lineRule="exact"/>
        <w:rPr>
          <w:sz w:val="20"/>
          <w:szCs w:val="20"/>
          <w:color w:val="auto"/>
        </w:rPr>
      </w:pPr>
    </w:p>
    <w:p>
      <w:pPr>
        <w:jc w:val="both"/>
        <w:ind w:firstLine="598"/>
        <w:spacing w:after="0" w:line="248" w:lineRule="auto"/>
        <w:rPr>
          <w:sz w:val="20"/>
          <w:szCs w:val="20"/>
          <w:color w:val="auto"/>
        </w:rPr>
      </w:pPr>
      <w:r>
        <w:rPr>
          <w:rFonts w:ascii="Arial" w:cs="Arial" w:eastAsia="Arial" w:hAnsi="Arial"/>
          <w:sz w:val="17"/>
          <w:szCs w:val="17"/>
          <w:color w:val="auto"/>
        </w:rPr>
        <w:t>Reference is hereby made to that Contribution Agreement (the “</w:t>
      </w:r>
      <w:r>
        <w:rPr>
          <w:rFonts w:ascii="Arial" w:cs="Arial" w:eastAsia="Arial" w:hAnsi="Arial"/>
          <w:sz w:val="17"/>
          <w:szCs w:val="17"/>
          <w:u w:val="single" w:color="auto"/>
          <w:color w:val="auto"/>
        </w:rPr>
        <w:t>Contribution Agreement</w:t>
      </w:r>
      <w:r>
        <w:rPr>
          <w:rFonts w:ascii="Arial" w:cs="Arial" w:eastAsia="Arial" w:hAnsi="Arial"/>
          <w:sz w:val="17"/>
          <w:szCs w:val="17"/>
          <w:color w:val="auto"/>
        </w:rPr>
        <w:t>”), dated as of the date hereof, by and among Priority Investment Holdings, LLC (“</w:t>
      </w:r>
      <w:r>
        <w:rPr>
          <w:rFonts w:ascii="Arial" w:cs="Arial" w:eastAsia="Arial" w:hAnsi="Arial"/>
          <w:sz w:val="17"/>
          <w:szCs w:val="17"/>
          <w:u w:val="single" w:color="auto"/>
          <w:color w:val="auto"/>
        </w:rPr>
        <w:t>PIH</w:t>
      </w:r>
      <w:r>
        <w:rPr>
          <w:rFonts w:ascii="Arial" w:cs="Arial" w:eastAsia="Arial" w:hAnsi="Arial"/>
          <w:sz w:val="17"/>
          <w:szCs w:val="17"/>
          <w:color w:val="auto"/>
        </w:rPr>
        <w:t>”), Priority Incentive Equity Holdings, LLC (“</w:t>
      </w:r>
      <w:r>
        <w:rPr>
          <w:rFonts w:ascii="Arial" w:cs="Arial" w:eastAsia="Arial" w:hAnsi="Arial"/>
          <w:sz w:val="17"/>
          <w:szCs w:val="17"/>
          <w:u w:val="single" w:color="auto"/>
          <w:color w:val="auto"/>
        </w:rPr>
        <w:t>PIEH</w:t>
      </w:r>
      <w:r>
        <w:rPr>
          <w:rFonts w:ascii="Arial" w:cs="Arial" w:eastAsia="Arial" w:hAnsi="Arial"/>
          <w:sz w:val="17"/>
          <w:szCs w:val="17"/>
          <w:color w:val="auto"/>
        </w:rPr>
        <w:t>”) and M I Acquisitions, Inc. (the “</w:t>
      </w:r>
      <w:r>
        <w:rPr>
          <w:rFonts w:ascii="Arial" w:cs="Arial" w:eastAsia="Arial" w:hAnsi="Arial"/>
          <w:sz w:val="17"/>
          <w:szCs w:val="17"/>
          <w:u w:val="single" w:color="auto"/>
          <w:color w:val="auto"/>
        </w:rPr>
        <w:t>Company</w:t>
      </w:r>
      <w:r>
        <w:rPr>
          <w:rFonts w:ascii="Arial" w:cs="Arial" w:eastAsia="Arial" w:hAnsi="Arial"/>
          <w:sz w:val="17"/>
          <w:szCs w:val="17"/>
          <w:color w:val="auto"/>
        </w:rPr>
        <w:t>”), pursuant to which, PIH and PIEH agreed to contribute to the Company, and the Company agreed to acquire from PIH and PIEH, 100% of the issued and outstanding equity interests of Priority Holdings, LLC. In connection with the transactions contemplated by the Contribution Agreement, and in consideration of the respective representations, warranties, covenants and agreements set forth herein and for good and valuable consideration, the receipt and sufficiency of which are hereby acknowledged, the parties hereto, intending to be legally bound hereby, agree as follows:</w:t>
      </w:r>
    </w:p>
    <w:p>
      <w:pPr>
        <w:spacing w:after="0" w:line="182" w:lineRule="exact"/>
        <w:rPr>
          <w:sz w:val="20"/>
          <w:szCs w:val="20"/>
          <w:color w:val="auto"/>
        </w:rPr>
      </w:pPr>
    </w:p>
    <w:p>
      <w:pPr>
        <w:ind w:left="600" w:hanging="302"/>
        <w:spacing w:after="0"/>
        <w:tabs>
          <w:tab w:leader="none" w:pos="600"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The following terms shall have the following meanings:</w:t>
      </w:r>
    </w:p>
    <w:p>
      <w:pPr>
        <w:spacing w:after="0" w:line="203" w:lineRule="exact"/>
        <w:rPr>
          <w:sz w:val="20"/>
          <w:szCs w:val="20"/>
          <w:color w:val="auto"/>
        </w:rPr>
      </w:pPr>
    </w:p>
    <w:p>
      <w:pPr>
        <w:jc w:val="both"/>
        <w:ind w:left="300" w:firstLine="299"/>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of any Person means any other Person controlling, controlled by or under common control with such first Person, and “controlling”, “controlled by” or “under common control with” means the possession, directly or indirectly, of the power to direct the management and policies of a Person, whether through the ownership of voting securities, by contract or otherwise.</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has the meaning set forth in the Contribution Agreement.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w:t>
      </w:r>
      <w:r>
        <w:rPr>
          <w:rFonts w:ascii="Arial" w:cs="Arial" w:eastAsia="Arial" w:hAnsi="Arial"/>
          <w:sz w:val="17"/>
          <w:szCs w:val="17"/>
          <w:color w:val="auto"/>
        </w:rPr>
        <w:t>” has the meaning set forth in the Contribution Agreement.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means the common stock, $0.001 par value per share, of the Company.</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Unit</w:t>
      </w:r>
      <w:r>
        <w:rPr>
          <w:rFonts w:ascii="Arial" w:cs="Arial" w:eastAsia="Arial" w:hAnsi="Arial"/>
          <w:sz w:val="17"/>
          <w:szCs w:val="17"/>
          <w:color w:val="auto"/>
        </w:rPr>
        <w:t>” means the units issued by the Company, consisting of one share of Company Common Stock and one Company Warrant.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Securities</w:t>
      </w:r>
      <w:r>
        <w:rPr>
          <w:rFonts w:ascii="Arial" w:cs="Arial" w:eastAsia="Arial" w:hAnsi="Arial"/>
          <w:sz w:val="17"/>
          <w:szCs w:val="17"/>
          <w:color w:val="auto"/>
        </w:rPr>
        <w:t>” means (a) shares of Company Common Stock, (b) the Company Units and (c) the Company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7257415" cy="234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02" w:name="page103"/>
    <w:bookmarkEnd w:id="102"/>
    <w:p>
      <w:pPr>
        <w:ind w:left="2" w:firstLine="29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Warrant</w:t>
      </w:r>
      <w:r>
        <w:rPr>
          <w:rFonts w:ascii="Arial" w:cs="Arial" w:eastAsia="Arial" w:hAnsi="Arial"/>
          <w:sz w:val="17"/>
          <w:szCs w:val="17"/>
          <w:color w:val="auto"/>
        </w:rPr>
        <w:t>” means a warrant issued by the Company entitling the holder thereof to purchase one share of Company Common Stock in accordance with the terms and conditions of the Warrant Agreement.</w:t>
      </w:r>
    </w:p>
    <w:p>
      <w:pPr>
        <w:spacing w:after="0" w:line="168" w:lineRule="exact"/>
        <w:rPr>
          <w:sz w:val="20"/>
          <w:szCs w:val="20"/>
          <w:color w:val="auto"/>
        </w:rPr>
      </w:pPr>
    </w:p>
    <w:p>
      <w:pPr>
        <w:ind w:left="2" w:firstLine="29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Preceding VWAP</w:t>
      </w:r>
      <w:r>
        <w:rPr>
          <w:rFonts w:ascii="Arial" w:cs="Arial" w:eastAsia="Arial" w:hAnsi="Arial"/>
          <w:sz w:val="17"/>
          <w:szCs w:val="17"/>
          <w:color w:val="auto"/>
        </w:rPr>
        <w:t>” means, with respect to any Called Securities, the VWAP of such Called Securities on NASDAQ for the 20 consecutive trading days immediately prior to the date of delivery of the Call Right Notice.</w:t>
      </w:r>
    </w:p>
    <w:p>
      <w:pPr>
        <w:spacing w:after="0" w:line="168" w:lineRule="exact"/>
        <w:rPr>
          <w:sz w:val="20"/>
          <w:szCs w:val="20"/>
          <w:color w:val="auto"/>
        </w:rPr>
      </w:pPr>
    </w:p>
    <w:p>
      <w:pPr>
        <w:ind w:left="30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Person other than the Company, the Founders, TCP or any Affiliate of any of the foregoing.</w:t>
      </w:r>
    </w:p>
    <w:p>
      <w:pPr>
        <w:spacing w:after="0" w:line="203" w:lineRule="exact"/>
        <w:rPr>
          <w:sz w:val="20"/>
          <w:szCs w:val="20"/>
          <w:color w:val="auto"/>
        </w:rPr>
      </w:pPr>
    </w:p>
    <w:p>
      <w:pPr>
        <w:ind w:left="30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the volume weighted average closing price.</w:t>
      </w:r>
    </w:p>
    <w:p>
      <w:pPr>
        <w:spacing w:after="0" w:line="203" w:lineRule="exact"/>
        <w:rPr>
          <w:sz w:val="20"/>
          <w:szCs w:val="20"/>
          <w:color w:val="auto"/>
        </w:rPr>
      </w:pPr>
    </w:p>
    <w:p>
      <w:pPr>
        <w:ind w:left="2" w:firstLine="29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Subsequent VWAP</w:t>
      </w:r>
      <w:r>
        <w:rPr>
          <w:rFonts w:ascii="Arial" w:cs="Arial" w:eastAsia="Arial" w:hAnsi="Arial"/>
          <w:sz w:val="17"/>
          <w:szCs w:val="17"/>
          <w:color w:val="auto"/>
        </w:rPr>
        <w:t>” means, with respect to any Called Securities, the VWAP of such Called Securities on NASDAQ for the 20 consecutive trading days immediately after the date of delivery of the Call Right Notice.</w:t>
      </w:r>
    </w:p>
    <w:p>
      <w:pPr>
        <w:spacing w:after="0" w:line="168" w:lineRule="exact"/>
        <w:rPr>
          <w:sz w:val="20"/>
          <w:szCs w:val="20"/>
          <w:color w:val="auto"/>
        </w:rPr>
      </w:pPr>
    </w:p>
    <w:p>
      <w:pPr>
        <w:ind w:left="2" w:firstLine="29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Warrant Agreement</w:t>
      </w:r>
      <w:r>
        <w:rPr>
          <w:rFonts w:ascii="Arial" w:cs="Arial" w:eastAsia="Arial" w:hAnsi="Arial"/>
          <w:sz w:val="17"/>
          <w:szCs w:val="17"/>
          <w:color w:val="auto"/>
        </w:rPr>
        <w:t>” means that warrant agreement, dated as of September 13, 2016, by and between the Company and American Stock Transfer &amp; Trust Company, as warrant agent thereunder.</w:t>
      </w:r>
    </w:p>
    <w:p>
      <w:pPr>
        <w:spacing w:after="0" w:line="168" w:lineRule="exact"/>
        <w:rPr>
          <w:sz w:val="20"/>
          <w:szCs w:val="20"/>
          <w:color w:val="auto"/>
        </w:rPr>
      </w:pPr>
    </w:p>
    <w:p>
      <w:pPr>
        <w:ind w:left="302" w:hanging="302"/>
        <w:spacing w:after="0"/>
        <w:tabs>
          <w:tab w:leader="none" w:pos="302"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Call Right</w:t>
      </w:r>
      <w:r>
        <w:rPr>
          <w:rFonts w:ascii="Arial" w:cs="Arial" w:eastAsia="Arial" w:hAnsi="Arial"/>
          <w:sz w:val="17"/>
          <w:szCs w:val="17"/>
          <w:color w:val="auto"/>
        </w:rPr>
        <w:t>.</w:t>
      </w:r>
    </w:p>
    <w:p>
      <w:pPr>
        <w:spacing w:after="0" w:line="202" w:lineRule="exact"/>
        <w:rPr>
          <w:rFonts w:ascii="Arial" w:cs="Arial" w:eastAsia="Arial" w:hAnsi="Arial"/>
          <w:sz w:val="17"/>
          <w:szCs w:val="17"/>
          <w:color w:val="auto"/>
        </w:rPr>
      </w:pPr>
    </w:p>
    <w:p>
      <w:pPr>
        <w:jc w:val="both"/>
        <w:ind w:left="2" w:firstLine="596"/>
        <w:spacing w:after="0" w:line="284" w:lineRule="auto"/>
        <w:tabs>
          <w:tab w:leader="none" w:pos="1136" w:val="left"/>
        </w:tabs>
        <w:numPr>
          <w:ilvl w:val="1"/>
          <w:numId w:val="90"/>
        </w:numPr>
        <w:rPr>
          <w:rFonts w:ascii="Arial" w:cs="Arial" w:eastAsia="Arial" w:hAnsi="Arial"/>
          <w:sz w:val="15"/>
          <w:szCs w:val="15"/>
          <w:color w:val="010000"/>
        </w:rPr>
      </w:pPr>
      <w:r>
        <w:rPr>
          <w:rFonts w:ascii="Arial" w:cs="Arial" w:eastAsia="Arial" w:hAnsi="Arial"/>
          <w:sz w:val="15"/>
          <w:szCs w:val="15"/>
          <w:color w:val="auto"/>
        </w:rPr>
        <w:t>After the Closing, Thomas C. Priore (“</w:t>
      </w:r>
      <w:r>
        <w:rPr>
          <w:rFonts w:ascii="Arial" w:cs="Arial" w:eastAsia="Arial" w:hAnsi="Arial"/>
          <w:sz w:val="15"/>
          <w:szCs w:val="15"/>
          <w:u w:val="single" w:color="auto"/>
          <w:color w:val="auto"/>
        </w:rPr>
        <w:t>TCP</w:t>
      </w:r>
      <w:r>
        <w:rPr>
          <w:rFonts w:ascii="Arial" w:cs="Arial" w:eastAsia="Arial" w:hAnsi="Arial"/>
          <w:sz w:val="15"/>
          <w:szCs w:val="15"/>
          <w:color w:val="auto"/>
        </w:rPr>
        <w:t>”) shall have the right (the “</w:t>
      </w:r>
      <w:r>
        <w:rPr>
          <w:rFonts w:ascii="Arial" w:cs="Arial" w:eastAsia="Arial" w:hAnsi="Arial"/>
          <w:sz w:val="15"/>
          <w:szCs w:val="15"/>
          <w:u w:val="single" w:color="auto"/>
          <w:color w:val="auto"/>
        </w:rPr>
        <w:t>Call Right</w:t>
      </w:r>
      <w:r>
        <w:rPr>
          <w:rFonts w:ascii="Arial" w:cs="Arial" w:eastAsia="Arial" w:hAnsi="Arial"/>
          <w:sz w:val="15"/>
          <w:szCs w:val="15"/>
          <w:color w:val="auto"/>
        </w:rPr>
        <w:t>”), at any time and from time to time, to require each of M SPAC LLC (“</w:t>
      </w:r>
      <w:r>
        <w:rPr>
          <w:rFonts w:ascii="Arial" w:cs="Arial" w:eastAsia="Arial" w:hAnsi="Arial"/>
          <w:sz w:val="15"/>
          <w:szCs w:val="15"/>
          <w:u w:val="single" w:color="auto"/>
          <w:color w:val="auto"/>
        </w:rPr>
        <w:t>MS</w:t>
      </w:r>
      <w:r>
        <w:rPr>
          <w:rFonts w:ascii="Arial" w:cs="Arial" w:eastAsia="Arial" w:hAnsi="Arial"/>
          <w:sz w:val="15"/>
          <w:szCs w:val="15"/>
          <w:color w:val="auto"/>
        </w:rPr>
        <w:t>”), M SPAC Holdings I LLC (“</w:t>
      </w:r>
      <w:r>
        <w:rPr>
          <w:rFonts w:ascii="Arial" w:cs="Arial" w:eastAsia="Arial" w:hAnsi="Arial"/>
          <w:sz w:val="15"/>
          <w:szCs w:val="15"/>
          <w:u w:val="single" w:color="auto"/>
          <w:color w:val="auto"/>
        </w:rPr>
        <w:t>MS I</w:t>
      </w:r>
      <w:r>
        <w:rPr>
          <w:rFonts w:ascii="Arial" w:cs="Arial" w:eastAsia="Arial" w:hAnsi="Arial"/>
          <w:sz w:val="15"/>
          <w:szCs w:val="15"/>
          <w:color w:val="auto"/>
        </w:rPr>
        <w:t>”) and M SPAC Holdings II LLC (“</w:t>
      </w:r>
      <w:r>
        <w:rPr>
          <w:rFonts w:ascii="Arial" w:cs="Arial" w:eastAsia="Arial" w:hAnsi="Arial"/>
          <w:sz w:val="15"/>
          <w:szCs w:val="15"/>
          <w:u w:val="single" w:color="auto"/>
          <w:color w:val="auto"/>
        </w:rPr>
        <w:t>MS II</w:t>
      </w:r>
      <w:r>
        <w:rPr>
          <w:rFonts w:ascii="Arial" w:cs="Arial" w:eastAsia="Arial" w:hAnsi="Arial"/>
          <w:sz w:val="15"/>
          <w:szCs w:val="15"/>
          <w:color w:val="auto"/>
        </w:rPr>
        <w:t>” and collectively with MS I and MS, the “</w:t>
      </w:r>
      <w:r>
        <w:rPr>
          <w:rFonts w:ascii="Arial" w:cs="Arial" w:eastAsia="Arial" w:hAnsi="Arial"/>
          <w:sz w:val="15"/>
          <w:szCs w:val="15"/>
          <w:u w:val="single" w:color="auto"/>
          <w:color w:val="auto"/>
        </w:rPr>
        <w:t>Founders</w:t>
      </w:r>
      <w:r>
        <w:rPr>
          <w:rFonts w:ascii="Arial" w:cs="Arial" w:eastAsia="Arial" w:hAnsi="Arial"/>
          <w:sz w:val="15"/>
          <w:szCs w:val="15"/>
          <w:color w:val="auto"/>
        </w:rPr>
        <w:t>”) to sell all or a portion of any Company Securities then held by such Founder to TCP at the applicable Call Right Purchase Price (as defined below), payable in cash. The Call Right shall be exercisable by TCP by delivering written notice to the Founders (the “</w:t>
      </w:r>
      <w:r>
        <w:rPr>
          <w:rFonts w:ascii="Arial" w:cs="Arial" w:eastAsia="Arial" w:hAnsi="Arial"/>
          <w:sz w:val="15"/>
          <w:szCs w:val="15"/>
          <w:u w:val="single" w:color="auto"/>
          <w:color w:val="auto"/>
        </w:rPr>
        <w:t>Call Right Notice</w:t>
      </w:r>
      <w:r>
        <w:rPr>
          <w:rFonts w:ascii="Arial" w:cs="Arial" w:eastAsia="Arial" w:hAnsi="Arial"/>
          <w:sz w:val="15"/>
          <w:szCs w:val="15"/>
          <w:color w:val="auto"/>
        </w:rPr>
        <w:t>”) specifying the amount and type of Company Securities to be purchased in connection with such exercise (such Company Securities, the “</w:t>
      </w:r>
      <w:r>
        <w:rPr>
          <w:rFonts w:ascii="Arial" w:cs="Arial" w:eastAsia="Arial" w:hAnsi="Arial"/>
          <w:sz w:val="15"/>
          <w:szCs w:val="15"/>
          <w:u w:val="single" w:color="auto"/>
          <w:color w:val="auto"/>
        </w:rPr>
        <w:t>Called Securities</w:t>
      </w:r>
      <w:r>
        <w:rPr>
          <w:rFonts w:ascii="Arial" w:cs="Arial" w:eastAsia="Arial" w:hAnsi="Arial"/>
          <w:sz w:val="15"/>
          <w:szCs w:val="15"/>
          <w:color w:val="auto"/>
        </w:rPr>
        <w:t>”). As used herein, the term “</w:t>
      </w:r>
      <w:r>
        <w:rPr>
          <w:rFonts w:ascii="Arial" w:cs="Arial" w:eastAsia="Arial" w:hAnsi="Arial"/>
          <w:sz w:val="15"/>
          <w:szCs w:val="15"/>
          <w:u w:val="single" w:color="auto"/>
          <w:color w:val="auto"/>
        </w:rPr>
        <w:t>Call Right Purchase Price</w:t>
      </w:r>
      <w:r>
        <w:rPr>
          <w:rFonts w:ascii="Arial" w:cs="Arial" w:eastAsia="Arial" w:hAnsi="Arial"/>
          <w:sz w:val="15"/>
          <w:szCs w:val="15"/>
          <w:color w:val="auto"/>
        </w:rPr>
        <w:t>” shall mean (i) with respect to any Called Securities that constitute Company Units or Company Common Stock, a per share purchase price equal to the greatest of (A) $10.30, (B) the Preceding VWAP of such Called Securities or (C) the Subsequent VWAP of such Called Securities; and (ii) with respect to any Company Securities that constitute Company Warrants, a per share price equal to the greater of (A) the Preceding VWAP of such Called Securities and (B) the Subsequent VWAP of such Called Securities.</w:t>
      </w:r>
    </w:p>
    <w:p>
      <w:pPr>
        <w:spacing w:after="0" w:line="161" w:lineRule="exact"/>
        <w:rPr>
          <w:rFonts w:ascii="Arial" w:cs="Arial" w:eastAsia="Arial" w:hAnsi="Arial"/>
          <w:sz w:val="15"/>
          <w:szCs w:val="15"/>
          <w:color w:val="010000"/>
        </w:rPr>
      </w:pPr>
    </w:p>
    <w:p>
      <w:pPr>
        <w:jc w:val="both"/>
        <w:ind w:left="2" w:firstLine="596"/>
        <w:spacing w:after="0" w:line="229" w:lineRule="auto"/>
        <w:tabs>
          <w:tab w:leader="none" w:pos="1195" w:val="left"/>
        </w:tabs>
        <w:numPr>
          <w:ilvl w:val="1"/>
          <w:numId w:val="90"/>
        </w:numPr>
        <w:rPr>
          <w:rFonts w:ascii="Arial" w:cs="Arial" w:eastAsia="Arial" w:hAnsi="Arial"/>
          <w:sz w:val="17"/>
          <w:szCs w:val="17"/>
          <w:color w:val="010000"/>
        </w:rPr>
      </w:pPr>
      <w:r>
        <w:rPr>
          <w:rFonts w:ascii="Arial" w:cs="Arial" w:eastAsia="Arial" w:hAnsi="Arial"/>
          <w:sz w:val="17"/>
          <w:szCs w:val="17"/>
          <w:color w:val="auto"/>
        </w:rPr>
        <w:t>On the twenty-first (21</w:t>
      </w:r>
      <w:r>
        <w:rPr>
          <w:rFonts w:ascii="Arial" w:cs="Arial" w:eastAsia="Arial" w:hAnsi="Arial"/>
          <w:sz w:val="27"/>
          <w:szCs w:val="27"/>
          <w:color w:val="auto"/>
          <w:vertAlign w:val="superscript"/>
        </w:rPr>
        <w:t>st</w:t>
      </w:r>
      <w:r>
        <w:rPr>
          <w:rFonts w:ascii="Arial" w:cs="Arial" w:eastAsia="Arial" w:hAnsi="Arial"/>
          <w:sz w:val="17"/>
          <w:szCs w:val="17"/>
          <w:color w:val="auto"/>
        </w:rPr>
        <w:t>) trading day after delivery of the Call Right Notice, TCP shall deliver a written notice to the Founders (the “</w:t>
      </w:r>
      <w:r>
        <w:rPr>
          <w:rFonts w:ascii="Arial" w:cs="Arial" w:eastAsia="Arial" w:hAnsi="Arial"/>
          <w:sz w:val="17"/>
          <w:szCs w:val="17"/>
          <w:u w:val="single" w:color="auto"/>
          <w:color w:val="auto"/>
        </w:rPr>
        <w:t>Call Right</w:t>
      </w:r>
      <w:r>
        <w:rPr>
          <w:rFonts w:ascii="Arial" w:cs="Arial" w:eastAsia="Arial" w:hAnsi="Arial"/>
          <w:sz w:val="17"/>
          <w:szCs w:val="17"/>
          <w:color w:val="auto"/>
        </w:rPr>
        <w:t xml:space="preserve"> </w:t>
      </w:r>
      <w:r>
        <w:rPr>
          <w:rFonts w:ascii="Arial" w:cs="Arial" w:eastAsia="Arial" w:hAnsi="Arial"/>
          <w:sz w:val="17"/>
          <w:szCs w:val="17"/>
          <w:u w:val="single" w:color="auto"/>
          <w:color w:val="auto"/>
        </w:rPr>
        <w:t>Purchase Price Notice</w:t>
      </w:r>
      <w:r>
        <w:rPr>
          <w:rFonts w:ascii="Arial" w:cs="Arial" w:eastAsia="Arial" w:hAnsi="Arial"/>
          <w:sz w:val="17"/>
          <w:szCs w:val="17"/>
          <w:color w:val="auto"/>
        </w:rPr>
        <w:t xml:space="preserve">”) specifying in reasonable detail the applicable Call Right Purchase Price. TCP and the applicable Founder shall consummate the closing of the purchase of the Called Securities on the next trading day immediately after the date of delivery of the Call Right Purchase Price Notice. Notwithstanding the closing of such purchase or the payment of the applicable Call Right Purchase Price, Founders hereby reserve all rights and remedies with respect to the calculation of the applicable Call Right Purchase Price in accordance with this </w:t>
      </w:r>
      <w:r>
        <w:rPr>
          <w:rFonts w:ascii="Arial" w:cs="Arial" w:eastAsia="Arial" w:hAnsi="Arial"/>
          <w:sz w:val="17"/>
          <w:szCs w:val="17"/>
          <w:u w:val="single" w:color="auto"/>
          <w:color w:val="auto"/>
        </w:rPr>
        <w:t>Section 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191135</wp:posOffset>
            </wp:positionV>
            <wp:extent cx="7257415" cy="234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122"/>
          </w:cols>
          <w:pgMar w:left="538" w:top="749" w:right="239" w:bottom="1440" w:gutter="0" w:footer="0" w:header="0"/>
        </w:sectPr>
      </w:pPr>
    </w:p>
    <w:bookmarkStart w:id="103" w:name="page104"/>
    <w:bookmarkEnd w:id="103"/>
    <w:p>
      <w:pPr>
        <w:ind w:left="302" w:hanging="302"/>
        <w:spacing w:after="0"/>
        <w:tabs>
          <w:tab w:leader="none" w:pos="302"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ROFR</w:t>
      </w:r>
      <w:r>
        <w:rPr>
          <w:rFonts w:ascii="Arial" w:cs="Arial" w:eastAsia="Arial" w:hAnsi="Arial"/>
          <w:sz w:val="17"/>
          <w:szCs w:val="17"/>
          <w:color w:val="auto"/>
        </w:rPr>
        <w:t>.</w:t>
      </w:r>
    </w:p>
    <w:p>
      <w:pPr>
        <w:spacing w:after="0" w:line="203" w:lineRule="exact"/>
        <w:rPr>
          <w:sz w:val="20"/>
          <w:szCs w:val="20"/>
          <w:color w:val="auto"/>
        </w:rPr>
      </w:pPr>
    </w:p>
    <w:p>
      <w:pPr>
        <w:jc w:val="both"/>
        <w:ind w:left="2" w:firstLine="895"/>
        <w:spacing w:after="0" w:line="284" w:lineRule="auto"/>
        <w:tabs>
          <w:tab w:leader="none" w:pos="1484" w:val="left"/>
        </w:tabs>
        <w:numPr>
          <w:ilvl w:val="1"/>
          <w:numId w:val="92"/>
        </w:numPr>
        <w:rPr>
          <w:rFonts w:ascii="Arial" w:cs="Arial" w:eastAsia="Arial" w:hAnsi="Arial"/>
          <w:sz w:val="15"/>
          <w:szCs w:val="15"/>
          <w:color w:val="010000"/>
        </w:rPr>
      </w:pPr>
      <w:r>
        <w:rPr>
          <w:rFonts w:ascii="Arial" w:cs="Arial" w:eastAsia="Arial" w:hAnsi="Arial"/>
          <w:sz w:val="15"/>
          <w:szCs w:val="15"/>
          <w:color w:val="auto"/>
        </w:rPr>
        <w:t>After the Closing, if any Founder (i) proposes to sell or otherwise transfer any Company Securities then held by such Founder (other than a distribution of any Company Securities to the beneficial owners of the applicable Founder pursuant to which such beneficial owners agree in writing to be bound by the terms of this Agreement in respect of such distributed Company Securities) (the “</w:t>
      </w:r>
      <w:r>
        <w:rPr>
          <w:rFonts w:ascii="Arial" w:cs="Arial" w:eastAsia="Arial" w:hAnsi="Arial"/>
          <w:sz w:val="15"/>
          <w:szCs w:val="15"/>
          <w:u w:val="single" w:color="auto"/>
          <w:color w:val="auto"/>
        </w:rPr>
        <w:t>Selling Founder</w:t>
      </w:r>
      <w:r>
        <w:rPr>
          <w:rFonts w:ascii="Arial" w:cs="Arial" w:eastAsia="Arial" w:hAnsi="Arial"/>
          <w:sz w:val="15"/>
          <w:szCs w:val="15"/>
          <w:color w:val="auto"/>
        </w:rPr>
        <w:t>”, and such proposed sale and transfer, the “</w:t>
      </w:r>
      <w:r>
        <w:rPr>
          <w:rFonts w:ascii="Arial" w:cs="Arial" w:eastAsia="Arial" w:hAnsi="Arial"/>
          <w:sz w:val="15"/>
          <w:szCs w:val="15"/>
          <w:u w:val="single" w:color="auto"/>
          <w:color w:val="auto"/>
        </w:rPr>
        <w:t>Proposed Transfer</w:t>
      </w:r>
      <w:r>
        <w:rPr>
          <w:rFonts w:ascii="Arial" w:cs="Arial" w:eastAsia="Arial" w:hAnsi="Arial"/>
          <w:sz w:val="15"/>
          <w:szCs w:val="15"/>
          <w:color w:val="auto"/>
        </w:rPr>
        <w:t>”) or (ii) receives a bona fide arms’ length offer (the “</w:t>
      </w:r>
      <w:r>
        <w:rPr>
          <w:rFonts w:ascii="Arial" w:cs="Arial" w:eastAsia="Arial" w:hAnsi="Arial"/>
          <w:sz w:val="15"/>
          <w:szCs w:val="15"/>
          <w:u w:val="single" w:color="auto"/>
          <w:color w:val="auto"/>
        </w:rPr>
        <w:t>Offer</w:t>
      </w:r>
      <w:r>
        <w:rPr>
          <w:rFonts w:ascii="Arial" w:cs="Arial" w:eastAsia="Arial" w:hAnsi="Arial"/>
          <w:sz w:val="15"/>
          <w:szCs w:val="15"/>
          <w:color w:val="auto"/>
        </w:rPr>
        <w:t>”) from a Third Party to purchase any Company Securities then held by such Founder, then, in each case, the Selling Founder shall deliver a written notice (the “</w:t>
      </w:r>
      <w:r>
        <w:rPr>
          <w:rFonts w:ascii="Arial" w:cs="Arial" w:eastAsia="Arial" w:hAnsi="Arial"/>
          <w:sz w:val="15"/>
          <w:szCs w:val="15"/>
          <w:u w:val="single" w:color="auto"/>
          <w:color w:val="auto"/>
        </w:rPr>
        <w:t>ROFR Notice</w:t>
      </w:r>
      <w:r>
        <w:rPr>
          <w:rFonts w:ascii="Arial" w:cs="Arial" w:eastAsia="Arial" w:hAnsi="Arial"/>
          <w:sz w:val="15"/>
          <w:szCs w:val="15"/>
          <w:color w:val="auto"/>
        </w:rPr>
        <w:t>”) to TCP specifying the terms and conditions of the Proposed Transfer or the Offer, as applicable. The ROFR Notice shall constitute an irrevocable offer by the Selling Founder to sell the ROFR Securities (as defined below) to TCP at a purchase price equal to the price contained in, and on the other terms and conditions of, the Proposed Transfer or the Offer, as applicable. As used herein, the term “</w:t>
      </w:r>
      <w:r>
        <w:rPr>
          <w:rFonts w:ascii="Arial" w:cs="Arial" w:eastAsia="Arial" w:hAnsi="Arial"/>
          <w:sz w:val="15"/>
          <w:szCs w:val="15"/>
          <w:u w:val="single" w:color="auto"/>
          <w:color w:val="auto"/>
        </w:rPr>
        <w:t>ROFR Securities</w:t>
      </w:r>
      <w:r>
        <w:rPr>
          <w:rFonts w:ascii="Arial" w:cs="Arial" w:eastAsia="Arial" w:hAnsi="Arial"/>
          <w:sz w:val="15"/>
          <w:szCs w:val="15"/>
          <w:color w:val="auto"/>
        </w:rPr>
        <w:t>” shall mean any Company Securities that are the subject of the Proposed Transfer or the Offer, as applicable.</w:t>
      </w:r>
    </w:p>
    <w:p>
      <w:pPr>
        <w:spacing w:after="0" w:line="161" w:lineRule="exact"/>
        <w:rPr>
          <w:rFonts w:ascii="Arial" w:cs="Arial" w:eastAsia="Arial" w:hAnsi="Arial"/>
          <w:sz w:val="15"/>
          <w:szCs w:val="15"/>
          <w:color w:val="010000"/>
        </w:rPr>
      </w:pPr>
    </w:p>
    <w:p>
      <w:pPr>
        <w:jc w:val="both"/>
        <w:ind w:left="2" w:firstLine="895"/>
        <w:spacing w:after="0" w:line="226" w:lineRule="auto"/>
        <w:tabs>
          <w:tab w:leader="none" w:pos="1407" w:val="left"/>
        </w:tabs>
        <w:numPr>
          <w:ilvl w:val="1"/>
          <w:numId w:val="92"/>
        </w:numPr>
        <w:rPr>
          <w:rFonts w:ascii="Arial" w:cs="Arial" w:eastAsia="Arial" w:hAnsi="Arial"/>
          <w:sz w:val="17"/>
          <w:szCs w:val="17"/>
          <w:color w:val="010000"/>
        </w:rPr>
      </w:pPr>
      <w:r>
        <w:rPr>
          <w:rFonts w:ascii="Arial" w:cs="Arial" w:eastAsia="Arial" w:hAnsi="Arial"/>
          <w:sz w:val="17"/>
          <w:szCs w:val="17"/>
          <w:color w:val="auto"/>
        </w:rPr>
        <w:t>On or prior to the fifth (5</w:t>
      </w:r>
      <w:r>
        <w:rPr>
          <w:rFonts w:ascii="Arial" w:cs="Arial" w:eastAsia="Arial" w:hAnsi="Arial"/>
          <w:sz w:val="27"/>
          <w:szCs w:val="27"/>
          <w:color w:val="auto"/>
          <w:vertAlign w:val="superscript"/>
        </w:rPr>
        <w:t>th</w:t>
      </w:r>
      <w:r>
        <w:rPr>
          <w:rFonts w:ascii="Arial" w:cs="Arial" w:eastAsia="Arial" w:hAnsi="Arial"/>
          <w:sz w:val="17"/>
          <w:szCs w:val="17"/>
          <w:color w:val="auto"/>
        </w:rPr>
        <w:t>) Business Day after receipt of the ROFR Notice, TCP may elect to accept the irrevocable offer set forth in the ROFR Notice to purchase the ROFR Securities and, in such event, shall deliver a written notice of such acceptance to the Selling Founder prior to the expiration of such 5-Business Day period. TCP and the Selling Founder shall consummate the closing of the purchase of the ROFR Securities no later than 30 calendar days after the date of delivery of the ROFR Notice.</w:t>
      </w:r>
    </w:p>
    <w:p>
      <w:pPr>
        <w:spacing w:after="0" w:line="187" w:lineRule="exact"/>
        <w:rPr>
          <w:rFonts w:ascii="Arial" w:cs="Arial" w:eastAsia="Arial" w:hAnsi="Arial"/>
          <w:sz w:val="17"/>
          <w:szCs w:val="17"/>
          <w:color w:val="010000"/>
        </w:rPr>
      </w:pPr>
    </w:p>
    <w:p>
      <w:pPr>
        <w:ind w:left="2" w:firstLine="895"/>
        <w:spacing w:after="0" w:line="264" w:lineRule="auto"/>
        <w:tabs>
          <w:tab w:leader="none" w:pos="1497" w:val="left"/>
        </w:tabs>
        <w:numPr>
          <w:ilvl w:val="1"/>
          <w:numId w:val="92"/>
        </w:numPr>
        <w:rPr>
          <w:rFonts w:ascii="Arial" w:cs="Arial" w:eastAsia="Arial" w:hAnsi="Arial"/>
          <w:sz w:val="17"/>
          <w:szCs w:val="17"/>
          <w:color w:val="010000"/>
        </w:rPr>
      </w:pPr>
      <w:r>
        <w:rPr>
          <w:rFonts w:ascii="Arial" w:cs="Arial" w:eastAsia="Arial" w:hAnsi="Arial"/>
          <w:sz w:val="17"/>
          <w:szCs w:val="17"/>
          <w:color w:val="auto"/>
        </w:rPr>
        <w:t xml:space="preserve">If TCP fails to consummate more than one purchase for which it exercised its rights under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shall automatically terminate and shall be of no further force and effect.</w:t>
      </w:r>
    </w:p>
    <w:p>
      <w:pPr>
        <w:spacing w:after="0" w:line="167" w:lineRule="exact"/>
        <w:rPr>
          <w:rFonts w:ascii="Arial" w:cs="Arial" w:eastAsia="Arial" w:hAnsi="Arial"/>
          <w:sz w:val="17"/>
          <w:szCs w:val="17"/>
          <w:color w:val="010000"/>
        </w:rPr>
      </w:pPr>
    </w:p>
    <w:p>
      <w:pPr>
        <w:ind w:left="-298" w:firstLine="298"/>
        <w:spacing w:after="0" w:line="264" w:lineRule="auto"/>
        <w:tabs>
          <w:tab w:leader="none" w:pos="477"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Agreement shall be automatically terminated and of no further force and effect without any further action by any party hereto immediately upon termination of the Contribution Agreement pursuant to and in accordance with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thereof.</w:t>
      </w:r>
    </w:p>
    <w:p>
      <w:pPr>
        <w:spacing w:after="0" w:line="167" w:lineRule="exact"/>
        <w:rPr>
          <w:rFonts w:ascii="Arial" w:cs="Arial" w:eastAsia="Arial" w:hAnsi="Arial"/>
          <w:sz w:val="17"/>
          <w:szCs w:val="17"/>
          <w:color w:val="auto"/>
        </w:rPr>
      </w:pPr>
    </w:p>
    <w:p>
      <w:pPr>
        <w:jc w:val="both"/>
        <w:ind w:left="-298" w:firstLine="298"/>
        <w:spacing w:after="0" w:line="290" w:lineRule="auto"/>
        <w:tabs>
          <w:tab w:leader="none" w:pos="477"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xml:space="preserve">. All notices, consents and other communications hereunder (a) shall be in writing; (b) shall be deemed to have been duly given (i) when delivered by hand or by Federal Express or a similar overnight courier to the address for such party hereto set forth below; (ii) five (5) days after being post-marked by the United States Postal Service enclosed in a postage-prepaid, registered or certified envelope addressed to the address of such party hereto set forth below; or (iii) when successfully transmitted by email to the email address for such party hereto set forth below; and (c) shall be sent to the following addresses or email addresses (or at such other address or email address for a party hereto as shall be specified by like notice;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notice of change of email address shall be effective only upon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168275</wp:posOffset>
            </wp:positionV>
            <wp:extent cx="7257415" cy="234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122"/>
          </w:cols>
          <w:pgMar w:left="538" w:top="749" w:right="239" w:bottom="1440" w:gutter="0" w:footer="0" w:header="0"/>
        </w:sectPr>
      </w:pPr>
    </w:p>
    <w:bookmarkStart w:id="104" w:name="page105"/>
    <w:bookmarkEnd w:id="104"/>
    <w:p>
      <w:pPr>
        <w:ind w:left="1502" w:hanging="605"/>
        <w:spacing w:after="0"/>
        <w:tabs>
          <w:tab w:leader="none" w:pos="1502"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to TCP, to:</w:t>
      </w:r>
    </w:p>
    <w:p>
      <w:pPr>
        <w:spacing w:after="0" w:line="202" w:lineRule="exact"/>
        <w:rPr>
          <w:rFonts w:ascii="Arial" w:cs="Arial" w:eastAsia="Arial" w:hAnsi="Arial"/>
          <w:sz w:val="17"/>
          <w:szCs w:val="17"/>
          <w:color w:val="auto"/>
        </w:rPr>
      </w:pPr>
    </w:p>
    <w:p>
      <w:pPr>
        <w:ind w:left="1502"/>
        <w:spacing w:after="0"/>
        <w:rPr>
          <w:rFonts w:ascii="Arial" w:cs="Arial" w:eastAsia="Arial" w:hAnsi="Arial"/>
          <w:sz w:val="17"/>
          <w:szCs w:val="17"/>
          <w:color w:val="auto"/>
        </w:rPr>
      </w:pPr>
      <w:r>
        <w:rPr>
          <w:rFonts w:ascii="Arial" w:cs="Arial" w:eastAsia="Arial" w:hAnsi="Arial"/>
          <w:sz w:val="17"/>
          <w:szCs w:val="17"/>
          <w:color w:val="auto"/>
        </w:rPr>
        <w:t>c/o PSD Partners</w:t>
      </w:r>
    </w:p>
    <w:p>
      <w:pPr>
        <w:spacing w:after="0" w:line="16" w:lineRule="exact"/>
        <w:rPr>
          <w:rFonts w:ascii="Arial" w:cs="Arial" w:eastAsia="Arial" w:hAnsi="Arial"/>
          <w:sz w:val="17"/>
          <w:szCs w:val="17"/>
          <w:color w:val="auto"/>
        </w:rPr>
      </w:pPr>
    </w:p>
    <w:p>
      <w:pPr>
        <w:ind w:left="1502" w:right="7560"/>
        <w:spacing w:after="0" w:line="228" w:lineRule="auto"/>
        <w:rPr>
          <w:rFonts w:ascii="Arial" w:cs="Arial" w:eastAsia="Arial" w:hAnsi="Arial"/>
          <w:sz w:val="17"/>
          <w:szCs w:val="17"/>
          <w:color w:val="auto"/>
        </w:rPr>
      </w:pPr>
      <w:r>
        <w:rPr>
          <w:rFonts w:ascii="Arial" w:cs="Arial" w:eastAsia="Arial" w:hAnsi="Arial"/>
          <w:sz w:val="16"/>
          <w:szCs w:val="16"/>
          <w:color w:val="auto"/>
        </w:rPr>
        <w:t>19 West 44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1416 New York, New York 10036 Email: tpriore@pps.io</w:t>
      </w:r>
    </w:p>
    <w:p>
      <w:pPr>
        <w:spacing w:after="0" w:line="1" w:lineRule="exact"/>
        <w:rPr>
          <w:rFonts w:ascii="Arial" w:cs="Arial" w:eastAsia="Arial" w:hAnsi="Arial"/>
          <w:sz w:val="17"/>
          <w:szCs w:val="17"/>
          <w:color w:val="auto"/>
        </w:rPr>
      </w:pPr>
    </w:p>
    <w:p>
      <w:pPr>
        <w:ind w:left="1502"/>
        <w:spacing w:after="0"/>
        <w:rPr>
          <w:rFonts w:ascii="Arial" w:cs="Arial" w:eastAsia="Arial" w:hAnsi="Arial"/>
          <w:sz w:val="17"/>
          <w:szCs w:val="17"/>
          <w:color w:val="auto"/>
        </w:rPr>
      </w:pPr>
      <w:r>
        <w:rPr>
          <w:rFonts w:ascii="Arial" w:cs="Arial" w:eastAsia="Arial" w:hAnsi="Arial"/>
          <w:sz w:val="17"/>
          <w:szCs w:val="17"/>
          <w:color w:val="auto"/>
        </w:rPr>
        <w:t>Attn: Thomas C. Priore</w:t>
      </w:r>
    </w:p>
    <w:p>
      <w:pPr>
        <w:spacing w:after="0" w:line="190" w:lineRule="exact"/>
        <w:rPr>
          <w:rFonts w:ascii="Arial" w:cs="Arial" w:eastAsia="Arial" w:hAnsi="Arial"/>
          <w:sz w:val="17"/>
          <w:szCs w:val="17"/>
          <w:color w:val="auto"/>
        </w:rPr>
      </w:pPr>
    </w:p>
    <w:p>
      <w:pPr>
        <w:ind w:left="1502"/>
        <w:spacing w:after="0"/>
        <w:rPr>
          <w:rFonts w:ascii="Arial" w:cs="Arial" w:eastAsia="Arial" w:hAnsi="Arial"/>
          <w:sz w:val="17"/>
          <w:szCs w:val="17"/>
          <w:color w:val="auto"/>
        </w:rPr>
      </w:pPr>
      <w:r>
        <w:rPr>
          <w:rFonts w:ascii="Arial" w:cs="Arial" w:eastAsia="Arial" w:hAnsi="Arial"/>
          <w:sz w:val="17"/>
          <w:szCs w:val="17"/>
          <w:color w:val="auto"/>
        </w:rPr>
        <w:t>with copy (which shall not constitute notice) to:</w:t>
      </w:r>
    </w:p>
    <w:p>
      <w:pPr>
        <w:spacing w:after="0" w:line="202" w:lineRule="exact"/>
        <w:rPr>
          <w:rFonts w:ascii="Arial" w:cs="Arial" w:eastAsia="Arial" w:hAnsi="Arial"/>
          <w:sz w:val="17"/>
          <w:szCs w:val="17"/>
          <w:color w:val="auto"/>
        </w:rPr>
      </w:pPr>
    </w:p>
    <w:p>
      <w:pPr>
        <w:ind w:left="1502" w:right="7840"/>
        <w:spacing w:after="0" w:line="252" w:lineRule="auto"/>
        <w:rPr>
          <w:rFonts w:ascii="Arial" w:cs="Arial" w:eastAsia="Arial" w:hAnsi="Arial"/>
          <w:sz w:val="17"/>
          <w:szCs w:val="17"/>
          <w:color w:val="auto"/>
        </w:rPr>
      </w:pPr>
      <w:r>
        <w:rPr>
          <w:rFonts w:ascii="Arial" w:cs="Arial" w:eastAsia="Arial" w:hAnsi="Arial"/>
          <w:sz w:val="17"/>
          <w:szCs w:val="17"/>
          <w:color w:val="auto"/>
        </w:rPr>
        <w:t>Schulte Roth &amp; Zabel LLP 919 Third Avenue</w:t>
      </w:r>
    </w:p>
    <w:p>
      <w:pPr>
        <w:ind w:left="1502" w:right="7400"/>
        <w:spacing w:after="0" w:line="295" w:lineRule="auto"/>
        <w:rPr>
          <w:rFonts w:ascii="Arial" w:cs="Arial" w:eastAsia="Arial" w:hAnsi="Arial"/>
          <w:sz w:val="17"/>
          <w:szCs w:val="17"/>
          <w:color w:val="auto"/>
        </w:rPr>
      </w:pPr>
      <w:r>
        <w:rPr>
          <w:rFonts w:ascii="Arial" w:cs="Arial" w:eastAsia="Arial" w:hAnsi="Arial"/>
          <w:sz w:val="15"/>
          <w:szCs w:val="15"/>
          <w:color w:val="auto"/>
        </w:rPr>
        <w:t>New York, New York 10022 Email: michael.gilligan@srz.com Attn: Michael E. Gilligan</w:t>
      </w:r>
    </w:p>
    <w:p>
      <w:pPr>
        <w:spacing w:after="0" w:line="148" w:lineRule="exact"/>
        <w:rPr>
          <w:rFonts w:ascii="Arial" w:cs="Arial" w:eastAsia="Arial" w:hAnsi="Arial"/>
          <w:sz w:val="17"/>
          <w:szCs w:val="17"/>
          <w:color w:val="auto"/>
        </w:rPr>
      </w:pPr>
    </w:p>
    <w:p>
      <w:pPr>
        <w:ind w:left="1542" w:hanging="645"/>
        <w:spacing w:after="0"/>
        <w:tabs>
          <w:tab w:leader="none" w:pos="1542"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to Founders, to:</w:t>
      </w:r>
    </w:p>
    <w:p>
      <w:pPr>
        <w:spacing w:after="0" w:line="203" w:lineRule="exact"/>
        <w:rPr>
          <w:sz w:val="20"/>
          <w:szCs w:val="20"/>
          <w:color w:val="auto"/>
        </w:rPr>
      </w:pPr>
    </w:p>
    <w:p>
      <w:pPr>
        <w:ind w:left="1502"/>
        <w:spacing w:after="0"/>
        <w:rPr>
          <w:sz w:val="20"/>
          <w:szCs w:val="20"/>
          <w:color w:val="auto"/>
        </w:rPr>
      </w:pPr>
      <w:r>
        <w:rPr>
          <w:rFonts w:ascii="Arial" w:cs="Arial" w:eastAsia="Arial" w:hAnsi="Arial"/>
          <w:sz w:val="17"/>
          <w:szCs w:val="17"/>
          <w:color w:val="auto"/>
        </w:rPr>
        <w:t>c/o Magna Management, LLC</w:t>
      </w:r>
    </w:p>
    <w:p>
      <w:pPr>
        <w:ind w:left="1502"/>
        <w:spacing w:after="0" w:line="196" w:lineRule="auto"/>
        <w:rPr>
          <w:sz w:val="20"/>
          <w:szCs w:val="20"/>
          <w:color w:val="auto"/>
        </w:rPr>
      </w:pPr>
      <w:r>
        <w:rPr>
          <w:rFonts w:ascii="Arial" w:cs="Arial" w:eastAsia="Arial" w:hAnsi="Arial"/>
          <w:sz w:val="17"/>
          <w:szCs w:val="17"/>
          <w:color w:val="auto"/>
        </w:rPr>
        <w:t>40 Wall Street, 58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502"/>
        <w:spacing w:after="0"/>
        <w:rPr>
          <w:sz w:val="20"/>
          <w:szCs w:val="20"/>
          <w:color w:val="auto"/>
        </w:rPr>
      </w:pPr>
      <w:r>
        <w:rPr>
          <w:rFonts w:ascii="Arial" w:cs="Arial" w:eastAsia="Arial" w:hAnsi="Arial"/>
          <w:sz w:val="17"/>
          <w:szCs w:val="17"/>
          <w:color w:val="auto"/>
        </w:rPr>
        <w:t>New York, New York 10005</w:t>
      </w:r>
    </w:p>
    <w:p>
      <w:pPr>
        <w:spacing w:after="0" w:line="2" w:lineRule="exact"/>
        <w:rPr>
          <w:sz w:val="20"/>
          <w:szCs w:val="20"/>
          <w:color w:val="auto"/>
        </w:rPr>
      </w:pPr>
    </w:p>
    <w:p>
      <w:pPr>
        <w:ind w:left="1502"/>
        <w:spacing w:after="0"/>
        <w:rPr>
          <w:sz w:val="20"/>
          <w:szCs w:val="20"/>
          <w:color w:val="auto"/>
        </w:rPr>
      </w:pPr>
      <w:r>
        <w:rPr>
          <w:rFonts w:ascii="Arial" w:cs="Arial" w:eastAsia="Arial" w:hAnsi="Arial"/>
          <w:sz w:val="17"/>
          <w:szCs w:val="17"/>
          <w:color w:val="auto"/>
        </w:rPr>
        <w:t>Email: marc.manuel@mag.na</w:t>
      </w:r>
    </w:p>
    <w:p>
      <w:pPr>
        <w:spacing w:after="0" w:line="4" w:lineRule="exact"/>
        <w:rPr>
          <w:sz w:val="20"/>
          <w:szCs w:val="20"/>
          <w:color w:val="auto"/>
        </w:rPr>
      </w:pPr>
    </w:p>
    <w:p>
      <w:pPr>
        <w:ind w:left="1502"/>
        <w:spacing w:after="0"/>
        <w:rPr>
          <w:sz w:val="20"/>
          <w:szCs w:val="20"/>
          <w:color w:val="auto"/>
        </w:rPr>
      </w:pPr>
      <w:r>
        <w:rPr>
          <w:rFonts w:ascii="Arial" w:cs="Arial" w:eastAsia="Arial" w:hAnsi="Arial"/>
          <w:sz w:val="17"/>
          <w:szCs w:val="17"/>
          <w:color w:val="auto"/>
        </w:rPr>
        <w:t>Attn: Marc Manuel</w:t>
      </w:r>
    </w:p>
    <w:p>
      <w:pPr>
        <w:spacing w:after="0" w:line="190" w:lineRule="exact"/>
        <w:rPr>
          <w:sz w:val="20"/>
          <w:szCs w:val="20"/>
          <w:color w:val="auto"/>
        </w:rPr>
      </w:pPr>
    </w:p>
    <w:p>
      <w:pPr>
        <w:ind w:left="1502"/>
        <w:spacing w:after="0"/>
        <w:rPr>
          <w:sz w:val="20"/>
          <w:szCs w:val="20"/>
          <w:color w:val="auto"/>
        </w:rPr>
      </w:pPr>
      <w:r>
        <w:rPr>
          <w:rFonts w:ascii="Arial" w:cs="Arial" w:eastAsia="Arial" w:hAnsi="Arial"/>
          <w:sz w:val="17"/>
          <w:szCs w:val="17"/>
          <w:color w:val="auto"/>
        </w:rPr>
        <w:t>with a copy (which shall not constitute notice) to:</w:t>
      </w:r>
    </w:p>
    <w:p>
      <w:pPr>
        <w:spacing w:after="0" w:line="203" w:lineRule="exact"/>
        <w:rPr>
          <w:sz w:val="20"/>
          <w:szCs w:val="20"/>
          <w:color w:val="auto"/>
        </w:rPr>
      </w:pPr>
    </w:p>
    <w:p>
      <w:pPr>
        <w:ind w:left="1502"/>
        <w:spacing w:after="0"/>
        <w:rPr>
          <w:sz w:val="20"/>
          <w:szCs w:val="20"/>
          <w:color w:val="auto"/>
        </w:rPr>
      </w:pPr>
      <w:r>
        <w:rPr>
          <w:rFonts w:ascii="Arial" w:cs="Arial" w:eastAsia="Arial" w:hAnsi="Arial"/>
          <w:sz w:val="17"/>
          <w:szCs w:val="17"/>
          <w:color w:val="auto"/>
        </w:rPr>
        <w:t>Loeb &amp; Loeb LLP</w:t>
      </w:r>
    </w:p>
    <w:p>
      <w:pPr>
        <w:spacing w:after="0" w:line="16" w:lineRule="exact"/>
        <w:rPr>
          <w:sz w:val="20"/>
          <w:szCs w:val="20"/>
          <w:color w:val="auto"/>
        </w:rPr>
      </w:pPr>
    </w:p>
    <w:p>
      <w:pPr>
        <w:ind w:left="1502"/>
        <w:spacing w:after="0"/>
        <w:rPr>
          <w:sz w:val="20"/>
          <w:szCs w:val="20"/>
          <w:color w:val="auto"/>
        </w:rPr>
      </w:pPr>
      <w:r>
        <w:rPr>
          <w:rFonts w:ascii="Arial" w:cs="Arial" w:eastAsia="Arial" w:hAnsi="Arial"/>
          <w:sz w:val="17"/>
          <w:szCs w:val="17"/>
          <w:color w:val="auto"/>
        </w:rPr>
        <w:t>345 Park Avenue</w:t>
      </w:r>
    </w:p>
    <w:p>
      <w:pPr>
        <w:spacing w:after="0" w:line="4" w:lineRule="exact"/>
        <w:rPr>
          <w:sz w:val="20"/>
          <w:szCs w:val="20"/>
          <w:color w:val="auto"/>
        </w:rPr>
      </w:pPr>
    </w:p>
    <w:p>
      <w:pPr>
        <w:ind w:left="1502"/>
        <w:spacing w:after="0"/>
        <w:rPr>
          <w:sz w:val="20"/>
          <w:szCs w:val="20"/>
          <w:color w:val="auto"/>
        </w:rPr>
      </w:pPr>
      <w:r>
        <w:rPr>
          <w:rFonts w:ascii="Arial" w:cs="Arial" w:eastAsia="Arial" w:hAnsi="Arial"/>
          <w:sz w:val="17"/>
          <w:szCs w:val="17"/>
          <w:color w:val="auto"/>
        </w:rPr>
        <w:t>New York, New York 10154</w:t>
      </w:r>
    </w:p>
    <w:p>
      <w:pPr>
        <w:spacing w:after="0" w:line="4" w:lineRule="exact"/>
        <w:rPr>
          <w:sz w:val="20"/>
          <w:szCs w:val="20"/>
          <w:color w:val="auto"/>
        </w:rPr>
      </w:pPr>
    </w:p>
    <w:p>
      <w:pPr>
        <w:ind w:left="1502"/>
        <w:spacing w:after="0"/>
        <w:rPr>
          <w:sz w:val="20"/>
          <w:szCs w:val="20"/>
          <w:color w:val="auto"/>
        </w:rPr>
      </w:pPr>
      <w:r>
        <w:rPr>
          <w:rFonts w:ascii="Arial" w:cs="Arial" w:eastAsia="Arial" w:hAnsi="Arial"/>
          <w:sz w:val="17"/>
          <w:szCs w:val="17"/>
          <w:color w:val="auto"/>
        </w:rPr>
        <w:t>Email: gcaruso@loeb.com</w:t>
      </w:r>
    </w:p>
    <w:p>
      <w:pPr>
        <w:spacing w:after="0" w:line="4" w:lineRule="exact"/>
        <w:rPr>
          <w:sz w:val="20"/>
          <w:szCs w:val="20"/>
          <w:color w:val="auto"/>
        </w:rPr>
      </w:pPr>
    </w:p>
    <w:p>
      <w:pPr>
        <w:ind w:left="1502"/>
        <w:spacing w:after="0"/>
        <w:rPr>
          <w:sz w:val="20"/>
          <w:szCs w:val="20"/>
          <w:color w:val="auto"/>
        </w:rPr>
      </w:pPr>
      <w:r>
        <w:rPr>
          <w:rFonts w:ascii="Arial" w:cs="Arial" w:eastAsia="Arial" w:hAnsi="Arial"/>
          <w:sz w:val="17"/>
          <w:szCs w:val="17"/>
          <w:color w:val="auto"/>
        </w:rPr>
        <w:t>Attn: Giovanni Caruso</w:t>
      </w:r>
    </w:p>
    <w:p>
      <w:pPr>
        <w:spacing w:after="0" w:line="190" w:lineRule="exact"/>
        <w:rPr>
          <w:sz w:val="20"/>
          <w:szCs w:val="20"/>
          <w:color w:val="auto"/>
        </w:rPr>
      </w:pPr>
    </w:p>
    <w:p>
      <w:pPr>
        <w:ind w:left="-298" w:firstLine="298"/>
        <w:spacing w:after="0" w:line="264" w:lineRule="auto"/>
        <w:tabs>
          <w:tab w:leader="none" w:pos="428"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Amendments and Modifications</w:t>
      </w:r>
      <w:r>
        <w:rPr>
          <w:rFonts w:ascii="Arial" w:cs="Arial" w:eastAsia="Arial" w:hAnsi="Arial"/>
          <w:sz w:val="17"/>
          <w:szCs w:val="17"/>
          <w:color w:val="auto"/>
        </w:rPr>
        <w:t>. Any provision of this letter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may be amended or modified only by a written instrument signed by each party hereto.</w:t>
      </w:r>
    </w:p>
    <w:p>
      <w:pPr>
        <w:spacing w:after="0" w:line="167" w:lineRule="exact"/>
        <w:rPr>
          <w:rFonts w:ascii="Arial" w:cs="Arial" w:eastAsia="Arial" w:hAnsi="Arial"/>
          <w:sz w:val="17"/>
          <w:szCs w:val="17"/>
          <w:color w:val="auto"/>
        </w:rPr>
      </w:pPr>
    </w:p>
    <w:p>
      <w:pPr>
        <w:jc w:val="both"/>
        <w:ind w:left="-298" w:firstLine="298"/>
        <w:spacing w:after="0" w:line="290" w:lineRule="auto"/>
        <w:tabs>
          <w:tab w:leader="none" w:pos="428"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Waiver</w:t>
      </w:r>
      <w:r>
        <w:rPr>
          <w:rFonts w:ascii="Arial" w:cs="Arial" w:eastAsia="Arial" w:hAnsi="Arial"/>
          <w:sz w:val="15"/>
          <w:szCs w:val="15"/>
          <w:color w:val="auto"/>
        </w:rPr>
        <w:t>. No waiver hereunder shall be valid or binding unless set forth in writing and duly executed by the party hereto against whom enforcement of the waiver is sought. Any such waiver shall constitute a waiver only with respect to the specific matter described in such writing and shall in no way impair the rights of the party hereto granting such waiver in any other respect or at any other time. Neither the waiver by any party hereto of a breach of or a default under any provision of this Agreement, nor the failure by any party hereto, on one or more occasions, to enforce any provision of this Agreement or to exercise any right or privilege hereunder, shall be construed as a waiver of any other breach or default of a similar nature, or as a waiver of any such provision, right or privilege hereunder.</w:t>
      </w:r>
    </w:p>
    <w:p>
      <w:pPr>
        <w:spacing w:after="0" w:line="153" w:lineRule="exact"/>
        <w:rPr>
          <w:rFonts w:ascii="Arial" w:cs="Arial" w:eastAsia="Arial" w:hAnsi="Arial"/>
          <w:sz w:val="15"/>
          <w:szCs w:val="15"/>
          <w:color w:val="auto"/>
        </w:rPr>
      </w:pPr>
    </w:p>
    <w:p>
      <w:pPr>
        <w:jc w:val="both"/>
        <w:ind w:left="-298" w:firstLine="298"/>
        <w:spacing w:after="0" w:line="295" w:lineRule="auto"/>
        <w:tabs>
          <w:tab w:leader="none" w:pos="515"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Assignment; Parties in Interest</w:t>
      </w:r>
      <w:r>
        <w:rPr>
          <w:rFonts w:ascii="Arial" w:cs="Arial" w:eastAsia="Arial" w:hAnsi="Arial"/>
          <w:sz w:val="15"/>
          <w:szCs w:val="15"/>
          <w:color w:val="auto"/>
        </w:rPr>
        <w:t xml:space="preserve">. Neither this Agreement nor any rights, interests or obligations hereunder shall be assigned by any party hereto (whether by operation of law or otherwise) without the prior written consent of the other parties hereto, and any purported assignment without such consent shall be null and void </w:t>
      </w:r>
      <w:r>
        <w:rPr>
          <w:rFonts w:ascii="Arial" w:cs="Arial" w:eastAsia="Arial" w:hAnsi="Arial"/>
          <w:sz w:val="15"/>
          <w:szCs w:val="15"/>
          <w:i w:val="1"/>
          <w:iCs w:val="1"/>
          <w:color w:val="auto"/>
        </w:rPr>
        <w:t>ab</w:t>
      </w:r>
      <w:r>
        <w:rPr>
          <w:rFonts w:ascii="Arial" w:cs="Arial" w:eastAsia="Arial" w:hAnsi="Arial"/>
          <w:sz w:val="15"/>
          <w:szCs w:val="15"/>
          <w:color w:val="auto"/>
        </w:rPr>
        <w:t xml:space="preserve"> </w:t>
      </w:r>
      <w:r>
        <w:rPr>
          <w:rFonts w:ascii="Arial" w:cs="Arial" w:eastAsia="Arial" w:hAnsi="Arial"/>
          <w:sz w:val="15"/>
          <w:szCs w:val="15"/>
          <w:i w:val="1"/>
          <w:iCs w:val="1"/>
          <w:color w:val="auto"/>
        </w:rPr>
        <w:t>initio</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notwithstanding the foregoing, TCP may assign any of his rights, interests or obligations hereunder to any of his Affiliates. This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will be binding upon, inure solely to the benefit of and be enforceable by the Parties and their respective successors and permitted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172720</wp:posOffset>
            </wp:positionV>
            <wp:extent cx="7257415" cy="234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122"/>
          </w:cols>
          <w:pgMar w:left="538" w:top="762" w:right="239" w:bottom="1440" w:gutter="0" w:footer="0" w:header="0"/>
        </w:sectPr>
      </w:pPr>
    </w:p>
    <w:bookmarkStart w:id="105" w:name="page106"/>
    <w:bookmarkEnd w:id="105"/>
    <w:p>
      <w:pPr>
        <w:ind w:left="422" w:hanging="422"/>
        <w:spacing w:after="0"/>
        <w:tabs>
          <w:tab w:leader="none" w:pos="422"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 Waiver of Jury Trial</w:t>
      </w:r>
      <w:r>
        <w:rPr>
          <w:rFonts w:ascii="Arial" w:cs="Arial" w:eastAsia="Arial" w:hAnsi="Arial"/>
          <w:sz w:val="17"/>
          <w:szCs w:val="17"/>
          <w:color w:val="auto"/>
        </w:rPr>
        <w:t>.</w:t>
      </w:r>
    </w:p>
    <w:p>
      <w:pPr>
        <w:spacing w:after="0" w:line="202" w:lineRule="exact"/>
        <w:rPr>
          <w:rFonts w:ascii="Arial" w:cs="Arial" w:eastAsia="Arial" w:hAnsi="Arial"/>
          <w:sz w:val="17"/>
          <w:szCs w:val="17"/>
          <w:color w:val="auto"/>
        </w:rPr>
      </w:pPr>
    </w:p>
    <w:p>
      <w:pPr>
        <w:jc w:val="both"/>
        <w:ind w:left="-298" w:firstLine="896"/>
        <w:spacing w:after="0" w:line="254" w:lineRule="auto"/>
        <w:tabs>
          <w:tab w:leader="none" w:pos="1244" w:val="left"/>
        </w:tabs>
        <w:numPr>
          <w:ilvl w:val="1"/>
          <w:numId w:val="96"/>
        </w:numPr>
        <w:rPr>
          <w:rFonts w:ascii="Arial" w:cs="Arial" w:eastAsia="Arial" w:hAnsi="Arial"/>
          <w:sz w:val="17"/>
          <w:szCs w:val="17"/>
          <w:color w:val="010000"/>
        </w:rPr>
      </w:pPr>
      <w:r>
        <w:rPr>
          <w:rFonts w:ascii="Arial" w:cs="Arial" w:eastAsia="Arial" w:hAnsi="Arial"/>
          <w:sz w:val="17"/>
          <w:szCs w:val="17"/>
          <w:color w:val="auto"/>
        </w:rPr>
        <w:t>This Agreement shall be construed, performed and enforced in accordance with the laws of the State of Delaware (without giving effect to its principles or rules of conflict of laws to the extent such principles or rules would require or permit the application of the laws of another jurisdiction) as to all matters, including matters of validity, construction, effect, performance and remedies.</w:t>
      </w:r>
    </w:p>
    <w:p>
      <w:pPr>
        <w:spacing w:after="0" w:line="176" w:lineRule="exact"/>
        <w:rPr>
          <w:rFonts w:ascii="Arial" w:cs="Arial" w:eastAsia="Arial" w:hAnsi="Arial"/>
          <w:sz w:val="17"/>
          <w:szCs w:val="17"/>
          <w:color w:val="010000"/>
        </w:rPr>
      </w:pPr>
    </w:p>
    <w:p>
      <w:pPr>
        <w:jc w:val="both"/>
        <w:ind w:left="-298" w:firstLine="896"/>
        <w:spacing w:after="0" w:line="247" w:lineRule="auto"/>
        <w:tabs>
          <w:tab w:leader="none" w:pos="1072" w:val="left"/>
        </w:tabs>
        <w:numPr>
          <w:ilvl w:val="1"/>
          <w:numId w:val="96"/>
        </w:numPr>
        <w:rPr>
          <w:rFonts w:ascii="Arial" w:cs="Arial" w:eastAsia="Arial" w:hAnsi="Arial"/>
          <w:sz w:val="17"/>
          <w:szCs w:val="17"/>
          <w:color w:val="010000"/>
        </w:rPr>
      </w:pPr>
      <w:r>
        <w:rPr>
          <w:rFonts w:ascii="Arial" w:cs="Arial" w:eastAsia="Arial" w:hAnsi="Arial"/>
          <w:sz w:val="17"/>
          <w:szCs w:val="17"/>
          <w:color w:val="auto"/>
        </w:rPr>
        <w:t xml:space="preserve">Each of the parties hereto irrevocably agrees that any proceeding with respect to this Agreement and the rights and obligations arising hereunder, or for recognition and enforcement of any judgment in respect of this Agreement and the rights and obligations arising hereunder brought by any other party hereto or its successors or assigns, shall be brought and determined exclusively in the United State District Court for the District of Delaware or any state court sitting in the City of Wilmington in the State of Delaware. Each of the parties hereto hereby irrevocably submits with regard to any such proceeding for itself and in respect of its property, generally and unconditionally, to the personal jurisdiction of the aforesaid courts and agrees that it will not bring any proceeding relating to this Agreement or the transactions contemplated hereby in any court other than the aforesaid courts. Each of the parties hereto hereby agrees that service of process, summons, notice or document by registered mail addressed to them at its address provided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shall be effective service of process against them for any such proceeding brought in any of the aforesaid courts.</w:t>
      </w:r>
    </w:p>
    <w:p>
      <w:pPr>
        <w:spacing w:after="0" w:line="183" w:lineRule="exact"/>
        <w:rPr>
          <w:rFonts w:ascii="Arial" w:cs="Arial" w:eastAsia="Arial" w:hAnsi="Arial"/>
          <w:sz w:val="17"/>
          <w:szCs w:val="17"/>
          <w:color w:val="010000"/>
        </w:rPr>
      </w:pPr>
    </w:p>
    <w:p>
      <w:pPr>
        <w:jc w:val="both"/>
        <w:ind w:left="-298" w:firstLine="896"/>
        <w:spacing w:after="0" w:line="267" w:lineRule="auto"/>
        <w:tabs>
          <w:tab w:leader="none" w:pos="1054" w:val="left"/>
        </w:tabs>
        <w:numPr>
          <w:ilvl w:val="1"/>
          <w:numId w:val="96"/>
        </w:numPr>
        <w:rPr>
          <w:rFonts w:ascii="Arial" w:cs="Arial" w:eastAsia="Arial" w:hAnsi="Arial"/>
          <w:sz w:val="16"/>
          <w:szCs w:val="16"/>
          <w:color w:val="010000"/>
        </w:rPr>
      </w:pPr>
      <w:r>
        <w:rPr>
          <w:rFonts w:ascii="Arial" w:cs="Arial" w:eastAsia="Arial" w:hAnsi="Arial"/>
          <w:sz w:val="16"/>
          <w:szCs w:val="16"/>
          <w:color w:val="auto"/>
        </w:rPr>
        <w:t xml:space="preserve">Each of the parties hereto hereby irrevocably waives, and agrees not to assert as a defense, counterclaim or otherwise, in any proceeding with respect to this Agreement, (i) any claim that it is not personally subject to the jurisdiction of the aforesaid courts for any reason other than the failure to serve in accordance with </w:t>
      </w:r>
      <w:r>
        <w:rPr>
          <w:rFonts w:ascii="Arial" w:cs="Arial" w:eastAsia="Arial" w:hAnsi="Arial"/>
          <w:sz w:val="16"/>
          <w:szCs w:val="16"/>
          <w:u w:val="single" w:color="auto"/>
          <w:color w:val="auto"/>
        </w:rPr>
        <w:t>Section 5</w:t>
      </w:r>
      <w:r>
        <w:rPr>
          <w:rFonts w:ascii="Arial" w:cs="Arial" w:eastAsia="Arial" w:hAnsi="Arial"/>
          <w:sz w:val="16"/>
          <w:szCs w:val="16"/>
          <w:color w:val="auto"/>
        </w:rPr>
        <w:t>; (ii) any claim that it or its property is exempt or immune from jurisdiction of any such court or from any proceeding commenced in such courts (whether through service of notice, attachment prior to judgment, attachment in aid of execution of judgment, execution of judgment or otherwise); and (iii) to the fullest extent permitted by the applicable Law, any claim that (A) such proceeding in such court is brought in an inconvenient forum; (B) the venue of such proceeding is improper; or (C) this Agreement, or the subject matter hereof, may not be enforced in or by such courts.</w:t>
      </w:r>
    </w:p>
    <w:p>
      <w:pPr>
        <w:spacing w:after="0" w:line="174" w:lineRule="exact"/>
        <w:rPr>
          <w:rFonts w:ascii="Arial" w:cs="Arial" w:eastAsia="Arial" w:hAnsi="Arial"/>
          <w:sz w:val="16"/>
          <w:szCs w:val="16"/>
          <w:color w:val="010000"/>
        </w:rPr>
      </w:pPr>
    </w:p>
    <w:p>
      <w:pPr>
        <w:jc w:val="both"/>
        <w:ind w:left="-298" w:firstLine="896"/>
        <w:spacing w:after="0" w:line="247" w:lineRule="auto"/>
        <w:tabs>
          <w:tab w:leader="none" w:pos="1194" w:val="left"/>
        </w:tabs>
        <w:numPr>
          <w:ilvl w:val="1"/>
          <w:numId w:val="96"/>
        </w:numPr>
        <w:rPr>
          <w:rFonts w:ascii="Arial" w:cs="Arial" w:eastAsia="Arial" w:hAnsi="Arial"/>
          <w:sz w:val="17"/>
          <w:szCs w:val="17"/>
          <w:color w:val="010000"/>
        </w:rPr>
      </w:pPr>
      <w:r>
        <w:rPr>
          <w:rFonts w:ascii="Arial" w:cs="Arial" w:eastAsia="Arial" w:hAnsi="Arial"/>
          <w:sz w:val="17"/>
          <w:szCs w:val="17"/>
          <w:b w:val="1"/>
          <w:bCs w:val="1"/>
          <w:color w:val="auto"/>
        </w:rPr>
        <w:t xml:space="preserve">EACH PARTY HERETO ACKNOWLEDGES AND AGREES THAT ANY CONTROVERSY OR CLAIM THAT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OR THE TRANSACTIONS CONTEMPLATED HEREBY. THIS WAIVER MAY NOT BE MODIFIED EITHER ORALLY OR IN WRITING (OTHER THAN BY A MUTUAL WRITTEN WAIVER SPECIFICALLY REFERRING TO THIS </w:t>
      </w:r>
      <w:r>
        <w:rPr>
          <w:rFonts w:ascii="Arial" w:cs="Arial" w:eastAsia="Arial" w:hAnsi="Arial"/>
          <w:sz w:val="17"/>
          <w:szCs w:val="17"/>
          <w:b w:val="1"/>
          <w:bCs w:val="1"/>
          <w:u w:val="single" w:color="auto"/>
          <w:color w:val="auto"/>
        </w:rPr>
        <w:t>SECTION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9 (d)</w:t>
      </w:r>
      <w:r>
        <w:rPr>
          <w:rFonts w:ascii="Arial" w:cs="Arial" w:eastAsia="Arial" w:hAnsi="Arial"/>
          <w:sz w:val="17"/>
          <w:szCs w:val="17"/>
          <w:b w:val="1"/>
          <w:bCs w:val="1"/>
          <w:color w:val="auto"/>
        </w:rPr>
        <w:t xml:space="preserve"> AND EXECUTED BY EACH PARTY HERETO). THIS WAIVER SHALL APPLY TO ANY SUBSEQUENT AMENDMENTS, RENEWALS, SUPPLEMENTS OR MODIFICATIONS TO THIS AGREEMENT OR ANY OTHER AGREEMENTS OR DOCUMENTS RELATING TO THE TRANSACTIONS CONTEMPLATED HEREBY. </w:t>
      </w:r>
      <w:r>
        <w:rPr>
          <w:rFonts w:ascii="Arial" w:cs="Arial" w:eastAsia="Arial" w:hAnsi="Arial"/>
          <w:sz w:val="17"/>
          <w:szCs w:val="17"/>
          <w:color w:val="auto"/>
        </w:rPr>
        <w:t>The scope of this waiver is intended to be all-encompassing of any and all disputes that may be filed in any court and</w:t>
      </w:r>
      <w:r>
        <w:rPr>
          <w:rFonts w:ascii="Arial" w:cs="Arial" w:eastAsia="Arial" w:hAnsi="Arial"/>
          <w:sz w:val="17"/>
          <w:szCs w:val="17"/>
          <w:b w:val="1"/>
          <w:bCs w:val="1"/>
          <w:color w:val="auto"/>
        </w:rPr>
        <w:t xml:space="preserve"> </w:t>
      </w:r>
      <w:r>
        <w:rPr>
          <w:rFonts w:ascii="Arial" w:cs="Arial" w:eastAsia="Arial" w:hAnsi="Arial"/>
          <w:sz w:val="17"/>
          <w:szCs w:val="17"/>
          <w:color w:val="auto"/>
        </w:rPr>
        <w:t>that relate to the subject matter of the transactions contemplated hereby, including contract claims, tort claims, breach-of-duty claims and all other common law and statutory claims. In the event of litigation, this Agreement may be filed as a written consent to a trial by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195580</wp:posOffset>
            </wp:positionV>
            <wp:extent cx="7257415" cy="234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122"/>
          </w:cols>
          <w:pgMar w:left="538" w:top="750" w:right="239" w:bottom="1440" w:gutter="0" w:footer="0" w:header="0"/>
        </w:sectPr>
      </w:pPr>
    </w:p>
    <w:bookmarkStart w:id="106" w:name="page107"/>
    <w:bookmarkEnd w:id="106"/>
    <w:p>
      <w:pPr>
        <w:jc w:val="both"/>
        <w:ind w:left="-298" w:firstLine="896"/>
        <w:spacing w:after="0" w:line="250" w:lineRule="auto"/>
        <w:tabs>
          <w:tab w:leader="none" w:pos="1194" w:val="left"/>
        </w:tabs>
        <w:numPr>
          <w:ilvl w:val="1"/>
          <w:numId w:val="97"/>
        </w:numPr>
        <w:rPr>
          <w:rFonts w:ascii="Arial" w:cs="Arial" w:eastAsia="Arial" w:hAnsi="Arial"/>
          <w:sz w:val="17"/>
          <w:szCs w:val="17"/>
          <w:color w:val="010000"/>
        </w:rPr>
      </w:pPr>
      <w:r>
        <w:rPr>
          <w:rFonts w:ascii="Arial" w:cs="Arial" w:eastAsia="Arial" w:hAnsi="Arial"/>
          <w:sz w:val="17"/>
          <w:szCs w:val="17"/>
          <w:b w:val="1"/>
          <w:bCs w:val="1"/>
          <w:color w:val="auto"/>
        </w:rPr>
        <w:t xml:space="preserve">EACH PARTY CERTIFIES AND ACKNOWLEDGES THAT (I) NO REPRESENTATIVE, AGENT OR ATTORNEY OF ANY OTHER PARTY HERETO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7"/>
          <w:szCs w:val="17"/>
          <w:b w:val="1"/>
          <w:bCs w:val="1"/>
          <w:u w:val="single" w:color="auto"/>
          <w:color w:val="auto"/>
        </w:rPr>
        <w:t>SECTION 9</w:t>
      </w:r>
      <w:r>
        <w:rPr>
          <w:rFonts w:ascii="Arial" w:cs="Arial" w:eastAsia="Arial" w:hAnsi="Arial"/>
          <w:sz w:val="17"/>
          <w:szCs w:val="17"/>
          <w:b w:val="1"/>
          <w:bCs w:val="1"/>
          <w:color w:val="auto"/>
        </w:rPr>
        <w:t>.</w:t>
      </w:r>
    </w:p>
    <w:p>
      <w:pPr>
        <w:spacing w:after="0" w:line="181" w:lineRule="exact"/>
        <w:rPr>
          <w:rFonts w:ascii="Arial" w:cs="Arial" w:eastAsia="Arial" w:hAnsi="Arial"/>
          <w:sz w:val="17"/>
          <w:szCs w:val="17"/>
          <w:color w:val="010000"/>
        </w:rPr>
      </w:pPr>
    </w:p>
    <w:p>
      <w:pPr>
        <w:jc w:val="both"/>
        <w:ind w:left="-298" w:firstLine="298"/>
        <w:spacing w:after="0" w:line="265" w:lineRule="auto"/>
        <w:tabs>
          <w:tab w:leader="none" w:pos="523"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Counterparts; Effectiveness</w:t>
      </w:r>
      <w:r>
        <w:rPr>
          <w:rFonts w:ascii="Arial" w:cs="Arial" w:eastAsia="Arial" w:hAnsi="Arial"/>
          <w:sz w:val="16"/>
          <w:szCs w:val="16"/>
          <w:color w:val="auto"/>
        </w:rPr>
        <w:t>. This Agreement may be executed in any number of counterparts, each of which shall be an original, with the same effect as if the signatures thereto and hereto were upon the same instrument. In the event that any signature to this Agreement is delivered by facsimile transmission or by e-mail delivery of a portable document format (.pdf or similar format) data file, such signature shall create a valid and binding obligation of the party hereto executing (or on whose behalf such signature is executed) with the same force and effect as if such facsimile or “.pdf” signature page were an original thereof. This Agreement shall become effective when each party hereto shall have received a counterpart hereof signed by each other party hereto. Until and unless each party hereto has received a counterpart hereof signed by each other party hereto, this Agreement shall have no effect and no party hereto shall have any right or obligation hereunder (whether by virtue of any other oral or written agreement or other communication).</w:t>
      </w:r>
    </w:p>
    <w:p>
      <w:pPr>
        <w:spacing w:after="0" w:line="171" w:lineRule="exact"/>
        <w:rPr>
          <w:rFonts w:ascii="Arial" w:cs="Arial" w:eastAsia="Arial" w:hAnsi="Arial"/>
          <w:sz w:val="16"/>
          <w:szCs w:val="16"/>
          <w:color w:val="auto"/>
        </w:rPr>
      </w:pPr>
    </w:p>
    <w:p>
      <w:pPr>
        <w:jc w:val="both"/>
        <w:ind w:left="-298" w:firstLine="298"/>
        <w:spacing w:after="0" w:line="304" w:lineRule="auto"/>
        <w:tabs>
          <w:tab w:leader="none" w:pos="554" w:val="left"/>
        </w:tabs>
        <w:numPr>
          <w:ilvl w:val="0"/>
          <w:numId w:val="98"/>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sets forth the entire agreement and understanding of the parties hereto in respect of the matters contemplated hereby and supersedes all prior discussions, negotiations, agreements, arrangements and understandings, whether oral or written, relating to the subject matter hereof. There are no warranties, representations or other agreements between the parties hereto in connection with the subject matter hereof, except to the extent specifically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160655</wp:posOffset>
            </wp:positionV>
            <wp:extent cx="7257415" cy="234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122"/>
          </w:cols>
          <w:pgMar w:left="538" w:top="745" w:right="239" w:bottom="1440" w:gutter="0" w:footer="0" w:header="0"/>
        </w:sectPr>
      </w:pPr>
    </w:p>
    <w:bookmarkStart w:id="107" w:name="page108"/>
    <w:bookmarkEnd w:id="107"/>
    <w:p>
      <w:pPr>
        <w:jc w:val="both"/>
        <w:ind w:firstLine="298"/>
        <w:spacing w:after="0" w:line="344" w:lineRule="auto"/>
        <w:tabs>
          <w:tab w:leader="none" w:pos="809" w:val="left"/>
        </w:tabs>
        <w:numPr>
          <w:ilvl w:val="0"/>
          <w:numId w:val="99"/>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hereto shall negotiate in good faith to modify this Agreement so as to effect the original intent of the parties hereto as closely as possible in an acceptable manner in order that the transactions contemplated hereby be consummated as originally contemplated to the fullest extent possible.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pages follow</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207645</wp:posOffset>
            </wp:positionV>
            <wp:extent cx="7257415" cy="234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11420"/>
          </w:cols>
          <w:pgMar w:left="240" w:top="749" w:right="239" w:bottom="1440" w:gutter="0" w:footer="0" w:header="0"/>
        </w:sectPr>
      </w:pPr>
    </w:p>
    <w:bookmarkStart w:id="108" w:name="page109"/>
    <w:bookmarkEnd w:id="108"/>
    <w:p>
      <w:pPr>
        <w:spacing w:after="0"/>
        <w:rPr>
          <w:sz w:val="20"/>
          <w:szCs w:val="20"/>
          <w:color w:val="auto"/>
        </w:rPr>
      </w:pPr>
      <w:r>
        <w:rPr>
          <w:rFonts w:ascii="Arial" w:cs="Arial" w:eastAsia="Arial" w:hAnsi="Arial"/>
          <w:sz w:val="15"/>
          <w:szCs w:val="15"/>
          <w:color w:val="auto"/>
        </w:rPr>
        <w:t>IN WITNESS WHEREOF, the parties hereto have executed this Agreement as of the date first written above.</w:t>
      </w:r>
    </w:p>
    <w:p>
      <w:pPr>
        <w:spacing w:after="0" w:line="234"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TCP</w:t>
      </w:r>
      <w:r>
        <w:rPr>
          <w:rFonts w:ascii="Arial" w:cs="Arial" w:eastAsia="Arial" w:hAnsi="Arial"/>
          <w:sz w:val="17"/>
          <w:szCs w:val="17"/>
          <w:color w:val="auto"/>
        </w:rPr>
        <w:t>:</w:t>
      </w:r>
    </w:p>
    <w:p>
      <w:pPr>
        <w:spacing w:after="0" w:line="20"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2540</wp:posOffset>
            </wp:positionV>
            <wp:extent cx="362839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28390" cy="762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7"/>
          <w:szCs w:val="17"/>
          <w:color w:val="auto"/>
        </w:rPr>
        <w:t>Thomas C. Priore</w:t>
      </w:r>
    </w:p>
    <w:p>
      <w:pPr>
        <w:spacing w:after="0" w:line="215"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Letter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342265</wp:posOffset>
            </wp:positionV>
            <wp:extent cx="7257415" cy="234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p>
      <w:pPr>
        <w:sectPr>
          <w:pgSz w:w="11900" w:h="16838" w:orient="portrait"/>
          <w:cols w:equalWidth="0" w:num="1">
            <w:col w:w="9619"/>
          </w:cols>
          <w:pgMar w:left="840" w:top="749" w:right="1440" w:bottom="1440" w:gutter="0" w:footer="0" w:header="0"/>
        </w:sectPr>
      </w:pPr>
    </w:p>
    <w:bookmarkStart w:id="109" w:name="page110"/>
    <w:bookmarkEnd w:id="109"/>
    <w:p>
      <w:pPr>
        <w:ind w:left="4520"/>
        <w:spacing w:after="0"/>
        <w:rPr>
          <w:sz w:val="20"/>
          <w:szCs w:val="20"/>
          <w:color w:val="auto"/>
        </w:rPr>
      </w:pPr>
      <w:r>
        <w:rPr>
          <w:rFonts w:ascii="Arial" w:cs="Arial" w:eastAsia="Arial" w:hAnsi="Arial"/>
          <w:sz w:val="17"/>
          <w:szCs w:val="17"/>
          <w:b w:val="1"/>
          <w:bCs w:val="1"/>
          <w:color w:val="auto"/>
        </w:rPr>
        <w:t>FOUNDERS:</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M SPAC LLC</w:t>
      </w:r>
    </w:p>
    <w:p>
      <w:pPr>
        <w:spacing w:after="0" w:line="20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10160</wp:posOffset>
            </wp:positionV>
            <wp:extent cx="340741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07410" cy="762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7"/>
          <w:szCs w:val="17"/>
          <w:color w:val="auto"/>
        </w:rPr>
        <w:t>Name:  Joshua Sason</w:t>
      </w:r>
    </w:p>
    <w:p>
      <w:pPr>
        <w:spacing w:after="0" w:line="16" w:lineRule="exact"/>
        <w:rPr>
          <w:sz w:val="20"/>
          <w:szCs w:val="20"/>
          <w:color w:val="auto"/>
        </w:rPr>
      </w:pPr>
    </w:p>
    <w:p>
      <w:pPr>
        <w:ind w:left="4860"/>
        <w:spacing w:after="0"/>
        <w:tabs>
          <w:tab w:leader="none" w:pos="53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Managing Member</w:t>
      </w:r>
    </w:p>
    <w:p>
      <w:pPr>
        <w:spacing w:after="0" w:line="19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M SPAC HOLDINGS I LLC</w:t>
      </w:r>
    </w:p>
    <w:p>
      <w:pPr>
        <w:spacing w:after="0" w:line="20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10160</wp:posOffset>
            </wp:positionV>
            <wp:extent cx="340741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07410" cy="762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7"/>
          <w:szCs w:val="17"/>
          <w:color w:val="auto"/>
        </w:rPr>
        <w:t>Name:  Joshua Sason</w:t>
      </w:r>
    </w:p>
    <w:p>
      <w:pPr>
        <w:spacing w:after="0" w:line="16" w:lineRule="exact"/>
        <w:rPr>
          <w:sz w:val="20"/>
          <w:szCs w:val="20"/>
          <w:color w:val="auto"/>
        </w:rPr>
      </w:pPr>
    </w:p>
    <w:p>
      <w:pPr>
        <w:ind w:left="4860"/>
        <w:spacing w:after="0"/>
        <w:tabs>
          <w:tab w:leader="none" w:pos="53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Managing Member</w:t>
      </w:r>
    </w:p>
    <w:p>
      <w:pPr>
        <w:spacing w:after="0" w:line="19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M SPAC HOLDINGS II LLC</w:t>
      </w:r>
    </w:p>
    <w:p>
      <w:pPr>
        <w:spacing w:after="0" w:line="20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10160</wp:posOffset>
            </wp:positionV>
            <wp:extent cx="340741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07410" cy="762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7"/>
          <w:szCs w:val="17"/>
          <w:color w:val="auto"/>
        </w:rPr>
        <w:t>Name:  Joshua Sason</w:t>
      </w:r>
    </w:p>
    <w:p>
      <w:pPr>
        <w:spacing w:after="0" w:line="16" w:lineRule="exact"/>
        <w:rPr>
          <w:sz w:val="20"/>
          <w:szCs w:val="20"/>
          <w:color w:val="auto"/>
        </w:rPr>
      </w:pPr>
    </w:p>
    <w:p>
      <w:pPr>
        <w:ind w:left="4860"/>
        <w:spacing w:after="0"/>
        <w:tabs>
          <w:tab w:leader="none" w:pos="53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Managing Member</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Letter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370840</wp:posOffset>
            </wp:positionV>
            <wp:extent cx="7257415" cy="234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7415" cy="23495"/>
                    </a:xfrm>
                    <a:prstGeom prst="rect">
                      <a:avLst/>
                    </a:prstGeom>
                    <a:noFill/>
                  </pic:spPr>
                </pic:pic>
              </a:graphicData>
            </a:graphic>
          </wp:anchor>
        </w:drawing>
      </w:r>
    </w:p>
    <w:sectPr>
      <w:pgSz w:w="11900" w:h="16838" w:orient="portrait"/>
      <w:cols w:equalWidth="0" w:num="1">
        <w:col w:w="9019"/>
      </w:cols>
      <w:pgMar w:left="1440" w:top="75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1)"/>
      <w:numFmt w:val="lowerLetter"/>
      <w:start w:val="6"/>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1"/>
      <w:numFmt w:val="lowerLetter"/>
      <w:start w:val="1"/>
    </w:lvl>
    <w:lvl w:ilvl="1">
      <w:lvlJc w:val="left"/>
      <w:lvlText w:val="(%2)"/>
      <w:numFmt w:val="lowerLetter"/>
      <w:start w:val="1"/>
    </w:lvl>
  </w:abstractNum>
  <w:abstractNum w:abstractNumId="9">
    <w:nsid w:val="4F4EF005"/>
    <w:multiLevelType w:val="hybridMultilevel"/>
    <w:lvl w:ilvl="0">
      <w:lvlJc w:val="left"/>
      <w:lvlText w:val="(%1)"/>
      <w:numFmt w:val="lowerLetter"/>
      <w:start w:val="9"/>
    </w:lvl>
    <w:lvl w:ilvl="1">
      <w:lvlJc w:val="left"/>
      <w:lvlText w:val="(%2)"/>
      <w:numFmt w:val="lowerLetter"/>
      <w:start w:val="2"/>
    </w:lvl>
  </w:abstractNum>
  <w:abstractNum w:abstractNumId="10">
    <w:nsid w:val="23F9C13C"/>
    <w:multiLevelType w:val="hybridMultilevel"/>
    <w:lvl w:ilvl="0">
      <w:lvlJc w:val="left"/>
      <w:lvlText w:val="(%1)"/>
      <w:numFmt w:val="lowerLetter"/>
      <w:start w:val="9"/>
    </w:lvl>
    <w:lvl w:ilvl="1">
      <w:lvlJc w:val="left"/>
      <w:lvlText w:val="%2"/>
      <w:numFmt w:val="lowerLetter"/>
      <w:start w:val="1"/>
    </w:lvl>
  </w:abstractNum>
  <w:abstractNum w:abstractNumId="11">
    <w:nsid w:val="649BB77C"/>
    <w:multiLevelType w:val="hybridMultilevel"/>
    <w:lvl w:ilvl="0">
      <w:lvlJc w:val="left"/>
      <w:lvlText w:val="(%1)"/>
      <w:numFmt w:val="lowerLetter"/>
      <w:start w:val="1"/>
    </w:lvl>
    <w:lvl w:ilvl="1">
      <w:lvlJc w:val="left"/>
      <w:lvlText w:val="(%2)"/>
      <w:numFmt w:val="lowerRoman"/>
      <w:start w:val="1"/>
    </w:lvl>
  </w:abstractNum>
  <w:abstractNum w:abstractNumId="12">
    <w:nsid w:val="275AC794"/>
    <w:multiLevelType w:val="hybridMultilevel"/>
    <w:lvl w:ilvl="0">
      <w:lvlJc w:val="left"/>
      <w:lvlText w:val="(%1)"/>
      <w:numFmt w:val="lowerLetter"/>
      <w:start w:val="1"/>
    </w:lvl>
  </w:abstractNum>
  <w:abstractNum w:abstractNumId="13">
    <w:nsid w:val="39386575"/>
    <w:multiLevelType w:val="hybridMultilevel"/>
    <w:lvl w:ilvl="0">
      <w:lvlJc w:val="left"/>
      <w:lvlText w:val="%1"/>
      <w:numFmt w:val="decimal"/>
      <w:start w:val="1"/>
    </w:lvl>
    <w:lvl w:ilvl="1">
      <w:lvlJc w:val="left"/>
      <w:lvlText w:val="(%2)"/>
      <w:numFmt w:val="lowerLetter"/>
      <w:start w:val="1"/>
    </w:lvl>
  </w:abstractNum>
  <w:abstractNum w:abstractNumId="14">
    <w:nsid w:val="1CF10FD8"/>
    <w:multiLevelType w:val="hybridMultilevel"/>
    <w:lvl w:ilvl="0">
      <w:lvlJc w:val="left"/>
      <w:lvlText w:val="(%1)"/>
      <w:numFmt w:val="decimal"/>
      <w:start w:val="7"/>
    </w:lvl>
    <w:lvl w:ilvl="1">
      <w:lvlJc w:val="left"/>
      <w:lvlText w:val="(%2)"/>
      <w:numFmt w:val="lowerLetter"/>
      <w:start w:val="2"/>
    </w:lvl>
  </w:abstractNum>
  <w:abstractNum w:abstractNumId="15">
    <w:nsid w:val="180115BE"/>
    <w:multiLevelType w:val="hybridMultilevel"/>
    <w:lvl w:ilvl="0">
      <w:lvlJc w:val="left"/>
      <w:lvlText w:val="%1"/>
      <w:numFmt w:val="upperLetter"/>
      <w:start w:val="1"/>
    </w:lvl>
    <w:lvl w:ilvl="1">
      <w:lvlJc w:val="left"/>
      <w:lvlText w:val="(%2)"/>
      <w:numFmt w:val="lowerLetter"/>
      <w:start w:val="1"/>
    </w:lvl>
  </w:abstractNum>
  <w:abstractNum w:abstractNumId="16">
    <w:nsid w:val="235BA861"/>
    <w:multiLevelType w:val="hybridMultilevel"/>
    <w:lvl w:ilvl="0">
      <w:lvlJc w:val="left"/>
      <w:lvlText w:val="(%1)"/>
      <w:numFmt w:val="upperLetter"/>
      <w:start w:val="2"/>
    </w:lvl>
    <w:lvl w:ilvl="1">
      <w:lvlJc w:val="left"/>
      <w:lvlText w:val="(%2)"/>
      <w:numFmt w:val="lowerLetter"/>
      <w:start w:val="2"/>
    </w:lvl>
  </w:abstractNum>
  <w:abstractNum w:abstractNumId="17">
    <w:nsid w:val="47398C89"/>
    <w:multiLevelType w:val="hybridMultilevel"/>
    <w:lvl w:ilvl="0">
      <w:lvlJc w:val="left"/>
      <w:lvlText w:val="(%1)"/>
      <w:numFmt w:val="upperLetter"/>
      <w:start w:val="1"/>
    </w:lvl>
    <w:lvl w:ilvl="1">
      <w:lvlJc w:val="left"/>
      <w:lvlText w:val="(%2)"/>
      <w:numFmt w:val="lowerLetter"/>
      <w:start w:val="3"/>
    </w:lvl>
  </w:abstractNum>
  <w:abstractNum w:abstractNumId="18">
    <w:nsid w:val="354FE9F9"/>
    <w:multiLevelType w:val="hybridMultilevel"/>
    <w:lvl w:ilvl="0">
      <w:lvlJc w:val="left"/>
      <w:lvlText w:val="(%1)"/>
      <w:numFmt w:val="lowerLetter"/>
      <w:start w:val="1"/>
    </w:lvl>
  </w:abstractNum>
  <w:abstractNum w:abstractNumId="19">
    <w:nsid w:val="15B5AF5C"/>
    <w:multiLevelType w:val="hybridMultilevel"/>
    <w:lvl w:ilvl="0">
      <w:lvlJc w:val="left"/>
      <w:lvlText w:val="(%1)"/>
      <w:numFmt w:val="lowerLetter"/>
      <w:start w:val="1"/>
    </w:lvl>
    <w:lvl w:ilvl="1">
      <w:lvlJc w:val="left"/>
      <w:lvlText w:val="(%2)"/>
      <w:numFmt w:val="lowerRoman"/>
      <w:start w:val="1"/>
    </w:lvl>
  </w:abstractNum>
  <w:abstractNum w:abstractNumId="20">
    <w:nsid w:val="741226BB"/>
    <w:multiLevelType w:val="hybridMultilevel"/>
    <w:lvl w:ilvl="0">
      <w:lvlJc w:val="left"/>
      <w:lvlText w:val="(%1)"/>
      <w:numFmt w:val="lowerRoman"/>
      <w:start w:val="7"/>
    </w:lvl>
  </w:abstractNum>
  <w:abstractNum w:abstractNumId="21">
    <w:nsid w:val="D34B6A8"/>
    <w:multiLevelType w:val="hybridMultilevel"/>
    <w:lvl w:ilvl="0">
      <w:lvlJc w:val="left"/>
      <w:lvlText w:val="(%1)"/>
      <w:numFmt w:val="lowerLetter"/>
      <w:start w:val="2"/>
    </w:lvl>
  </w:abstractNum>
  <w:abstractNum w:abstractNumId="22">
    <w:nsid w:val="10233C99"/>
    <w:multiLevelType w:val="hybridMultilevel"/>
    <w:lvl w:ilvl="0">
      <w:lvlJc w:val="left"/>
      <w:lvlText w:val="(%1)"/>
      <w:numFmt w:val="lowerLetter"/>
      <w:start w:val="1"/>
    </w:lvl>
  </w:abstractNum>
  <w:abstractNum w:abstractNumId="23">
    <w:nsid w:val="3F6AB60F"/>
    <w:multiLevelType w:val="hybridMultilevel"/>
    <w:lvl w:ilvl="0">
      <w:lvlJc w:val="left"/>
      <w:lvlText w:val="(%1)"/>
      <w:numFmt w:val="lowerLetter"/>
      <w:start w:val="2"/>
    </w:lvl>
  </w:abstractNum>
  <w:abstractNum w:abstractNumId="24">
    <w:nsid w:val="61574095"/>
    <w:multiLevelType w:val="hybridMultilevel"/>
    <w:lvl w:ilvl="0">
      <w:lvlJc w:val="left"/>
      <w:lvlText w:val="(%1)"/>
      <w:numFmt w:val="lowerLetter"/>
      <w:start w:val="1"/>
    </w:lvl>
  </w:abstractNum>
  <w:abstractNum w:abstractNumId="25">
    <w:nsid w:val="7E0C57B1"/>
    <w:multiLevelType w:val="hybridMultilevel"/>
    <w:lvl w:ilvl="0">
      <w:lvlJc w:val="left"/>
      <w:lvlText w:val="(%1)"/>
      <w:numFmt w:val="lowerLetter"/>
      <w:start w:val="1"/>
    </w:lvl>
  </w:abstractNum>
  <w:abstractNum w:abstractNumId="26">
    <w:nsid w:val="77AE35EB"/>
    <w:multiLevelType w:val="hybridMultilevel"/>
    <w:lvl w:ilvl="0">
      <w:lvlJc w:val="left"/>
      <w:lvlText w:val="(%1)"/>
      <w:numFmt w:val="lowerLetter"/>
      <w:start w:val="2"/>
    </w:lvl>
  </w:abstractNum>
  <w:abstractNum w:abstractNumId="27">
    <w:nsid w:val="579BE4F1"/>
    <w:multiLevelType w:val="hybridMultilevel"/>
    <w:lvl w:ilvl="0">
      <w:lvlJc w:val="left"/>
      <w:lvlText w:val="(%1)"/>
      <w:numFmt w:val="lowerLetter"/>
      <w:start w:val="1"/>
    </w:lvl>
  </w:abstractNum>
  <w:abstractNum w:abstractNumId="28">
    <w:nsid w:val="310C50B3"/>
    <w:multiLevelType w:val="hybridMultilevel"/>
    <w:lvl w:ilvl="0">
      <w:lvlJc w:val="left"/>
      <w:lvlText w:val="(%1)"/>
      <w:numFmt w:val="lowerLetter"/>
      <w:start w:val="2"/>
    </w:lvl>
  </w:abstractNum>
  <w:abstractNum w:abstractNumId="29">
    <w:nsid w:val="5FF87E05"/>
    <w:multiLevelType w:val="hybridMultilevel"/>
    <w:lvl w:ilvl="0">
      <w:lvlJc w:val="left"/>
      <w:lvlText w:val="%1"/>
      <w:numFmt w:val="lowerRoman"/>
      <w:start w:val="1"/>
    </w:lvl>
    <w:lvl w:ilvl="1">
      <w:lvlJc w:val="left"/>
      <w:lvlText w:val="(%2)"/>
      <w:numFmt w:val="lowerLetter"/>
      <w:start w:val="1"/>
    </w:lvl>
  </w:abstractNum>
  <w:abstractNum w:abstractNumId="30">
    <w:nsid w:val="2F305DEF"/>
    <w:multiLevelType w:val="hybridMultilevel"/>
    <w:lvl w:ilvl="0">
      <w:lvlJc w:val="left"/>
      <w:lvlText w:val="(%1)"/>
      <w:numFmt w:val="lowerRoman"/>
      <w:start w:val="11"/>
    </w:lvl>
    <w:lvl w:ilvl="1">
      <w:lvlJc w:val="left"/>
      <w:lvlText w:val="(%2)"/>
      <w:numFmt w:val="lowerLetter"/>
      <w:start w:val="2"/>
    </w:lvl>
  </w:abstractNum>
  <w:abstractNum w:abstractNumId="31">
    <w:nsid w:val="25A70BF7"/>
    <w:multiLevelType w:val="hybridMultilevel"/>
    <w:lvl w:ilvl="0">
      <w:lvlJc w:val="left"/>
      <w:lvlText w:val="(%1)"/>
      <w:numFmt w:val="lowerLetter"/>
      <w:start w:val="1"/>
    </w:lvl>
  </w:abstractNum>
  <w:abstractNum w:abstractNumId="32">
    <w:nsid w:val="1DBABF00"/>
    <w:multiLevelType w:val="hybridMultilevel"/>
    <w:lvl w:ilvl="0">
      <w:lvlJc w:val="left"/>
      <w:lvlText w:val="(%1)"/>
      <w:numFmt w:val="lowerLetter"/>
      <w:start w:val="1"/>
    </w:lvl>
  </w:abstractNum>
  <w:abstractNum w:abstractNumId="33">
    <w:nsid w:val="4AD084E9"/>
    <w:multiLevelType w:val="hybridMultilevel"/>
    <w:lvl w:ilvl="0">
      <w:lvlJc w:val="left"/>
      <w:lvlText w:val="(%1)"/>
      <w:numFmt w:val="lowerLetter"/>
      <w:start w:val="1"/>
    </w:lvl>
  </w:abstractNum>
  <w:abstractNum w:abstractNumId="34">
    <w:nsid w:val="1F48EAA1"/>
    <w:multiLevelType w:val="hybridMultilevel"/>
    <w:lvl w:ilvl="0">
      <w:lvlJc w:val="left"/>
      <w:lvlText w:val="(%1)"/>
      <w:numFmt w:val="lowerLetter"/>
      <w:start w:val="4"/>
    </w:lvl>
  </w:abstractNum>
  <w:abstractNum w:abstractNumId="35">
    <w:nsid w:val="1381823A"/>
    <w:multiLevelType w:val="hybridMultilevel"/>
    <w:lvl w:ilvl="0">
      <w:lvlJc w:val="left"/>
      <w:lvlText w:val="(%1)"/>
      <w:numFmt w:val="lowerLetter"/>
      <w:start w:val="1"/>
    </w:lvl>
  </w:abstractNum>
  <w:abstractNum w:abstractNumId="36">
    <w:nsid w:val="5DB70AE5"/>
    <w:multiLevelType w:val="hybridMultilevel"/>
    <w:lvl w:ilvl="0">
      <w:lvlJc w:val="left"/>
      <w:lvlText w:val="(%1)"/>
      <w:numFmt w:val="lowerLetter"/>
      <w:start w:val="5"/>
    </w:lvl>
  </w:abstractNum>
  <w:abstractNum w:abstractNumId="37">
    <w:nsid w:val="100F8FCA"/>
    <w:multiLevelType w:val="hybridMultilevel"/>
    <w:lvl w:ilvl="0">
      <w:lvlJc w:val="left"/>
      <w:lvlText w:val="(%1)"/>
      <w:numFmt w:val="lowerLetter"/>
      <w:start w:val="1"/>
    </w:lvl>
  </w:abstractNum>
  <w:abstractNum w:abstractNumId="38">
    <w:nsid w:val="6590700B"/>
    <w:multiLevelType w:val="hybridMultilevel"/>
    <w:lvl w:ilvl="0">
      <w:lvlJc w:val="left"/>
      <w:lvlText w:val="(%1)"/>
      <w:numFmt w:val="lowerLetter"/>
      <w:start w:val="4"/>
    </w:lvl>
  </w:abstractNum>
  <w:abstractNum w:abstractNumId="39">
    <w:nsid w:val="15014ACB"/>
    <w:multiLevelType w:val="hybridMultilevel"/>
    <w:lvl w:ilvl="0">
      <w:lvlJc w:val="left"/>
      <w:lvlText w:val="(%1)"/>
      <w:numFmt w:val="lowerLetter"/>
      <w:start w:val="1"/>
    </w:lvl>
  </w:abstractNum>
  <w:abstractNum w:abstractNumId="40">
    <w:nsid w:val="5F5E7FD0"/>
    <w:multiLevelType w:val="hybridMultilevel"/>
    <w:lvl w:ilvl="0">
      <w:lvlJc w:val="left"/>
      <w:lvlText w:val="(%1)"/>
      <w:numFmt w:val="lowerLetter"/>
      <w:start w:val="1"/>
    </w:lvl>
  </w:abstractNum>
  <w:abstractNum w:abstractNumId="41">
    <w:nsid w:val="98A3148"/>
    <w:multiLevelType w:val="hybridMultilevel"/>
    <w:lvl w:ilvl="0">
      <w:lvlJc w:val="left"/>
      <w:lvlText w:val="(%1)"/>
      <w:numFmt w:val="lowerLetter"/>
      <w:start w:val="1"/>
    </w:lvl>
  </w:abstractNum>
  <w:abstractNum w:abstractNumId="42">
    <w:nsid w:val="799D0247"/>
    <w:multiLevelType w:val="hybridMultilevel"/>
    <w:lvl w:ilvl="0">
      <w:lvlJc w:val="left"/>
      <w:lvlText w:val="(%1)"/>
      <w:numFmt w:val="lowerLetter"/>
      <w:start w:val="3"/>
    </w:lvl>
    <w:lvl w:ilvl="1">
      <w:lvlJc w:val="left"/>
      <w:lvlText w:val="(%2)"/>
      <w:numFmt w:val="lowerRoman"/>
      <w:start w:val="1"/>
    </w:lvl>
  </w:abstractNum>
  <w:abstractNum w:abstractNumId="43">
    <w:nsid w:val="6B94764"/>
    <w:multiLevelType w:val="hybridMultilevel"/>
    <w:lvl w:ilvl="0">
      <w:lvlJc w:val="left"/>
      <w:lvlText w:val="(%1)"/>
      <w:numFmt w:val="lowerRoman"/>
      <w:start w:val="8"/>
    </w:lvl>
  </w:abstractNum>
  <w:abstractNum w:abstractNumId="44">
    <w:nsid w:val="42C296BD"/>
    <w:multiLevelType w:val="hybridMultilevel"/>
    <w:lvl w:ilvl="0">
      <w:lvlJc w:val="left"/>
      <w:lvlText w:val="(%1)"/>
      <w:numFmt w:val="lowerRoman"/>
      <w:start w:val="1"/>
    </w:lvl>
  </w:abstractNum>
  <w:abstractNum w:abstractNumId="45">
    <w:nsid w:val="168E121F"/>
    <w:multiLevelType w:val="hybridMultilevel"/>
    <w:lvl w:ilvl="0">
      <w:lvlJc w:val="left"/>
      <w:lvlText w:val="(%1)"/>
      <w:numFmt w:val="lowerRoman"/>
      <w:start w:val="2"/>
    </w:lvl>
  </w:abstractNum>
  <w:abstractNum w:abstractNumId="46">
    <w:nsid w:val="1EBA5D23"/>
    <w:multiLevelType w:val="hybridMultilevel"/>
    <w:lvl w:ilvl="0">
      <w:lvlJc w:val="left"/>
      <w:lvlText w:val="(%1)"/>
      <w:numFmt w:val="lowerRoman"/>
      <w:start w:val="17"/>
    </w:lvl>
  </w:abstractNum>
  <w:abstractNum w:abstractNumId="47">
    <w:nsid w:val="661E3F1E"/>
    <w:multiLevelType w:val="hybridMultilevel"/>
    <w:lvl w:ilvl="0">
      <w:lvlJc w:val="left"/>
      <w:lvlText w:val="(%1)"/>
      <w:numFmt w:val="lowerLetter"/>
      <w:start w:val="1"/>
    </w:lvl>
  </w:abstractNum>
  <w:abstractNum w:abstractNumId="48">
    <w:nsid w:val="5DC79EA8"/>
    <w:multiLevelType w:val="hybridMultilevel"/>
    <w:lvl w:ilvl="0">
      <w:lvlJc w:val="left"/>
      <w:lvlText w:val="(%1)"/>
      <w:numFmt w:val="lowerLetter"/>
      <w:start w:val="2"/>
    </w:lvl>
  </w:abstractNum>
  <w:abstractNum w:abstractNumId="49">
    <w:nsid w:val="540A471C"/>
    <w:multiLevelType w:val="hybridMultilevel"/>
    <w:lvl w:ilvl="0">
      <w:lvlJc w:val="left"/>
      <w:lvlText w:val="(%1)"/>
      <w:numFmt w:val="lowerLetter"/>
      <w:start w:val="1"/>
    </w:lvl>
  </w:abstractNum>
  <w:abstractNum w:abstractNumId="50">
    <w:nsid w:val="7BD3EE7B"/>
    <w:multiLevelType w:val="hybridMultilevel"/>
    <w:lvl w:ilvl="0">
      <w:lvlJc w:val="left"/>
      <w:lvlText w:val="(%1)"/>
      <w:numFmt w:val="lowerLetter"/>
      <w:start w:val="2"/>
    </w:lvl>
  </w:abstractNum>
  <w:abstractNum w:abstractNumId="51">
    <w:nsid w:val="51D9C564"/>
    <w:multiLevelType w:val="hybridMultilevel"/>
    <w:lvl w:ilvl="0">
      <w:lvlJc w:val="left"/>
      <w:lvlText w:val="(%1)"/>
      <w:numFmt w:val="lowerLetter"/>
      <w:start w:val="1"/>
    </w:lvl>
  </w:abstractNum>
  <w:abstractNum w:abstractNumId="52">
    <w:nsid w:val="613EFDC5"/>
    <w:multiLevelType w:val="hybridMultilevel"/>
    <w:lvl w:ilvl="0">
      <w:lvlJc w:val="left"/>
      <w:lvlText w:val="(%1)"/>
      <w:numFmt w:val="lowerLetter"/>
      <w:start w:val="1"/>
    </w:lvl>
  </w:abstractNum>
  <w:abstractNum w:abstractNumId="53">
    <w:nsid w:val="BF72B14"/>
    <w:multiLevelType w:val="hybridMultilevel"/>
    <w:lvl w:ilvl="0">
      <w:lvlJc w:val="left"/>
      <w:lvlText w:val="(%1)"/>
      <w:numFmt w:val="lowerLetter"/>
      <w:start w:val="2"/>
    </w:lvl>
  </w:abstractNum>
  <w:abstractNum w:abstractNumId="54">
    <w:nsid w:val="11447B73"/>
    <w:multiLevelType w:val="hybridMultilevel"/>
    <w:lvl w:ilvl="0">
      <w:lvlJc w:val="left"/>
      <w:lvlText w:val="(%1)"/>
      <w:numFmt w:val="lowerLetter"/>
      <w:start w:val="1"/>
    </w:lvl>
  </w:abstractNum>
  <w:abstractNum w:abstractNumId="55">
    <w:nsid w:val="42963E5A"/>
    <w:multiLevelType w:val="hybridMultilevel"/>
    <w:lvl w:ilvl="0">
      <w:lvlJc w:val="left"/>
      <w:lvlText w:val="(%1)"/>
      <w:numFmt w:val="lowerLetter"/>
      <w:start w:val="1"/>
    </w:lvl>
  </w:abstractNum>
  <w:abstractNum w:abstractNumId="56">
    <w:nsid w:val="A0382C5"/>
    <w:multiLevelType w:val="hybridMultilevel"/>
    <w:lvl w:ilvl="0">
      <w:lvlJc w:val="left"/>
      <w:lvlText w:val="(%1)"/>
      <w:numFmt w:val="lowerLetter"/>
      <w:start w:val="1"/>
    </w:lvl>
  </w:abstractNum>
  <w:abstractNum w:abstractNumId="57">
    <w:nsid w:val="8F2B15E"/>
    <w:multiLevelType w:val="hybridMultilevel"/>
    <w:lvl w:ilvl="0">
      <w:lvlJc w:val="left"/>
      <w:lvlText w:val="(%1)"/>
      <w:numFmt w:val="lowerLetter"/>
      <w:start w:val="1"/>
    </w:lvl>
  </w:abstractNum>
  <w:abstractNum w:abstractNumId="58">
    <w:nsid w:val="1A32234B"/>
    <w:multiLevelType w:val="hybridMultilevel"/>
    <w:lvl w:ilvl="0">
      <w:lvlJc w:val="left"/>
      <w:lvlText w:val="(%1)"/>
      <w:numFmt w:val="lowerLetter"/>
      <w:start w:val="1"/>
    </w:lvl>
  </w:abstractNum>
  <w:abstractNum w:abstractNumId="59">
    <w:nsid w:val="3B0FD379"/>
    <w:multiLevelType w:val="hybridMultilevel"/>
    <w:lvl w:ilvl="0">
      <w:lvlJc w:val="left"/>
      <w:lvlText w:val="(%1)"/>
      <w:numFmt w:val="lowerLetter"/>
      <w:start w:val="1"/>
    </w:lvl>
  </w:abstractNum>
  <w:abstractNum w:abstractNumId="60">
    <w:nsid w:val="68EB2F63"/>
    <w:multiLevelType w:val="hybridMultilevel"/>
    <w:lvl w:ilvl="0">
      <w:lvlJc w:val="left"/>
      <w:lvlText w:val="(%1)"/>
      <w:numFmt w:val="lowerLetter"/>
      <w:start w:val="7"/>
    </w:lvl>
  </w:abstractNum>
  <w:abstractNum w:abstractNumId="61">
    <w:nsid w:val="4962813B"/>
    <w:multiLevelType w:val="hybridMultilevel"/>
    <w:lvl w:ilvl="0">
      <w:lvlJc w:val="left"/>
      <w:lvlText w:val="(%1)"/>
      <w:numFmt w:val="lowerLetter"/>
      <w:start w:val="1"/>
    </w:lvl>
  </w:abstractNum>
  <w:abstractNum w:abstractNumId="62">
    <w:nsid w:val="60B6DF70"/>
    <w:multiLevelType w:val="hybridMultilevel"/>
    <w:lvl w:ilvl="0">
      <w:lvlJc w:val="left"/>
      <w:lvlText w:val="(%1)"/>
      <w:numFmt w:val="lowerRoman"/>
      <w:start w:val="1"/>
    </w:lvl>
  </w:abstractNum>
  <w:abstractNum w:abstractNumId="63">
    <w:nsid w:val="6A5EE64"/>
    <w:multiLevelType w:val="hybridMultilevel"/>
    <w:lvl w:ilvl="0">
      <w:lvlJc w:val="left"/>
      <w:lvlText w:val="(%1)"/>
      <w:numFmt w:val="lowerLetter"/>
      <w:start w:val="1"/>
    </w:lvl>
  </w:abstractNum>
  <w:abstractNum w:abstractNumId="64">
    <w:nsid w:val="14330624"/>
    <w:multiLevelType w:val="hybridMultilevel"/>
    <w:lvl w:ilvl="0">
      <w:lvlJc w:val="left"/>
      <w:lvlText w:val="(%1)"/>
      <w:numFmt w:val="lowerLetter"/>
      <w:start w:val="2"/>
    </w:lvl>
  </w:abstractNum>
  <w:abstractNum w:abstractNumId="65">
    <w:nsid w:val="7FFFCA11"/>
    <w:multiLevelType w:val="hybridMultilevel"/>
    <w:lvl w:ilvl="0">
      <w:lvlJc w:val="left"/>
      <w:lvlText w:val="(%1)"/>
      <w:numFmt w:val="lowerLetter"/>
      <w:start w:val="1"/>
    </w:lvl>
  </w:abstractNum>
  <w:abstractNum w:abstractNumId="66">
    <w:nsid w:val="1A27709E"/>
    <w:multiLevelType w:val="hybridMultilevel"/>
    <w:lvl w:ilvl="0">
      <w:lvlJc w:val="left"/>
      <w:lvlText w:val="(%1)"/>
      <w:numFmt w:val="lowerLetter"/>
      <w:start w:val="2"/>
    </w:lvl>
  </w:abstractNum>
  <w:abstractNum w:abstractNumId="67">
    <w:nsid w:val="71EA1109"/>
    <w:multiLevelType w:val="hybridMultilevel"/>
    <w:lvl w:ilvl="0">
      <w:lvlJc w:val="left"/>
      <w:lvlText w:val="(%1)"/>
      <w:numFmt w:val="lowerLetter"/>
      <w:start w:val="1"/>
    </w:lvl>
  </w:abstractNum>
  <w:abstractNum w:abstractNumId="68">
    <w:nsid w:val="100F59DC"/>
    <w:multiLevelType w:val="hybridMultilevel"/>
    <w:lvl w:ilvl="0">
      <w:lvlJc w:val="left"/>
      <w:lvlText w:val="(%1)"/>
      <w:numFmt w:val="lowerLetter"/>
      <w:start w:val="1"/>
    </w:lvl>
  </w:abstractNum>
  <w:abstractNum w:abstractNumId="69">
    <w:nsid w:val="7FB7E0AA"/>
    <w:multiLevelType w:val="hybridMultilevel"/>
    <w:lvl w:ilvl="0">
      <w:lvlJc w:val="left"/>
      <w:lvlText w:val="(%1)"/>
      <w:numFmt w:val="lowerLetter"/>
      <w:start w:val="2"/>
    </w:lvl>
  </w:abstractNum>
  <w:abstractNum w:abstractNumId="70">
    <w:nsid w:val="6EB5BD4"/>
    <w:multiLevelType w:val="hybridMultilevel"/>
    <w:lvl w:ilvl="0">
      <w:lvlJc w:val="left"/>
      <w:lvlText w:val="(%1)"/>
      <w:numFmt w:val="lowerLetter"/>
      <w:start w:val="11"/>
    </w:lvl>
  </w:abstractNum>
  <w:abstractNum w:abstractNumId="71">
    <w:nsid w:val="6F6DD9AC"/>
    <w:multiLevelType w:val="hybridMultilevel"/>
    <w:lvl w:ilvl="0">
      <w:lvlJc w:val="left"/>
      <w:lvlText w:val="(%1)"/>
      <w:numFmt w:val="lowerLetter"/>
      <w:start w:val="1"/>
    </w:lvl>
  </w:abstractNum>
  <w:abstractNum w:abstractNumId="72">
    <w:nsid w:val="94211F2"/>
    <w:multiLevelType w:val="hybridMultilevel"/>
    <w:lvl w:ilvl="0">
      <w:lvlJc w:val="left"/>
      <w:lvlText w:val="(%1)"/>
      <w:numFmt w:val="lowerLetter"/>
      <w:start w:val="1"/>
    </w:lvl>
    <w:lvl w:ilvl="1">
      <w:lvlJc w:val="left"/>
      <w:lvlText w:val="(%2)"/>
      <w:numFmt w:val="lowerRoman"/>
      <w:start w:val="1"/>
    </w:lvl>
  </w:abstractNum>
  <w:abstractNum w:abstractNumId="73">
    <w:nsid w:val="885E1B"/>
    <w:multiLevelType w:val="hybridMultilevel"/>
    <w:lvl w:ilvl="0">
      <w:lvlJc w:val="left"/>
      <w:lvlText w:val="(%1)"/>
      <w:numFmt w:val="lowerLetter"/>
      <w:start w:val="3"/>
    </w:lvl>
  </w:abstractNum>
  <w:abstractNum w:abstractNumId="74">
    <w:nsid w:val="76272110"/>
    <w:multiLevelType w:val="hybridMultilevel"/>
    <w:lvl w:ilvl="0">
      <w:lvlJc w:val="left"/>
      <w:lvlText w:val="(%1)"/>
      <w:numFmt w:val="lowerLetter"/>
      <w:start w:val="1"/>
    </w:lvl>
  </w:abstractNum>
  <w:abstractNum w:abstractNumId="75">
    <w:nsid w:val="4C04A8AF"/>
    <w:multiLevelType w:val="hybridMultilevel"/>
    <w:lvl w:ilvl="0">
      <w:lvlJc w:val="left"/>
      <w:lvlText w:val="(%1)"/>
      <w:numFmt w:val="lowerLetter"/>
      <w:start w:val="1"/>
    </w:lvl>
  </w:abstractNum>
  <w:abstractNum w:abstractNumId="76">
    <w:nsid w:val="1716703B"/>
    <w:multiLevelType w:val="hybridMultilevel"/>
    <w:lvl w:ilvl="0">
      <w:lvlJc w:val="left"/>
      <w:lvlText w:val="(%1)"/>
      <w:numFmt w:val="lowerLetter"/>
      <w:start w:val="1"/>
    </w:lvl>
  </w:abstractNum>
  <w:abstractNum w:abstractNumId="77">
    <w:nsid w:val="14E17E33"/>
    <w:multiLevelType w:val="hybridMultilevel"/>
    <w:lvl w:ilvl="0">
      <w:lvlJc w:val="left"/>
      <w:lvlText w:val="(%1)"/>
      <w:numFmt w:val="lowerLetter"/>
      <w:start w:val="1"/>
    </w:lvl>
  </w:abstractNum>
  <w:abstractNum w:abstractNumId="78">
    <w:nsid w:val="3222E7CD"/>
    <w:multiLevelType w:val="hybridMultilevel"/>
    <w:lvl w:ilvl="0">
      <w:lvlJc w:val="left"/>
      <w:lvlText w:val="(%1)"/>
      <w:numFmt w:val="lowerRoman"/>
      <w:start w:val="1"/>
    </w:lvl>
  </w:abstractNum>
  <w:abstractNum w:abstractNumId="79">
    <w:nsid w:val="74DE0EE3"/>
    <w:multiLevelType w:val="hybridMultilevel"/>
    <w:lvl w:ilvl="0">
      <w:lvlJc w:val="left"/>
      <w:lvlText w:val="(%1)"/>
      <w:numFmt w:val="lowerLetter"/>
      <w:start w:val="1"/>
    </w:lvl>
  </w:abstractNum>
  <w:abstractNum w:abstractNumId="80">
    <w:nsid w:val="68EBC550"/>
    <w:multiLevelType w:val="hybridMultilevel"/>
    <w:lvl w:ilvl="0">
      <w:lvlJc w:val="left"/>
      <w:lvlText w:val="%1"/>
      <w:numFmt w:val="upperLetter"/>
      <w:start w:val="1"/>
    </w:lvl>
    <w:lvl w:ilvl="1">
      <w:lvlJc w:val="left"/>
      <w:lvlText w:val="(%2)"/>
      <w:numFmt w:val="lowerLetter"/>
      <w:start w:val="2"/>
    </w:lvl>
  </w:abstractNum>
  <w:abstractNum w:abstractNumId="81">
    <w:nsid w:val="2DF6D648"/>
    <w:multiLevelType w:val="hybridMultilevel"/>
    <w:lvl w:ilvl="0">
      <w:lvlJc w:val="left"/>
      <w:lvlText w:val="(%1)"/>
      <w:numFmt w:val="upperLetter"/>
      <w:start w:val="3"/>
    </w:lvl>
    <w:lvl w:ilvl="1">
      <w:lvlJc w:val="left"/>
      <w:lvlText w:val="%2"/>
      <w:numFmt w:val="lowerLetter"/>
      <w:start w:val="1"/>
    </w:lvl>
  </w:abstractNum>
  <w:abstractNum w:abstractNumId="82">
    <w:nsid w:val="46B7D447"/>
    <w:multiLevelType w:val="hybridMultilevel"/>
    <w:lvl w:ilvl="0">
      <w:lvlJc w:val="left"/>
      <w:lvlText w:val="(%1)"/>
      <w:numFmt w:val="lowerLetter"/>
      <w:start w:val="1"/>
    </w:lvl>
  </w:abstractNum>
  <w:abstractNum w:abstractNumId="83">
    <w:nsid w:val="4A2AC315"/>
    <w:multiLevelType w:val="hybridMultilevel"/>
    <w:lvl w:ilvl="0">
      <w:lvlJc w:val="left"/>
      <w:lvlText w:val="(%1)"/>
      <w:numFmt w:val="lowerLetter"/>
      <w:start w:val="1"/>
    </w:lvl>
  </w:abstractNum>
  <w:abstractNum w:abstractNumId="84">
    <w:nsid w:val="39EE015C"/>
    <w:multiLevelType w:val="hybridMultilevel"/>
    <w:lvl w:ilvl="0">
      <w:lvlJc w:val="left"/>
      <w:lvlText w:val="(%1)"/>
      <w:numFmt w:val="lowerLetter"/>
      <w:start w:val="1"/>
    </w:lvl>
  </w:abstractNum>
  <w:abstractNum w:abstractNumId="85">
    <w:nsid w:val="57FC4FBB"/>
    <w:multiLevelType w:val="hybridMultilevel"/>
    <w:lvl w:ilvl="0">
      <w:lvlJc w:val="left"/>
      <w:lvlText w:val="(%1)"/>
      <w:numFmt w:val="lowerLetter"/>
      <w:start w:val="10"/>
    </w:lvl>
  </w:abstractNum>
  <w:abstractNum w:abstractNumId="86">
    <w:nsid w:val="CC1016F"/>
    <w:multiLevelType w:val="hybridMultilevel"/>
    <w:lvl w:ilvl="0">
      <w:lvlJc w:val="left"/>
      <w:lvlText w:val="%1."/>
      <w:numFmt w:val="decimal"/>
      <w:start w:val="1"/>
    </w:lvl>
  </w:abstractNum>
  <w:abstractNum w:abstractNumId="87">
    <w:nsid w:val="43F18422"/>
    <w:multiLevelType w:val="hybridMultilevel"/>
    <w:lvl w:ilvl="0">
      <w:lvlJc w:val="left"/>
      <w:lvlText w:val="%1."/>
      <w:numFmt w:val="decimal"/>
      <w:start w:val="1"/>
    </w:lvl>
  </w:abstractNum>
  <w:abstractNum w:abstractNumId="88">
    <w:nsid w:val="60EF0119"/>
    <w:multiLevelType w:val="hybridMultilevel"/>
    <w:lvl w:ilvl="0">
      <w:lvlJc w:val="left"/>
      <w:lvlText w:val="%1."/>
      <w:numFmt w:val="decimal"/>
      <w:start w:val="1"/>
    </w:lvl>
  </w:abstractNum>
  <w:abstractNum w:abstractNumId="89">
    <w:nsid w:val="26F324BA"/>
    <w:multiLevelType w:val="hybridMultilevel"/>
    <w:lvl w:ilvl="0">
      <w:lvlJc w:val="left"/>
      <w:lvlText w:val="%1."/>
      <w:numFmt w:val="decimal"/>
      <w:start w:val="2"/>
    </w:lvl>
    <w:lvl w:ilvl="1">
      <w:lvlJc w:val="left"/>
      <w:lvlText w:val="(%2)"/>
      <w:numFmt w:val="lowerLetter"/>
      <w:start w:val="1"/>
    </w:lvl>
  </w:abstractNum>
  <w:abstractNum w:abstractNumId="90">
    <w:nsid w:val="7F01579B"/>
    <w:multiLevelType w:val="hybridMultilevel"/>
    <w:lvl w:ilvl="0">
      <w:lvlJc w:val="left"/>
      <w:lvlText w:val="%1."/>
      <w:numFmt w:val="decimal"/>
      <w:start w:val="3"/>
    </w:lvl>
  </w:abstractNum>
  <w:abstractNum w:abstractNumId="91">
    <w:nsid w:val="49DA307D"/>
    <w:multiLevelType w:val="hybridMultilevel"/>
    <w:lvl w:ilvl="0">
      <w:lvlJc w:val="left"/>
      <w:lvlText w:val="%1"/>
      <w:numFmt w:val="decimal"/>
      <w:start w:val="1"/>
    </w:lvl>
    <w:lvl w:ilvl="1">
      <w:lvlJc w:val="left"/>
      <w:lvlText w:val="(%2)"/>
      <w:numFmt w:val="lowerLetter"/>
      <w:start w:val="1"/>
    </w:lvl>
  </w:abstractNum>
  <w:abstractNum w:abstractNumId="92">
    <w:nsid w:val="7055A5F5"/>
    <w:multiLevelType w:val="hybridMultilevel"/>
    <w:lvl w:ilvl="0">
      <w:lvlJc w:val="left"/>
      <w:lvlText w:val="%1."/>
      <w:numFmt w:val="decimal"/>
      <w:start w:val="4"/>
    </w:lvl>
    <w:lvl w:ilvl="1">
      <w:lvlJc w:val="left"/>
      <w:lvlText w:val="%2"/>
      <w:numFmt w:val="lowerLetter"/>
      <w:start w:val="1"/>
    </w:lvl>
  </w:abstractNum>
  <w:abstractNum w:abstractNumId="93">
    <w:nsid w:val="5FB8370B"/>
    <w:multiLevelType w:val="hybridMultilevel"/>
    <w:lvl w:ilvl="0">
      <w:lvlJc w:val="left"/>
      <w:lvlText w:val="(%1)"/>
      <w:numFmt w:val="upperLetter"/>
      <w:start w:val="1"/>
    </w:lvl>
  </w:abstractNum>
  <w:abstractNum w:abstractNumId="94">
    <w:nsid w:val="50801EE1"/>
    <w:multiLevelType w:val="hybridMultilevel"/>
    <w:lvl w:ilvl="0">
      <w:lvlJc w:val="left"/>
      <w:lvlText w:val="%1."/>
      <w:numFmt w:val="decimal"/>
      <w:start w:val="6"/>
    </w:lvl>
  </w:abstractNum>
  <w:abstractNum w:abstractNumId="95">
    <w:nsid w:val="488AC1A"/>
    <w:multiLevelType w:val="hybridMultilevel"/>
    <w:lvl w:ilvl="0">
      <w:lvlJc w:val="left"/>
      <w:lvlText w:val="%1."/>
      <w:numFmt w:val="decimal"/>
      <w:start w:val="9"/>
    </w:lvl>
    <w:lvl w:ilvl="1">
      <w:lvlJc w:val="left"/>
      <w:lvlText w:val="(%2)"/>
      <w:numFmt w:val="lowerLetter"/>
      <w:start w:val="4"/>
    </w:lvl>
  </w:abstractNum>
  <w:abstractNum w:abstractNumId="96">
    <w:nsid w:val="5FB8011C"/>
    <w:multiLevelType w:val="hybridMultilevel"/>
    <w:lvl w:ilvl="0">
      <w:lvlJc w:val="left"/>
      <w:lvlText w:val="%1"/>
      <w:numFmt w:val="decimal"/>
      <w:start w:val="1"/>
    </w:lvl>
    <w:lvl w:ilvl="1">
      <w:lvlJc w:val="left"/>
      <w:lvlText w:val="(%2)"/>
      <w:numFmt w:val="lowerLetter"/>
      <w:start w:val="8"/>
    </w:lvl>
  </w:abstractNum>
  <w:abstractNum w:abstractNumId="97">
    <w:nsid w:val="6AA78F7F"/>
    <w:multiLevelType w:val="hybridMultilevel"/>
    <w:lvl w:ilvl="0">
      <w:lvlJc w:val="left"/>
      <w:lvlText w:val="%1."/>
      <w:numFmt w:val="decimal"/>
      <w:start w:val="10"/>
    </w:lvl>
    <w:lvl w:ilvl="1">
      <w:lvlJc w:val="left"/>
      <w:lvlText w:val="%2"/>
      <w:numFmt w:val="lowerLetter"/>
      <w:start w:val="1"/>
    </w:lvl>
  </w:abstractNum>
  <w:abstractNum w:abstractNumId="98">
    <w:nsid w:val="7672BD23"/>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2020-01-14T14:05:12Z</dcterms:created>
  <dcterms:modified xsi:type="dcterms:W3CDTF">2020-01-14T14:05:12Z</dcterms:modified>
</cp:coreProperties>
</file>