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27.jpeg" ContentType="image/jpeg"/>
  <Override PartName="/word/media/image126.jpeg" ContentType="image/jpeg"/>
  <Override PartName="/word/media/image125.jpeg" ContentType="image/jpeg"/>
  <Override PartName="/word/media/image124.jpeg" ContentType="image/jpeg"/>
  <Override PartName="/word/media/image123.jpeg" ContentType="image/jpeg"/>
  <Override PartName="/word/media/image122.jpeg" ContentType="image/jpeg"/>
  <Override PartName="/word/media/image121.jpeg" ContentType="image/jpeg"/>
  <Override PartName="/word/media/image115.jpeg" ContentType="image/jpeg"/>
  <Override PartName="/word/media/image114.jpeg" ContentType="image/jpeg"/>
  <Override PartName="/word/media/image113.jpeg" ContentType="image/jpeg"/>
  <Override PartName="/word/media/image99.jpeg" ContentType="image/jpeg"/>
  <Override PartName="/word/media/image96.jpeg" ContentType="image/jpeg"/>
  <Override PartName="/word/media/image95.jpeg" ContentType="image/jpeg"/>
  <Override PartName="/word/media/image94.jpeg" ContentType="image/jpeg"/>
  <Override PartName="/word/media/image93.jpeg" ContentType="image/jpeg"/>
  <Override PartName="/word/media/image112.jpeg" ContentType="image/jpeg"/>
  <Override PartName="/word/media/image92.jpeg" ContentType="image/jpeg"/>
  <Override PartName="/word/media/image19.jpeg" ContentType="image/jpeg"/>
  <Override PartName="/word/media/image111.jpeg" ContentType="image/jpeg"/>
  <Override PartName="/word/media/image91.jpeg" ContentType="image/jpeg"/>
  <Override PartName="/word/media/image18.jpeg" ContentType="image/jpeg"/>
  <Override PartName="/word/media/image110.jpeg" ContentType="image/jpeg"/>
  <Override PartName="/word/media/image90.jpeg" ContentType="image/jpeg"/>
  <Override PartName="/word/media/image17.jpeg" ContentType="image/jpeg"/>
  <Override PartName="/word/media/image76.jpeg" ContentType="image/jpeg"/>
  <Override PartName="/word/media/image106.jpeg" ContentType="image/jpeg"/>
  <Override PartName="/word/media/image86.jpeg" ContentType="image/jpeg"/>
  <Override PartName="/word/media/image10.jpeg" ContentType="image/jpeg"/>
  <Override PartName="/word/media/image27.jpeg" ContentType="image/jpeg"/>
  <Override PartName="/word/media/image98.jpeg" ContentType="image/jpeg"/>
  <Override PartName="/word/media/image39.jpeg" ContentType="image/jpeg"/>
  <Override PartName="/word/media/image8.jpeg" ContentType="image/jpeg"/>
  <Override PartName="/word/media/image13.jpeg" ContentType="image/jpeg"/>
  <Override PartName="/word/media/image40.jpeg" ContentType="image/jpeg"/>
  <Override PartName="/word/media/image87.jpeg" ContentType="image/jpeg"/>
  <Override PartName="/word/media/image11.jpeg" ContentType="image/jpeg"/>
  <Override PartName="/word/media/image28.jpeg" ContentType="image/jpeg"/>
  <Override PartName="/word/media/image107.jpeg" ContentType="image/jpeg"/>
  <Override PartName="/word/media/image9.jpeg" ContentType="image/jpeg"/>
  <Override PartName="/word/media/image30.jpeg" ContentType="image/jpeg"/>
  <Override PartName="/word/media/image31.jpeg" ContentType="image/jpeg"/>
  <Override PartName="/word/media/image32.jpeg" ContentType="image/jpeg"/>
  <Override PartName="/word/media/image33.jpeg" ContentType="image/jpeg"/>
  <Override PartName="/word/media/image34.jpeg" ContentType="image/jpeg"/>
  <Override PartName="/word/media/image48.jpeg" ContentType="image/jpeg"/>
  <Override PartName="/word/media/image49.jpeg" ContentType="image/jpeg"/>
  <Override PartName="/word/media/image142.jpeg" ContentType="image/jpeg"/>
  <Override PartName="/word/media/image52.jpeg" ContentType="image/jpeg"/>
  <Override PartName="/word/media/image148.jpeg" ContentType="image/jpeg"/>
  <Override PartName="/word/media/image131.jpeg" ContentType="image/jpeg"/>
  <Override PartName="/word/media/image143.jpeg" ContentType="image/jpeg"/>
  <Override PartName="/word/media/image53.jpeg" ContentType="image/jpeg"/>
  <Override PartName="/word/media/image149.jpeg" ContentType="image/jpeg"/>
  <Override PartName="/word/media/image132.jpeg" ContentType="image/jpeg"/>
  <Override PartName="/word/media/image144.jpeg" ContentType="image/jpeg"/>
  <Override PartName="/word/media/image150.jpeg" ContentType="image/jpeg"/>
  <Override PartName="/word/media/image71.jpeg" ContentType="image/jpeg"/>
  <Override PartName="/word/media/image54.jpeg" ContentType="image/jpeg"/>
  <Override PartName="/word/media/image133.jpeg" ContentType="image/jpeg"/>
  <Override PartName="/word/media/image145.jpeg" ContentType="image/jpeg"/>
  <Override PartName="/word/media/image151.jpeg" ContentType="image/jpeg"/>
  <Override PartName="/word/media/image72.jpeg" ContentType="image/jpeg"/>
  <Override PartName="/word/media/image55.jpeg" ContentType="image/jpeg"/>
  <Override PartName="/word/media/image134.jpeg" ContentType="image/jpeg"/>
  <Override PartName="/word/media/image146.jpeg" ContentType="image/jpeg"/>
  <Override PartName="/word/media/image152.jpeg" ContentType="image/jpeg"/>
  <Override PartName="/word/media/image73.jpeg" ContentType="image/jpeg"/>
  <Override PartName="/word/media/image130.jpeg" ContentType="image/jpeg"/>
  <Override PartName="/word/media/image147.jpeg" ContentType="image/jpeg"/>
  <Override PartName="/word/media/image51.jpeg" ContentType="image/jpeg"/>
  <Override PartName="/word/media/image140.jpeg" ContentType="image/jpeg"/>
  <Override PartName="/word/media/image141.jpeg" ContentType="image/jpeg"/>
  <Override PartName="/word/media/image47.jpeg" ContentType="image/jpeg"/>
  <Override PartName="/word/media/image138.jpeg" ContentType="image/jpeg"/>
  <Override PartName="/word/media/image59.jpeg" ContentType="image/jpeg"/>
  <Override PartName="/word/media/image42.jpeg" ContentType="image/jpeg"/>
  <Override PartName="/word/media/image58.jpeg" ContentType="image/jpeg"/>
  <Override PartName="/word/media/image137.jpeg" ContentType="image/jpeg"/>
  <Override PartName="/word/media/image46.jpeg" ContentType="image/jpeg"/>
  <Override PartName="/word/media/image57.jpeg" ContentType="image/jpeg"/>
  <Override PartName="/word/media/image136.jpeg" ContentType="image/jpeg"/>
  <Override PartName="/word/media/image45.jpeg" ContentType="image/jpeg"/>
  <Override PartName="/word/media/image56.jpeg" ContentType="image/jpeg"/>
  <Override PartName="/word/media/image135.jpeg" ContentType="image/jpeg"/>
  <Override PartName="/word/media/image44.jpeg" ContentType="image/jpeg"/>
  <Override PartName="/word/media/image129.jpeg" ContentType="image/jpeg"/>
  <Override PartName="/word/media/image43.jpeg" ContentType="image/jpeg"/>
  <Override PartName="/word/media/image50.jpeg" ContentType="image/jpeg"/>
  <Override PartName="/word/media/image139.jpeg" ContentType="image/jpeg"/>
  <Override PartName="/word/media/image128.jpeg" ContentType="image/jpeg"/>
  <Override PartName="/word/media/image29.jpeg" ContentType="image/jpeg"/>
  <Override PartName="/word/media/image12.jpeg" ContentType="image/jpeg"/>
  <Override PartName="/word/media/image88.jpeg" ContentType="image/jpeg"/>
  <Override PartName="/word/media/image108.jpeg" ContentType="image/jpeg"/>
  <Override PartName="/word/media/image38.jpeg" ContentType="image/jpeg"/>
  <Override PartName="/word/media/image97.jpeg" ContentType="image/jpeg"/>
  <Override PartName="/word/media/image7.jpeg" ContentType="image/jpeg"/>
  <Override PartName="/word/media/image6.jpeg" ContentType="image/jpeg"/>
  <Override PartName="/word/media/image5.jpeg" ContentType="image/jpeg"/>
  <Override PartName="/word/media/image26.jpeg" ContentType="image/jpeg"/>
  <Override PartName="/word/media/image85.jpeg" ContentType="image/jpeg"/>
  <Override PartName="/word/media/image105.jpeg" ContentType="image/jpeg"/>
  <Override PartName="/word/media/image4.jpeg" ContentType="image/jpeg"/>
  <Override PartName="/word/media/image25.jpeg" ContentType="image/jpeg"/>
  <Override PartName="/word/media/image84.jpeg" ContentType="image/jpeg"/>
  <Override PartName="/word/media/image104.jpeg" ContentType="image/jpeg"/>
  <Override PartName="/word/media/image37.jpeg" ContentType="image/jpeg"/>
  <Override PartName="/word/media/image3.jpeg" ContentType="image/jpeg"/>
  <Override PartName="/word/media/image24.jpeg" ContentType="image/jpeg"/>
  <Override PartName="/word/media/image83.jpeg" ContentType="image/jpeg"/>
  <Override PartName="/word/media/image103.jpeg" ContentType="image/jpeg"/>
  <Override PartName="/word/media/image36.jpeg" ContentType="image/jpeg"/>
  <Override PartName="/word/media/image2.jpeg" ContentType="image/jpeg"/>
  <Override PartName="/word/media/image23.jpeg" ContentType="image/jpeg"/>
  <Override PartName="/word/media/image82.jpeg" ContentType="image/jpeg"/>
  <Override PartName="/word/media/image102.jpeg" ContentType="image/jpeg"/>
  <Override PartName="/word/media/image119.jpeg" ContentType="image/jpeg"/>
  <Override PartName="/word/media/image35.jpeg" ContentType="image/jpeg"/>
  <Override PartName="/word/media/image1.jpeg" ContentType="image/jpeg"/>
  <Override PartName="/word/media/image89.jpeg" ContentType="image/jpeg"/>
  <Override PartName="/word/media/image22.jpeg" ContentType="image/jpeg"/>
  <Override PartName="/word/media/image81.jpeg" ContentType="image/jpeg"/>
  <Override PartName="/word/media/image101.jpeg" ContentType="image/jpeg"/>
  <Override PartName="/word/media/image118.jpeg" ContentType="image/jpeg"/>
  <Override PartName="/word/media/image41.jpeg" ContentType="image/jpeg"/>
  <Override PartName="/word/media/image120.jpeg" ContentType="image/jpeg"/>
  <Override PartName="/word/media/image14.jpeg" ContentType="image/jpeg"/>
  <Override PartName="/word/media/image15.jpeg" ContentType="image/jpeg"/>
  <Override PartName="/word/media/image16.jpeg" ContentType="image/jpeg"/>
  <Override PartName="/word/media/image109.jpeg" ContentType="image/jpeg"/>
  <Override PartName="/word/media/image20.jpeg" ContentType="image/jpeg"/>
  <Override PartName="/word/media/image116.jpeg" ContentType="image/jpeg"/>
  <Override PartName="/word/media/image21.jpeg" ContentType="image/jpeg"/>
  <Override PartName="/word/media/image80.jpeg" ContentType="image/jpeg"/>
  <Override PartName="/word/media/image100.jpeg" ContentType="image/jpeg"/>
  <Override PartName="/word/media/image117.jpeg" ContentType="image/jpeg"/>
  <Override PartName="/word/media/image60.jpeg" ContentType="image/jpeg"/>
  <Override PartName="/word/media/image77.jpeg" ContentType="image/jpeg"/>
  <Override PartName="/word/media/image61.jpeg" ContentType="image/jpeg"/>
  <Override PartName="/word/media/image78.jpeg" ContentType="image/jpeg"/>
  <Override PartName="/word/media/image62.jpeg" ContentType="image/jpeg"/>
  <Override PartName="/word/media/image79.jpeg" ContentType="image/jpeg"/>
  <Override PartName="/word/media/image63.jpeg" ContentType="image/jpeg"/>
  <Override PartName="/word/media/image64.jpeg" ContentType="image/jpeg"/>
  <Override PartName="/word/media/image65.jpeg" ContentType="image/jpeg"/>
  <Override PartName="/word/media/image66.jpeg" ContentType="image/jpeg"/>
  <Override PartName="/word/media/image67.jpeg" ContentType="image/jpeg"/>
  <Override PartName="/word/media/image68.jpeg" ContentType="image/jpeg"/>
  <Override PartName="/word/media/image69.jpeg" ContentType="image/jpeg"/>
  <Override PartName="/word/media/image70.jpeg" ContentType="image/jpeg"/>
  <Override PartName="/word/media/image74.jpeg" ContentType="image/jpeg"/>
  <Override PartName="/word/media/image7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60"/>
        <w:jc w:val="center"/>
        <w:rPr>
          <w:color w:val="000000"/>
        </w:rPr>
      </w:pPr>
      <w:r>
        <w:rPr>
          <w:color w:val="000000"/>
        </w:rPr>
        <w:t> </w:t>
      </w:r>
      <w:r>
        <w:rPr>
          <w:rFonts w:ascii="Times New Roman;serif" w:hAnsi="Times New Roman;serif"/>
          <w:b/>
          <w:color w:val="000000"/>
          <w:sz w:val="20"/>
        </w:rPr>
        <w:t>SECURITIES AND EXCHANGE COMMISSION</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 xml:space="preserve">FORM 10-Q </w:t>
      </w:r>
    </w:p>
    <w:p>
      <w:pPr>
        <w:pStyle w:val="TextBody"/>
        <w:bidi w:val="0"/>
        <w:spacing w:lineRule="auto" w:line="288" w:before="0" w:after="60"/>
        <w:jc w:val="center"/>
        <w:rPr/>
      </w:pPr>
      <w:r>
        <w:rPr>
          <w:color w:val="000000"/>
        </w:rPr>
        <w:t>☒ </w:t>
      </w:r>
      <w:r>
        <w:rPr>
          <w:rFonts w:ascii="Times New Roman;serif" w:hAnsi="Times New Roman;serif"/>
          <w:b/>
          <w:color w:val="000000"/>
          <w:sz w:val="18"/>
        </w:rPr>
        <w:t>QUARTERLY REPORT PURSUANT TO SECTION 13 OR 15(d) OF THE SECURITIES EXCHANGE ACT OF 1934</w:t>
      </w:r>
    </w:p>
    <w:p>
      <w:pPr>
        <w:pStyle w:val="TextBody"/>
        <w:bidi w:val="0"/>
        <w:spacing w:lineRule="auto" w:line="288" w:before="0" w:after="60"/>
        <w:jc w:val="center"/>
        <w:rPr/>
      </w:pPr>
      <w:r>
        <w:rPr>
          <w:color w:val="000000"/>
        </w:rPr>
        <w:t> </w:t>
      </w:r>
      <w:r>
        <w:rPr>
          <w:rFonts w:ascii="Times New Roman;serif" w:hAnsi="Times New Roman;serif"/>
          <w:b/>
          <w:color w:val="000000"/>
          <w:sz w:val="18"/>
        </w:rPr>
        <w:t>For the quarterly period ended June 30, 2026</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OR</w:t>
      </w:r>
    </w:p>
    <w:p>
      <w:pPr>
        <w:pStyle w:val="TextBody"/>
        <w:bidi w:val="0"/>
        <w:spacing w:lineRule="auto" w:line="288" w:before="0" w:after="60"/>
        <w:jc w:val="center"/>
        <w:rPr/>
      </w:pPr>
      <w:r>
        <w:rPr>
          <w:color w:val="000000"/>
        </w:rPr>
        <w:t xml:space="preserve">☐ </w:t>
      </w:r>
      <w:r>
        <w:rPr>
          <w:rFonts w:ascii="Times New Roman;serif" w:hAnsi="Times New Roman;serif"/>
          <w:b/>
          <w:color w:val="000000"/>
          <w:sz w:val="18"/>
        </w:rPr>
        <w:t>TRANSITION REPORT PURSUANT TO SECTION 13 OR 15(d) OF THE SECURITIES EXCHANGE ACT OF 1934</w:t>
      </w:r>
    </w:p>
    <w:p>
      <w:pPr>
        <w:pStyle w:val="TextBody"/>
        <w:bidi w:val="0"/>
        <w:spacing w:lineRule="auto" w:line="288" w:before="0" w:after="60"/>
        <w:jc w:val="center"/>
        <w:rPr/>
      </w:pPr>
      <w:r>
        <w:rPr>
          <w:rFonts w:ascii="Times New Roman;serif" w:hAnsi="Times New Roman;serif"/>
          <w:b/>
          <w:color w:val="000000"/>
          <w:sz w:val="18"/>
        </w:rPr>
        <w:t>For the transition period from                    to</w:t>
      </w:r>
      <w:r>
        <w:rPr>
          <w:color w:val="000000"/>
        </w:rPr>
        <w:t> </w:t>
      </w:r>
    </w:p>
    <w:p>
      <w:pPr>
        <w:pStyle w:val="TextBody"/>
        <w:bidi w:val="0"/>
        <w:spacing w:before="0" w:after="6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number: 001-37872 </w:t>
      </w:r>
    </w:p>
    <w:p>
      <w:pPr>
        <w:pStyle w:val="TextBody"/>
        <w:bidi w:val="0"/>
        <w:spacing w:before="0" w:after="0"/>
        <w:jc w:val="center"/>
        <w:rPr/>
      </w:pPr>
      <w:r>
        <w:rPr/>
      </w:r>
    </w:p>
    <w:p>
      <w:pPr>
        <w:pStyle w:val="TextBody"/>
        <w:bidi w:val="0"/>
        <w:spacing w:before="0" w:after="0"/>
        <w:jc w:val="center"/>
        <w:rPr/>
      </w:pPr>
      <w:r>
        <w:rPr/>
        <w:drawing>
          <wp:inline distT="0" distB="0" distL="0" distR="0">
            <wp:extent cx="2743200" cy="1047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43200" cy="1047750"/>
                    </a:xfrm>
                    <a:prstGeom prst="rect">
                      <a:avLst/>
                    </a:prstGeom>
                  </pic:spPr>
                </pic:pic>
              </a:graphicData>
            </a:graphic>
          </wp:inline>
        </w:drawing>
      </w:r>
      <w:bookmarkStart w:id="0" w:name="i-1"/>
      <w:bookmarkEnd w:id="0"/>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Priority Technology Holdings,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5952" w:type="dxa"/>
        <w:jc w:val="center"/>
        <w:tblInd w:w="0" w:type="dxa"/>
        <w:tblLayout w:type="fixed"/>
        <w:tblCellMar>
          <w:top w:w="28" w:type="dxa"/>
          <w:left w:w="28" w:type="dxa"/>
          <w:bottom w:w="28" w:type="dxa"/>
          <w:right w:w="28" w:type="dxa"/>
        </w:tblCellMar>
      </w:tblPr>
      <w:tblGrid>
        <w:gridCol w:w="1155"/>
        <w:gridCol w:w="1011"/>
        <w:gridCol w:w="1011"/>
        <w:gridCol w:w="391"/>
        <w:gridCol w:w="391"/>
        <w:gridCol w:w="414"/>
        <w:gridCol w:w="461"/>
        <w:gridCol w:w="461"/>
        <w:gridCol w:w="657"/>
      </w:tblGrid>
      <w:tr>
        <w:trPr/>
        <w:tc>
          <w:tcPr>
            <w:tcW w:w="1155"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r>
      <w:tr>
        <w:trPr/>
        <w:tc>
          <w:tcPr>
            <w:tcW w:w="437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47-4257046</w:t>
            </w:r>
          </w:p>
        </w:tc>
      </w:tr>
      <w:tr>
        <w:trPr/>
        <w:tc>
          <w:tcPr>
            <w:tcW w:w="437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w:t>
              <w:br/>
              <w:t>incorporation or organization)</w:t>
            </w:r>
          </w:p>
        </w:tc>
        <w:tc>
          <w:tcPr>
            <w:tcW w:w="15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w:t>
              <w:br/>
              <w:t>Identification No.)</w:t>
            </w:r>
          </w:p>
        </w:tc>
      </w:tr>
      <w:tr>
        <w:trPr/>
        <w:tc>
          <w:tcPr>
            <w:tcW w:w="3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2001 Westside Parkway</w:t>
            </w:r>
          </w:p>
        </w:tc>
        <w:tc>
          <w:tcPr>
            <w:tcW w:w="1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Suite 155</w:t>
            </w:r>
          </w:p>
        </w:tc>
        <w:tc>
          <w:tcPr>
            <w:tcW w:w="1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Alpharetta,</w:t>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Georgia</w:t>
            </w:r>
          </w:p>
        </w:tc>
        <w:tc>
          <w:tcPr>
            <w:tcW w:w="1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30004</w:t>
            </w:r>
          </w:p>
        </w:tc>
      </w:tr>
      <w:tr>
        <w:trPr/>
        <w:tc>
          <w:tcPr>
            <w:tcW w:w="3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11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r>
        <w:trPr/>
        <w:tc>
          <w:tcPr>
            <w:tcW w:w="3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Registrant's telephone number, including area code: (404) 952-2107 </w:t>
            </w:r>
          </w:p>
        </w:tc>
      </w:tr>
      <w:tr>
        <w:trPr/>
        <w:tc>
          <w:tcPr>
            <w:tcW w:w="31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Not applicable</w:t>
            </w:r>
          </w:p>
        </w:tc>
      </w:tr>
      <w:tr>
        <w:trPr/>
        <w:tc>
          <w:tcPr>
            <w:tcW w:w="595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(Former name, former address and former fiscal year, if changed since last report)</w:t>
            </w:r>
          </w:p>
        </w:tc>
      </w:tr>
    </w:tbl>
    <w:p>
      <w:pPr>
        <w:pStyle w:val="TextBody"/>
        <w:bidi w:val="0"/>
        <w:spacing w:lineRule="auto" w:line="288" w:before="100" w:after="24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158" w:type="dxa"/>
        <w:jc w:val="center"/>
        <w:tblInd w:w="0" w:type="dxa"/>
        <w:tblLayout w:type="fixed"/>
        <w:tblCellMar>
          <w:top w:w="28" w:type="dxa"/>
          <w:left w:w="28" w:type="dxa"/>
          <w:bottom w:w="28" w:type="dxa"/>
          <w:right w:w="28" w:type="dxa"/>
        </w:tblCellMar>
      </w:tblPr>
      <w:tblGrid>
        <w:gridCol w:w="1024"/>
        <w:gridCol w:w="900"/>
        <w:gridCol w:w="910"/>
        <w:gridCol w:w="499"/>
        <w:gridCol w:w="499"/>
        <w:gridCol w:w="501"/>
        <w:gridCol w:w="1118"/>
        <w:gridCol w:w="1118"/>
        <w:gridCol w:w="1589"/>
      </w:tblGrid>
      <w:tr>
        <w:trPr/>
        <w:tc>
          <w:tcPr>
            <w:tcW w:w="1024"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4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83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w:t>
            </w:r>
          </w:p>
        </w:tc>
        <w:tc>
          <w:tcPr>
            <w:tcW w:w="149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PRTH</w:t>
            </w:r>
          </w:p>
        </w:tc>
        <w:tc>
          <w:tcPr>
            <w:tcW w:w="38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w:t>
            </w:r>
          </w:p>
        </w:tc>
      </w:tr>
    </w:tbl>
    <w:p>
      <w:pPr>
        <w:pStyle w:val="TextBody"/>
        <w:bidi w:val="0"/>
        <w:spacing w:lineRule="auto" w:line="288" w:before="0" w:after="240"/>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0" w:after="240"/>
        <w:jc w:val="left"/>
        <w:rPr/>
      </w:pPr>
      <w:r>
        <w:rPr>
          <w:color w:val="000000"/>
        </w:rPr>
        <w:t> </w:t>
      </w: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0" w:after="240"/>
        <w:jc w:val="left"/>
        <w:rPr>
          <w:color w:val="000000"/>
        </w:rPr>
      </w:pPr>
      <w:r>
        <w:rPr>
          <w:color w:val="000000"/>
        </w:rPr>
        <w:t>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lineRule="auto" w:line="288" w:before="0" w:after="240"/>
        <w:jc w:val="left"/>
        <w:rPr>
          <w:color w:val="000000"/>
        </w:rPr>
      </w:pPr>
      <w:r>
        <w:rPr>
          <w:color w:val="000000"/>
        </w:rPr>
        <w:t> </w:t>
      </w:r>
    </w:p>
    <w:tbl>
      <w:tblPr>
        <w:tblW w:w="4928"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24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240"/>
        <w:jc w:val="left"/>
        <w:rPr/>
      </w:pPr>
      <w:r>
        <w:rPr>
          <w:color w:val="000000"/>
        </w:rPr>
        <w:t> </w:t>
      </w: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shell company (as defined in Rule 12b-2 of the Exchange Act). </w:t>
      </w:r>
    </w:p>
    <w:p>
      <w:pPr>
        <w:pStyle w:val="TextBody"/>
        <w:bidi w:val="0"/>
        <w:spacing w:lineRule="auto" w:line="288" w:before="0" w:after="240"/>
        <w:jc w:val="left"/>
        <w:rPr/>
      </w:pPr>
      <w:r>
        <w:rPr>
          <w:color w:val="000000"/>
        </w:rPr>
        <w:t> </w:t>
      </w:r>
      <w:r>
        <w:rPr>
          <w:rFonts w:ascii="Times New Roman;serif" w:hAnsi="Times New Roman;serif"/>
          <w:b w:val="false"/>
          <w:color w:val="000000"/>
          <w:sz w:val="20"/>
        </w:rPr>
        <w:t>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0"/>
        </w:rPr>
        <w:t>As of July 31, 2026, the number of the registrant's Common Stock outstanding was 82,440,372.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before="0" w:after="240"/>
        <w:jc w:val="center"/>
        <w:rPr/>
      </w:pPr>
      <w:r>
        <w:rPr/>
      </w:r>
    </w:p>
    <w:tbl>
      <w:tblPr>
        <w:tblW w:w="7801" w:type="dxa"/>
        <w:jc w:val="center"/>
        <w:tblInd w:w="0" w:type="dxa"/>
        <w:tblLayout w:type="fixed"/>
        <w:tblCellMar>
          <w:top w:w="28" w:type="dxa"/>
          <w:left w:w="28" w:type="dxa"/>
          <w:bottom w:w="28" w:type="dxa"/>
          <w:right w:w="28" w:type="dxa"/>
        </w:tblCellMar>
      </w:tblPr>
      <w:tblGrid>
        <w:gridCol w:w="2648"/>
        <w:gridCol w:w="2323"/>
        <w:gridCol w:w="2334"/>
        <w:gridCol w:w="145"/>
        <w:gridCol w:w="145"/>
        <w:gridCol w:w="206"/>
      </w:tblGrid>
      <w:tr>
        <w:trPr/>
        <w:tc>
          <w:tcPr>
            <w:tcW w:w="2648" w:type="dxa"/>
            <w:tcBorders/>
            <w:vAlign w:val="center"/>
          </w:tcPr>
          <w:p>
            <w:pPr>
              <w:pStyle w:val="TableContents"/>
              <w:bidi w:val="0"/>
              <w:spacing w:before="0" w:after="283"/>
              <w:jc w:val="left"/>
              <w:rPr>
                <w:sz w:val="4"/>
                <w:szCs w:val="4"/>
              </w:rPr>
            </w:pPr>
            <w:r>
              <w:rPr>
                <w:sz w:val="4"/>
                <w:szCs w:val="4"/>
              </w:rPr>
            </w:r>
          </w:p>
        </w:tc>
        <w:tc>
          <w:tcPr>
            <w:tcW w:w="2323" w:type="dxa"/>
            <w:tcBorders/>
            <w:vAlign w:val="center"/>
          </w:tcPr>
          <w:p>
            <w:pPr>
              <w:pStyle w:val="TableContents"/>
              <w:bidi w:val="0"/>
              <w:spacing w:before="0" w:after="283"/>
              <w:jc w:val="left"/>
              <w:rPr>
                <w:sz w:val="4"/>
                <w:szCs w:val="4"/>
              </w:rPr>
            </w:pPr>
            <w:r>
              <w:rPr>
                <w:sz w:val="4"/>
                <w:szCs w:val="4"/>
              </w:rPr>
            </w:r>
          </w:p>
        </w:tc>
        <w:tc>
          <w:tcPr>
            <w:tcW w:w="233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7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Page</w:t>
            </w:r>
          </w:p>
        </w:tc>
      </w:tr>
      <w:tr>
        <w:trPr/>
        <w:tc>
          <w:tcPr>
            <w:tcW w:w="73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64e7281e874bc598c371fdf8820f67_10">
              <w:r>
                <w:rPr>
                  <w:rStyle w:val="InternetLink"/>
                  <w:rFonts w:ascii="Times New Roman;serif" w:hAnsi="Times New Roman;serif"/>
                  <w:b w:val="false"/>
                  <w:color w:val="0000FF"/>
                  <w:sz w:val="18"/>
                  <w:u w:val="single"/>
                </w:rPr>
                <w:t>Commonly Used or Defined Terms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64e7281e874bc598c371fdf8820f67_10">
              <w:r>
                <w:rPr>
                  <w:rStyle w:val="InternetLink"/>
                  <w:rFonts w:ascii="Times New Roman;serif" w:hAnsi="Times New Roman;serif"/>
                  <w:b w:val="false"/>
                  <w:color w:val="0000FF"/>
                  <w:sz w:val="18"/>
                  <w:u w:val="single"/>
                </w:rPr>
                <w:t>ii</w:t>
              </w:r>
            </w:hyperlink>
          </w:p>
        </w:tc>
      </w:tr>
      <w:tr>
        <w:trPr/>
        <w:tc>
          <w:tcPr>
            <w:tcW w:w="73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64e7281e874bc598c371fdf8820f67_13">
              <w:r>
                <w:rPr>
                  <w:rStyle w:val="InternetLink"/>
                  <w:rFonts w:ascii="Times New Roman;serif" w:hAnsi="Times New Roman;serif"/>
                  <w:b w:val="false"/>
                  <w:color w:val="0000FF"/>
                  <w:sz w:val="18"/>
                  <w:u w:val="single"/>
                </w:rPr>
                <w:t>PART I. FINANCIAL INFORMATION</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64e7281e874bc598c371fdf8820f67_13">
              <w:r>
                <w:rPr>
                  <w:rStyle w:val="InternetLink"/>
                  <w:rFonts w:ascii="Times New Roman;serif" w:hAnsi="Times New Roman;serif"/>
                  <w:b w:val="false"/>
                  <w:color w:val="0000FF"/>
                  <w:sz w:val="18"/>
                  <w:u w:val="single"/>
                </w:rPr>
                <w:t>1</w:t>
              </w:r>
            </w:hyperlink>
          </w:p>
        </w:tc>
      </w:tr>
      <w:tr>
        <w:trPr/>
        <w:tc>
          <w:tcPr>
            <w:tcW w:w="73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64e7281e874bc598c371fdf8820f67_16">
              <w:r>
                <w:rPr>
                  <w:rStyle w:val="InternetLink"/>
                  <w:rFonts w:ascii="Times New Roman;serif" w:hAnsi="Times New Roman;serif"/>
                  <w:b w:val="false"/>
                  <w:color w:val="0000FF"/>
                  <w:sz w:val="18"/>
                  <w:u w:val="single"/>
                </w:rPr>
                <w:t>Item 1. Financial Statements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64e7281e874bc598c371fdf8820f67_16">
              <w:r>
                <w:rPr>
                  <w:rStyle w:val="InternetLink"/>
                  <w:rFonts w:ascii="Times New Roman;serif" w:hAnsi="Times New Roman;serif"/>
                  <w:b w:val="false"/>
                  <w:color w:val="0000FF"/>
                  <w:sz w:val="18"/>
                  <w:u w:val="single"/>
                </w:rPr>
                <w:t>1</w:t>
              </w:r>
            </w:hyperlink>
          </w:p>
        </w:tc>
      </w:tr>
      <w:tr>
        <w:trPr/>
        <w:tc>
          <w:tcPr>
            <w:tcW w:w="73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64e7281e874bc598c371fdf8820f67_19">
              <w:r>
                <w:rPr>
                  <w:rStyle w:val="InternetLink"/>
                  <w:rFonts w:ascii="Times New Roman;serif" w:hAnsi="Times New Roman;serif"/>
                  <w:b w:val="false"/>
                  <w:color w:val="0000FF"/>
                  <w:sz w:val="18"/>
                  <w:u w:val="single"/>
                </w:rPr>
                <w:t>Unaudited Consolidated Balance Sheets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64e7281e874bc598c371fdf8820f67_19">
              <w:r>
                <w:rPr>
                  <w:rStyle w:val="InternetLink"/>
                  <w:rFonts w:ascii="Times New Roman;serif" w:hAnsi="Times New Roman;serif"/>
                  <w:b w:val="false"/>
                  <w:color w:val="0000FF"/>
                  <w:sz w:val="18"/>
                  <w:u w:val="single"/>
                </w:rPr>
                <w:t>1</w:t>
              </w:r>
            </w:hyperlink>
          </w:p>
        </w:tc>
      </w:tr>
      <w:tr>
        <w:trPr/>
        <w:tc>
          <w:tcPr>
            <w:tcW w:w="73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64e7281e874bc598c371fdf8820f67_22">
              <w:r>
                <w:rPr>
                  <w:rStyle w:val="InternetLink"/>
                  <w:rFonts w:ascii="Times New Roman;serif" w:hAnsi="Times New Roman;serif"/>
                  <w:b w:val="false"/>
                  <w:color w:val="0000FF"/>
                  <w:sz w:val="18"/>
                  <w:u w:val="single"/>
                </w:rPr>
                <w:t xml:space="preserve">Unaudited Consolidated Statements of Operations and Comprehensive Income </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64e7281e874bc598c371fdf8820f67_22">
              <w:r>
                <w:rPr>
                  <w:rStyle w:val="InternetLink"/>
                  <w:rFonts w:ascii="Times New Roman;serif" w:hAnsi="Times New Roman;serif"/>
                  <w:b w:val="false"/>
                  <w:color w:val="0000FF"/>
                  <w:sz w:val="18"/>
                  <w:u w:val="single"/>
                </w:rPr>
                <w:t>2</w:t>
              </w:r>
            </w:hyperlink>
          </w:p>
        </w:tc>
      </w:tr>
      <w:tr>
        <w:trPr/>
        <w:tc>
          <w:tcPr>
            <w:tcW w:w="73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64e7281e874bc598c371fdf8820f67_25">
              <w:r>
                <w:rPr>
                  <w:rStyle w:val="InternetLink"/>
                  <w:rFonts w:ascii="Times New Roman;serif" w:hAnsi="Times New Roman;serif"/>
                  <w:b w:val="false"/>
                  <w:color w:val="0000FF"/>
                  <w:sz w:val="18"/>
                  <w:u w:val="single"/>
                </w:rPr>
                <w:t>Unaudited Consolidated Statements of Changes in Stockholders' Deficit and Non-Controlling Interest</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64e7281e874bc598c371fdf8820f67_25">
              <w:r>
                <w:rPr>
                  <w:rStyle w:val="InternetLink"/>
                  <w:rFonts w:ascii="Times New Roman;serif" w:hAnsi="Times New Roman;serif"/>
                  <w:b w:val="false"/>
                  <w:color w:val="0000FF"/>
                  <w:sz w:val="18"/>
                  <w:u w:val="single"/>
                </w:rPr>
                <w:t>3</w:t>
              </w:r>
            </w:hyperlink>
          </w:p>
        </w:tc>
      </w:tr>
      <w:tr>
        <w:trPr/>
        <w:tc>
          <w:tcPr>
            <w:tcW w:w="73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64e7281e874bc598c371fdf8820f67_28">
              <w:r>
                <w:rPr>
                  <w:rStyle w:val="InternetLink"/>
                  <w:rFonts w:ascii="Times New Roman;serif" w:hAnsi="Times New Roman;serif"/>
                  <w:b w:val="false"/>
                  <w:color w:val="0000FF"/>
                  <w:sz w:val="18"/>
                  <w:u w:val="single"/>
                </w:rPr>
                <w:t>Unaudited Consolidated Statements of Cash Flows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64e7281e874bc598c371fdf8820f67_28">
              <w:r>
                <w:rPr>
                  <w:rStyle w:val="InternetLink"/>
                  <w:rFonts w:ascii="Times New Roman;serif" w:hAnsi="Times New Roman;serif"/>
                  <w:b w:val="false"/>
                  <w:color w:val="0000FF"/>
                  <w:sz w:val="18"/>
                  <w:u w:val="single"/>
                </w:rPr>
                <w:t>5</w:t>
              </w:r>
            </w:hyperlink>
          </w:p>
        </w:tc>
      </w:tr>
      <w:tr>
        <w:trPr/>
        <w:tc>
          <w:tcPr>
            <w:tcW w:w="73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64e7281e874bc598c371fdf8820f67_31">
              <w:r>
                <w:rPr>
                  <w:rStyle w:val="InternetLink"/>
                  <w:rFonts w:ascii="Times New Roman;serif" w:hAnsi="Times New Roman;serif"/>
                  <w:b w:val="false"/>
                  <w:color w:val="0000FF"/>
                  <w:sz w:val="18"/>
                  <w:u w:val="single"/>
                </w:rPr>
                <w:t>Notes to Unaudited Consolidated Financial Statements</w:t>
              </w:r>
            </w:hyperlink>
            <w:r>
              <w:rPr>
                <w:rFonts w:ascii="Times New Roman;serif" w:hAnsi="Times New Roman;serif"/>
                <w:b w:val="false"/>
                <w:color w:val="000000"/>
                <w:sz w:val="18"/>
              </w:rPr>
              <w:t>:</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64e7281e874bc598c371fdf8820f67_31">
              <w:r>
                <w:rPr>
                  <w:rStyle w:val="InternetLink"/>
                  <w:rFonts w:ascii="Times New Roman;serif" w:hAnsi="Times New Roman;serif"/>
                  <w:b w:val="false"/>
                  <w:color w:val="0000FF"/>
                  <w:sz w:val="18"/>
                  <w:u w:val="single"/>
                </w:rPr>
                <w:t>7</w:t>
              </w:r>
            </w:hyperlink>
          </w:p>
        </w:tc>
      </w:tr>
      <w:tr>
        <w:trPr/>
        <w:tc>
          <w:tcPr>
            <w:tcW w:w="73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64e7281e874bc598c371fdf8820f67_34">
              <w:r>
                <w:rPr>
                  <w:rStyle w:val="InternetLink"/>
                  <w:rFonts w:ascii="Times New Roman;serif" w:hAnsi="Times New Roman;serif"/>
                  <w:b w:val="false"/>
                  <w:color w:val="0000FF"/>
                  <w:sz w:val="18"/>
                  <w:u w:val="single"/>
                </w:rPr>
                <w:t>1. Basis of Presentation and Significant Accounting Policies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64e7281e874bc598c371fdf8820f67_34">
              <w:r>
                <w:rPr>
                  <w:rStyle w:val="InternetLink"/>
                  <w:rFonts w:ascii="Times New Roman;serif" w:hAnsi="Times New Roman;serif"/>
                  <w:b w:val="false"/>
                  <w:color w:val="0000FF"/>
                  <w:sz w:val="18"/>
                  <w:u w:val="single"/>
                </w:rPr>
                <w:t>7</w:t>
              </w:r>
            </w:hyperlink>
          </w:p>
        </w:tc>
      </w:tr>
      <w:tr>
        <w:trPr/>
        <w:tc>
          <w:tcPr>
            <w:tcW w:w="73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64e7281e874bc598c371fdf8820f67_37">
              <w:r>
                <w:rPr>
                  <w:rStyle w:val="InternetLink"/>
                  <w:rFonts w:ascii="Times New Roman;serif" w:hAnsi="Times New Roman;serif"/>
                  <w:b w:val="false"/>
                  <w:color w:val="0000FF"/>
                  <w:sz w:val="18"/>
                  <w:u w:val="single"/>
                </w:rPr>
                <w:t>2. Acquisitions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64e7281e874bc598c371fdf8820f67_37">
              <w:r>
                <w:rPr>
                  <w:rStyle w:val="InternetLink"/>
                  <w:rFonts w:ascii="Times New Roman;serif" w:hAnsi="Times New Roman;serif"/>
                  <w:b w:val="false"/>
                  <w:color w:val="0000FF"/>
                  <w:sz w:val="18"/>
                  <w:u w:val="single"/>
                </w:rPr>
                <w:t>9</w:t>
              </w:r>
            </w:hyperlink>
          </w:p>
        </w:tc>
      </w:tr>
      <w:tr>
        <w:trPr/>
        <w:tc>
          <w:tcPr>
            <w:tcW w:w="73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64e7281e874bc598c371fdf8820f67_46">
              <w:r>
                <w:rPr>
                  <w:rStyle w:val="InternetLink"/>
                  <w:rFonts w:ascii="Times New Roman;serif" w:hAnsi="Times New Roman;serif"/>
                  <w:b w:val="false"/>
                  <w:color w:val="0000FF"/>
                  <w:sz w:val="18"/>
                  <w:u w:val="single"/>
                </w:rPr>
                <w:t>3. Revenues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64e7281e874bc598c371fdf8820f67_46">
              <w:r>
                <w:rPr>
                  <w:rStyle w:val="InternetLink"/>
                  <w:rFonts w:ascii="Times New Roman;serif" w:hAnsi="Times New Roman;serif"/>
                  <w:b w:val="false"/>
                  <w:color w:val="0000FF"/>
                  <w:sz w:val="18"/>
                  <w:u w:val="single"/>
                </w:rPr>
                <w:t>13</w:t>
              </w:r>
            </w:hyperlink>
          </w:p>
        </w:tc>
      </w:tr>
      <w:tr>
        <w:trPr/>
        <w:tc>
          <w:tcPr>
            <w:tcW w:w="73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64e7281e874bc598c371fdf8820f67_49">
              <w:r>
                <w:rPr>
                  <w:rStyle w:val="InternetLink"/>
                  <w:rFonts w:ascii="Times New Roman;serif" w:hAnsi="Times New Roman;serif"/>
                  <w:b w:val="false"/>
                  <w:color w:val="0000FF"/>
                  <w:sz w:val="18"/>
                  <w:u w:val="single"/>
                </w:rPr>
                <w:t>4. Settlement Assets and Obligations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64e7281e874bc598c371fdf8820f67_49">
              <w:r>
                <w:rPr>
                  <w:rStyle w:val="InternetLink"/>
                  <w:rFonts w:ascii="Times New Roman;serif" w:hAnsi="Times New Roman;serif"/>
                  <w:b w:val="false"/>
                  <w:color w:val="0000FF"/>
                  <w:sz w:val="18"/>
                  <w:u w:val="single"/>
                </w:rPr>
                <w:t>14</w:t>
              </w:r>
            </w:hyperlink>
          </w:p>
        </w:tc>
      </w:tr>
      <w:tr>
        <w:trPr/>
        <w:tc>
          <w:tcPr>
            <w:tcW w:w="73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64e7281e874bc598c371fdf8820f67_52">
              <w:r>
                <w:rPr>
                  <w:rStyle w:val="InternetLink"/>
                  <w:rFonts w:ascii="Times New Roman;serif" w:hAnsi="Times New Roman;serif"/>
                  <w:b w:val="false"/>
                  <w:color w:val="0000FF"/>
                  <w:sz w:val="18"/>
                  <w:u w:val="single"/>
                </w:rPr>
                <w:t>5. Notes Receivable</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64e7281e874bc598c371fdf8820f67_52">
              <w:r>
                <w:rPr>
                  <w:rStyle w:val="InternetLink"/>
                  <w:rFonts w:ascii="Times New Roman;serif" w:hAnsi="Times New Roman;serif"/>
                  <w:b w:val="false"/>
                  <w:color w:val="0000FF"/>
                  <w:sz w:val="18"/>
                  <w:u w:val="single"/>
                </w:rPr>
                <w:t>16</w:t>
              </w:r>
            </w:hyperlink>
          </w:p>
        </w:tc>
      </w:tr>
      <w:tr>
        <w:trPr/>
        <w:tc>
          <w:tcPr>
            <w:tcW w:w="73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64e7281e874bc598c371fdf8820f67_55">
              <w:r>
                <w:rPr>
                  <w:rStyle w:val="InternetLink"/>
                  <w:rFonts w:ascii="Times New Roman;serif" w:hAnsi="Times New Roman;serif"/>
                  <w:b w:val="false"/>
                  <w:color w:val="0000FF"/>
                  <w:sz w:val="18"/>
                  <w:u w:val="single"/>
                </w:rPr>
                <w:t>6. Property, Equipment and Software</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64e7281e874bc598c371fdf8820f67_55">
              <w:r>
                <w:rPr>
                  <w:rStyle w:val="InternetLink"/>
                  <w:rFonts w:ascii="Times New Roman;serif" w:hAnsi="Times New Roman;serif"/>
                  <w:b w:val="false"/>
                  <w:color w:val="0000FF"/>
                  <w:sz w:val="18"/>
                  <w:u w:val="single"/>
                </w:rPr>
                <w:t>17</w:t>
              </w:r>
            </w:hyperlink>
          </w:p>
        </w:tc>
      </w:tr>
      <w:tr>
        <w:trPr/>
        <w:tc>
          <w:tcPr>
            <w:tcW w:w="73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64e7281e874bc598c371fdf8820f67_58">
              <w:r>
                <w:rPr>
                  <w:rStyle w:val="InternetLink"/>
                  <w:rFonts w:ascii="Times New Roman;serif" w:hAnsi="Times New Roman;serif"/>
                  <w:b w:val="false"/>
                  <w:color w:val="0000FF"/>
                  <w:sz w:val="18"/>
                  <w:u w:val="single"/>
                </w:rPr>
                <w:t>7. Goodwill and Intangible Assets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64e7281e874bc598c371fdf8820f67_58">
              <w:r>
                <w:rPr>
                  <w:rStyle w:val="InternetLink"/>
                  <w:rFonts w:ascii="Times New Roman;serif" w:hAnsi="Times New Roman;serif"/>
                  <w:b w:val="false"/>
                  <w:color w:val="0000FF"/>
                  <w:sz w:val="18"/>
                  <w:u w:val="single"/>
                </w:rPr>
                <w:t>18</w:t>
              </w:r>
            </w:hyperlink>
          </w:p>
        </w:tc>
      </w:tr>
      <w:tr>
        <w:trPr/>
        <w:tc>
          <w:tcPr>
            <w:tcW w:w="73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64e7281e874bc598c371fdf8820f67_61">
              <w:r>
                <w:rPr>
                  <w:rStyle w:val="InternetLink"/>
                  <w:rFonts w:ascii="Times New Roman;serif" w:hAnsi="Times New Roman;serif"/>
                  <w:b w:val="false"/>
                  <w:color w:val="0000FF"/>
                  <w:sz w:val="18"/>
                  <w:u w:val="single"/>
                </w:rPr>
                <w:t>8. Debt Obligations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64e7281e874bc598c371fdf8820f67_61">
              <w:r>
                <w:rPr>
                  <w:rStyle w:val="InternetLink"/>
                  <w:rFonts w:ascii="Times New Roman;serif" w:hAnsi="Times New Roman;serif"/>
                  <w:b w:val="false"/>
                  <w:color w:val="0000FF"/>
                  <w:sz w:val="18"/>
                  <w:u w:val="single"/>
                </w:rPr>
                <w:t>19</w:t>
              </w:r>
            </w:hyperlink>
          </w:p>
        </w:tc>
      </w:tr>
      <w:tr>
        <w:trPr/>
        <w:tc>
          <w:tcPr>
            <w:tcW w:w="7305"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r>
      <w:tr>
        <w:trPr/>
        <w:tc>
          <w:tcPr>
            <w:tcW w:w="73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64e7281e874bc598c371fdf8820f67_73">
              <w:r>
                <w:rPr>
                  <w:rStyle w:val="InternetLink"/>
                  <w:rFonts w:ascii="Times New Roman;serif" w:hAnsi="Times New Roman;serif"/>
                  <w:b w:val="false"/>
                  <w:color w:val="0000FF"/>
                  <w:sz w:val="18"/>
                  <w:u w:val="single"/>
                </w:rPr>
                <w:t>9. Income Taxes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64e7281e874bc598c371fdf8820f67_73">
              <w:r>
                <w:rPr>
                  <w:rStyle w:val="InternetLink"/>
                  <w:rFonts w:ascii="Times New Roman;serif" w:hAnsi="Times New Roman;serif"/>
                  <w:b w:val="false"/>
                  <w:color w:val="0000FF"/>
                  <w:sz w:val="18"/>
                  <w:u w:val="single"/>
                </w:rPr>
                <w:t>20</w:t>
              </w:r>
            </w:hyperlink>
          </w:p>
        </w:tc>
      </w:tr>
      <w:tr>
        <w:trPr/>
        <w:tc>
          <w:tcPr>
            <w:tcW w:w="73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64e7281e874bc598c371fdf8820f67_76">
              <w:r>
                <w:rPr>
                  <w:rStyle w:val="InternetLink"/>
                  <w:rFonts w:ascii="Times New Roman;serif" w:hAnsi="Times New Roman;serif"/>
                  <w:b w:val="false"/>
                  <w:color w:val="0000FF"/>
                  <w:sz w:val="18"/>
                  <w:u w:val="single"/>
                </w:rPr>
                <w:t>10. Stockholders' Deficit</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64e7281e874bc598c371fdf8820f67_76">
              <w:r>
                <w:rPr>
                  <w:rStyle w:val="InternetLink"/>
                  <w:rFonts w:ascii="Times New Roman;serif" w:hAnsi="Times New Roman;serif"/>
                  <w:b w:val="false"/>
                  <w:color w:val="0000FF"/>
                  <w:sz w:val="18"/>
                  <w:u w:val="single"/>
                </w:rPr>
                <w:t>21</w:t>
              </w:r>
            </w:hyperlink>
          </w:p>
        </w:tc>
      </w:tr>
      <w:tr>
        <w:trPr/>
        <w:tc>
          <w:tcPr>
            <w:tcW w:w="73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64e7281e874bc598c371fdf8820f67_79">
              <w:r>
                <w:rPr>
                  <w:rStyle w:val="InternetLink"/>
                  <w:rFonts w:ascii="Times New Roman;serif" w:hAnsi="Times New Roman;serif"/>
                  <w:b w:val="false"/>
                  <w:color w:val="0000FF"/>
                  <w:sz w:val="18"/>
                  <w:u w:val="single"/>
                </w:rPr>
                <w:t>11. Stock-based Compensation</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64e7281e874bc598c371fdf8820f67_79">
              <w:r>
                <w:rPr>
                  <w:rStyle w:val="InternetLink"/>
                  <w:rFonts w:ascii="Times New Roman;serif" w:hAnsi="Times New Roman;serif"/>
                  <w:b w:val="false"/>
                  <w:color w:val="0000FF"/>
                  <w:sz w:val="18"/>
                  <w:u w:val="single"/>
                </w:rPr>
                <w:t>21</w:t>
              </w:r>
            </w:hyperlink>
          </w:p>
        </w:tc>
      </w:tr>
      <w:tr>
        <w:trPr/>
        <w:tc>
          <w:tcPr>
            <w:tcW w:w="7305"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r>
      <w:tr>
        <w:trPr/>
        <w:tc>
          <w:tcPr>
            <w:tcW w:w="73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64e7281e874bc598c371fdf8820f67_82">
              <w:r>
                <w:rPr>
                  <w:rStyle w:val="InternetLink"/>
                  <w:rFonts w:ascii="Times New Roman;serif" w:hAnsi="Times New Roman;serif"/>
                  <w:b w:val="false"/>
                  <w:color w:val="0000FF"/>
                  <w:sz w:val="18"/>
                  <w:u w:val="single"/>
                </w:rPr>
                <w:t>12. Commitments and Contingencies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64e7281e874bc598c371fdf8820f67_82">
              <w:r>
                <w:rPr>
                  <w:rStyle w:val="InternetLink"/>
                  <w:rFonts w:ascii="Times New Roman;serif" w:hAnsi="Times New Roman;serif"/>
                  <w:b w:val="false"/>
                  <w:color w:val="0000FF"/>
                  <w:sz w:val="18"/>
                  <w:u w:val="single"/>
                </w:rPr>
                <w:t>22</w:t>
              </w:r>
            </w:hyperlink>
          </w:p>
        </w:tc>
      </w:tr>
      <w:tr>
        <w:trPr/>
        <w:tc>
          <w:tcPr>
            <w:tcW w:w="73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64e7281e874bc598c371fdf8820f67_85">
              <w:r>
                <w:rPr>
                  <w:rStyle w:val="InternetLink"/>
                  <w:rFonts w:ascii="Times New Roman;serif" w:hAnsi="Times New Roman;serif"/>
                  <w:b w:val="false"/>
                  <w:color w:val="0000FF"/>
                  <w:sz w:val="18"/>
                  <w:u w:val="single"/>
                </w:rPr>
                <w:t>13. Fair Value</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64e7281e874bc598c371fdf8820f67_85">
              <w:r>
                <w:rPr>
                  <w:rStyle w:val="InternetLink"/>
                  <w:rFonts w:ascii="Times New Roman;serif" w:hAnsi="Times New Roman;serif"/>
                  <w:b w:val="false"/>
                  <w:color w:val="0000FF"/>
                  <w:sz w:val="18"/>
                  <w:u w:val="single"/>
                </w:rPr>
                <w:t>24</w:t>
              </w:r>
            </w:hyperlink>
          </w:p>
        </w:tc>
      </w:tr>
      <w:tr>
        <w:trPr/>
        <w:tc>
          <w:tcPr>
            <w:tcW w:w="73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64e7281e874bc598c371fdf8820f67_88">
              <w:r>
                <w:rPr>
                  <w:rStyle w:val="InternetLink"/>
                  <w:rFonts w:ascii="Times New Roman;serif" w:hAnsi="Times New Roman;serif"/>
                  <w:b w:val="false"/>
                  <w:color w:val="0000FF"/>
                  <w:sz w:val="18"/>
                  <w:u w:val="single"/>
                </w:rPr>
                <w:t>14. Segment Information</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64e7281e874bc598c371fdf8820f67_88">
              <w:r>
                <w:rPr>
                  <w:rStyle w:val="InternetLink"/>
                  <w:rFonts w:ascii="Times New Roman;serif" w:hAnsi="Times New Roman;serif"/>
                  <w:b w:val="false"/>
                  <w:color w:val="0000FF"/>
                  <w:sz w:val="18"/>
                  <w:u w:val="single"/>
                </w:rPr>
                <w:t>25</w:t>
              </w:r>
            </w:hyperlink>
          </w:p>
        </w:tc>
      </w:tr>
      <w:tr>
        <w:trPr/>
        <w:tc>
          <w:tcPr>
            <w:tcW w:w="73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64e7281e874bc598c371fdf8820f67_91">
              <w:r>
                <w:rPr>
                  <w:rStyle w:val="InternetLink"/>
                  <w:rFonts w:ascii="Times New Roman;serif" w:hAnsi="Times New Roman;serif"/>
                  <w:b w:val="false"/>
                  <w:color w:val="0000FF"/>
                  <w:sz w:val="18"/>
                  <w:u w:val="single"/>
                </w:rPr>
                <w:t>15. Earnings per Common Share</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64e7281e874bc598c371fdf8820f67_91">
              <w:r>
                <w:rPr>
                  <w:rStyle w:val="InternetLink"/>
                  <w:rFonts w:ascii="Times New Roman;serif" w:hAnsi="Times New Roman;serif"/>
                  <w:b w:val="false"/>
                  <w:color w:val="0000FF"/>
                  <w:sz w:val="18"/>
                  <w:u w:val="single"/>
                </w:rPr>
                <w:t>30</w:t>
              </w:r>
            </w:hyperlink>
          </w:p>
        </w:tc>
      </w:tr>
      <w:tr>
        <w:trPr/>
        <w:tc>
          <w:tcPr>
            <w:tcW w:w="73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64e7281e874bc598c371fdf8820f67_94">
              <w:r>
                <w:rPr>
                  <w:rStyle w:val="InternetLink"/>
                  <w:rFonts w:ascii="Times New Roman;serif" w:hAnsi="Times New Roman;serif"/>
                  <w:b w:val="false"/>
                  <w:color w:val="0000FF"/>
                  <w:sz w:val="18"/>
                  <w:u w:val="single"/>
                </w:rPr>
                <w:t>16. Subsequent Events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64e7281e874bc598c371fdf8820f67_94">
              <w:r>
                <w:rPr>
                  <w:rStyle w:val="InternetLink"/>
                  <w:rFonts w:ascii="Times New Roman;serif" w:hAnsi="Times New Roman;serif"/>
                  <w:b w:val="false"/>
                  <w:color w:val="0000FF"/>
                  <w:sz w:val="18"/>
                  <w:u w:val="single"/>
                </w:rPr>
                <w:t>30</w:t>
              </w:r>
            </w:hyperlink>
          </w:p>
        </w:tc>
      </w:tr>
      <w:tr>
        <w:trPr/>
        <w:tc>
          <w:tcPr>
            <w:tcW w:w="73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64e7281e874bc598c371fdf8820f67_112">
              <w:r>
                <w:rPr>
                  <w:rStyle w:val="InternetLink"/>
                  <w:rFonts w:ascii="Times New Roman;serif" w:hAnsi="Times New Roman;serif"/>
                  <w:b w:val="false"/>
                  <w:color w:val="0000FF"/>
                  <w:sz w:val="18"/>
                  <w:u w:val="single"/>
                </w:rPr>
                <w:t>Item 2. Management's Discussion and Analysis of Financial Condition and Results of Operations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64e7281e874bc598c371fdf8820f67_112">
              <w:r>
                <w:rPr>
                  <w:rStyle w:val="InternetLink"/>
                  <w:rFonts w:ascii="Times New Roman;serif" w:hAnsi="Times New Roman;serif"/>
                  <w:b w:val="false"/>
                  <w:color w:val="0000FF"/>
                  <w:sz w:val="18"/>
                  <w:u w:val="single"/>
                </w:rPr>
                <w:t>31</w:t>
              </w:r>
            </w:hyperlink>
          </w:p>
        </w:tc>
      </w:tr>
      <w:tr>
        <w:trPr/>
        <w:tc>
          <w:tcPr>
            <w:tcW w:w="73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64e7281e874bc598c371fdf8820f67_139">
              <w:r>
                <w:rPr>
                  <w:rStyle w:val="InternetLink"/>
                  <w:rFonts w:ascii="Times New Roman;serif" w:hAnsi="Times New Roman;serif"/>
                  <w:b w:val="false"/>
                  <w:color w:val="0000FF"/>
                  <w:sz w:val="18"/>
                  <w:u w:val="single"/>
                </w:rPr>
                <w:t>Item 3. Qualitative and Quantitative Disclosures about Market Risk</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64e7281e874bc598c371fdf8820f67_139">
              <w:r>
                <w:rPr>
                  <w:rStyle w:val="InternetLink"/>
                  <w:rFonts w:ascii="Times New Roman;serif" w:hAnsi="Times New Roman;serif"/>
                  <w:b w:val="false"/>
                  <w:color w:val="0000FF"/>
                  <w:sz w:val="18"/>
                  <w:u w:val="single"/>
                </w:rPr>
                <w:t>42</w:t>
              </w:r>
            </w:hyperlink>
          </w:p>
        </w:tc>
      </w:tr>
      <w:tr>
        <w:trPr/>
        <w:tc>
          <w:tcPr>
            <w:tcW w:w="73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64e7281e874bc598c371fdf8820f67_142">
              <w:r>
                <w:rPr>
                  <w:rStyle w:val="InternetLink"/>
                  <w:rFonts w:ascii="Times New Roman;serif" w:hAnsi="Times New Roman;serif"/>
                  <w:b w:val="false"/>
                  <w:color w:val="0000FF"/>
                  <w:sz w:val="18"/>
                  <w:u w:val="single"/>
                </w:rPr>
                <w:t>Item 4. Controls and Procedures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64e7281e874bc598c371fdf8820f67_142">
              <w:r>
                <w:rPr>
                  <w:rStyle w:val="InternetLink"/>
                  <w:rFonts w:ascii="Times New Roman;serif" w:hAnsi="Times New Roman;serif"/>
                  <w:b w:val="false"/>
                  <w:color w:val="0000FF"/>
                  <w:sz w:val="18"/>
                  <w:u w:val="single"/>
                </w:rPr>
                <w:t>42</w:t>
              </w:r>
            </w:hyperlink>
          </w:p>
        </w:tc>
      </w:tr>
      <w:tr>
        <w:trPr/>
        <w:tc>
          <w:tcPr>
            <w:tcW w:w="73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64e7281e874bc598c371fdf8820f67_145">
              <w:r>
                <w:rPr>
                  <w:rStyle w:val="InternetLink"/>
                  <w:rFonts w:ascii="Times New Roman;serif" w:hAnsi="Times New Roman;serif"/>
                  <w:b w:val="false"/>
                  <w:color w:val="0000FF"/>
                  <w:sz w:val="18"/>
                  <w:u w:val="single"/>
                </w:rPr>
                <w:t>PART II. OTHER INFORMATION</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64e7281e874bc598c371fdf8820f67_145">
              <w:r>
                <w:rPr>
                  <w:rStyle w:val="InternetLink"/>
                  <w:rFonts w:ascii="Times New Roman;serif" w:hAnsi="Times New Roman;serif"/>
                  <w:b w:val="false"/>
                  <w:color w:val="0000FF"/>
                  <w:sz w:val="18"/>
                  <w:u w:val="single"/>
                </w:rPr>
                <w:t>43</w:t>
              </w:r>
            </w:hyperlink>
          </w:p>
        </w:tc>
      </w:tr>
      <w:tr>
        <w:trPr/>
        <w:tc>
          <w:tcPr>
            <w:tcW w:w="73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64e7281e874bc598c371fdf8820f67_148">
              <w:r>
                <w:rPr>
                  <w:rStyle w:val="InternetLink"/>
                  <w:rFonts w:ascii="Times New Roman;serif" w:hAnsi="Times New Roman;serif"/>
                  <w:b w:val="false"/>
                  <w:color w:val="0000FF"/>
                  <w:sz w:val="18"/>
                  <w:u w:val="single"/>
                </w:rPr>
                <w:t>Item 1. Legal Proceedings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64e7281e874bc598c371fdf8820f67_148">
              <w:r>
                <w:rPr>
                  <w:rStyle w:val="InternetLink"/>
                  <w:rFonts w:ascii="Times New Roman;serif" w:hAnsi="Times New Roman;serif"/>
                  <w:b w:val="false"/>
                  <w:color w:val="0000FF"/>
                  <w:sz w:val="18"/>
                  <w:u w:val="single"/>
                </w:rPr>
                <w:t>43</w:t>
              </w:r>
            </w:hyperlink>
          </w:p>
        </w:tc>
      </w:tr>
      <w:tr>
        <w:trPr/>
        <w:tc>
          <w:tcPr>
            <w:tcW w:w="73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64e7281e874bc598c371fdf8820f67_151">
              <w:r>
                <w:rPr>
                  <w:rStyle w:val="InternetLink"/>
                  <w:rFonts w:ascii="Times New Roman;serif" w:hAnsi="Times New Roman;serif"/>
                  <w:b w:val="false"/>
                  <w:color w:val="0000FF"/>
                  <w:sz w:val="18"/>
                  <w:u w:val="single"/>
                </w:rPr>
                <w:t>Item 1A. Risk Factors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64e7281e874bc598c371fdf8820f67_151">
              <w:r>
                <w:rPr>
                  <w:rStyle w:val="InternetLink"/>
                  <w:rFonts w:ascii="Times New Roman;serif" w:hAnsi="Times New Roman;serif"/>
                  <w:b w:val="false"/>
                  <w:color w:val="0000FF"/>
                  <w:sz w:val="18"/>
                  <w:u w:val="single"/>
                </w:rPr>
                <w:t>43</w:t>
              </w:r>
            </w:hyperlink>
          </w:p>
        </w:tc>
      </w:tr>
      <w:tr>
        <w:trPr/>
        <w:tc>
          <w:tcPr>
            <w:tcW w:w="73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64e7281e874bc598c371fdf8820f67_154">
              <w:r>
                <w:rPr>
                  <w:rStyle w:val="InternetLink"/>
                  <w:rFonts w:ascii="Times New Roman;serif" w:hAnsi="Times New Roman;serif"/>
                  <w:b w:val="false"/>
                  <w:color w:val="0000FF"/>
                  <w:sz w:val="18"/>
                  <w:u w:val="single"/>
                </w:rPr>
                <w:t>Item 2. Unregistered Sales of Equity Securities and Use of Proceeds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64e7281e874bc598c371fdf8820f67_154">
              <w:r>
                <w:rPr>
                  <w:rStyle w:val="InternetLink"/>
                  <w:rFonts w:ascii="Times New Roman;serif" w:hAnsi="Times New Roman;serif"/>
                  <w:b w:val="false"/>
                  <w:color w:val="0000FF"/>
                  <w:sz w:val="18"/>
                  <w:u w:val="single"/>
                </w:rPr>
                <w:t>43</w:t>
              </w:r>
            </w:hyperlink>
          </w:p>
        </w:tc>
      </w:tr>
      <w:tr>
        <w:trPr/>
        <w:tc>
          <w:tcPr>
            <w:tcW w:w="73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64e7281e874bc598c371fdf8820f67_157">
              <w:r>
                <w:rPr>
                  <w:rStyle w:val="InternetLink"/>
                  <w:rFonts w:ascii="Times New Roman;serif" w:hAnsi="Times New Roman;serif"/>
                  <w:b w:val="false"/>
                  <w:color w:val="0000FF"/>
                  <w:sz w:val="18"/>
                  <w:u w:val="single"/>
                </w:rPr>
                <w:t>Item 3. Defaults Upon Senior Securities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64e7281e874bc598c371fdf8820f67_157">
              <w:r>
                <w:rPr>
                  <w:rStyle w:val="InternetLink"/>
                  <w:rFonts w:ascii="Times New Roman;serif" w:hAnsi="Times New Roman;serif"/>
                  <w:b w:val="false"/>
                  <w:color w:val="0000FF"/>
                  <w:sz w:val="18"/>
                  <w:u w:val="single"/>
                </w:rPr>
                <w:t>43</w:t>
              </w:r>
            </w:hyperlink>
          </w:p>
        </w:tc>
      </w:tr>
      <w:tr>
        <w:trPr/>
        <w:tc>
          <w:tcPr>
            <w:tcW w:w="73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64e7281e874bc598c371fdf8820f67_160">
              <w:r>
                <w:rPr>
                  <w:rStyle w:val="InternetLink"/>
                  <w:rFonts w:ascii="Times New Roman;serif" w:hAnsi="Times New Roman;serif"/>
                  <w:b w:val="false"/>
                  <w:color w:val="0000FF"/>
                  <w:sz w:val="18"/>
                  <w:u w:val="single"/>
                </w:rPr>
                <w:t>Item 4. Mine Safety Disclosures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64e7281e874bc598c371fdf8820f67_160">
              <w:r>
                <w:rPr>
                  <w:rStyle w:val="InternetLink"/>
                  <w:rFonts w:ascii="Times New Roman;serif" w:hAnsi="Times New Roman;serif"/>
                  <w:b w:val="false"/>
                  <w:color w:val="0000FF"/>
                  <w:sz w:val="18"/>
                  <w:u w:val="single"/>
                </w:rPr>
                <w:t>43</w:t>
              </w:r>
            </w:hyperlink>
          </w:p>
        </w:tc>
      </w:tr>
      <w:tr>
        <w:trPr/>
        <w:tc>
          <w:tcPr>
            <w:tcW w:w="73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64e7281e874bc598c371fdf8820f67_163">
              <w:r>
                <w:rPr>
                  <w:rStyle w:val="InternetLink"/>
                  <w:rFonts w:ascii="Times New Roman;serif" w:hAnsi="Times New Roman;serif"/>
                  <w:b w:val="false"/>
                  <w:color w:val="0000FF"/>
                  <w:sz w:val="18"/>
                  <w:u w:val="single"/>
                </w:rPr>
                <w:t>Item 5. Other Information</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64e7281e874bc598c371fdf8820f67_163">
              <w:r>
                <w:rPr>
                  <w:rStyle w:val="InternetLink"/>
                  <w:rFonts w:ascii="Times New Roman;serif" w:hAnsi="Times New Roman;serif"/>
                  <w:b w:val="false"/>
                  <w:color w:val="0000FF"/>
                  <w:sz w:val="18"/>
                  <w:u w:val="single"/>
                </w:rPr>
                <w:t>43</w:t>
              </w:r>
            </w:hyperlink>
          </w:p>
        </w:tc>
      </w:tr>
      <w:tr>
        <w:trPr/>
        <w:tc>
          <w:tcPr>
            <w:tcW w:w="73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64e7281e874bc598c371fdf8820f67_169">
              <w:r>
                <w:rPr>
                  <w:rStyle w:val="InternetLink"/>
                  <w:rFonts w:ascii="Times New Roman;serif" w:hAnsi="Times New Roman;serif"/>
                  <w:b w:val="false"/>
                  <w:color w:val="0000FF"/>
                  <w:sz w:val="18"/>
                  <w:u w:val="single"/>
                </w:rPr>
                <w:t>Item 6. Exhibits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64e7281e874bc598c371fdf8820f67_169">
              <w:r>
                <w:rPr>
                  <w:rStyle w:val="InternetLink"/>
                  <w:rFonts w:ascii="Times New Roman;serif" w:hAnsi="Times New Roman;serif"/>
                  <w:b w:val="false"/>
                  <w:color w:val="0000FF"/>
                  <w:sz w:val="18"/>
                  <w:u w:val="single"/>
                </w:rPr>
                <w:t>44</w:t>
              </w:r>
            </w:hyperlink>
          </w:p>
        </w:tc>
      </w:tr>
      <w:tr>
        <w:trPr/>
        <w:tc>
          <w:tcPr>
            <w:tcW w:w="73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64e7281e874bc598c371fdf8820f67_172">
              <w:r>
                <w:rPr>
                  <w:rStyle w:val="InternetLink"/>
                  <w:rFonts w:ascii="Times New Roman;serif" w:hAnsi="Times New Roman;serif"/>
                  <w:b w:val="false"/>
                  <w:color w:val="0000FF"/>
                  <w:sz w:val="18"/>
                  <w:u w:val="single"/>
                </w:rPr>
                <w:t>Signatures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64e7281e874bc598c371fdf8820f67_172">
              <w:r>
                <w:rPr>
                  <w:rStyle w:val="InternetLink"/>
                  <w:rFonts w:ascii="Times New Roman;serif" w:hAnsi="Times New Roman;serif"/>
                  <w:b w:val="false"/>
                  <w:color w:val="0000FF"/>
                  <w:sz w:val="18"/>
                  <w:u w:val="single"/>
                </w:rPr>
                <w:t>46</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0" w:after="240"/>
        <w:jc w:val="left"/>
        <w:rPr/>
      </w:pPr>
      <w:hyperlink w:anchor="i5564e7281e874bc598c371fdf8820f67_7">
        <w:r>
          <w:rPr>
            <w:rStyle w:val="InternetLink"/>
            <w:rFonts w:ascii="Times New Roman;serif" w:hAnsi="Times New Roman;serif"/>
            <w:b w:val="false"/>
            <w:color w:val="0000FF"/>
            <w:sz w:val="20"/>
            <w:u w:val="single"/>
          </w:rPr>
          <w:t>Table of Contents</w:t>
        </w:r>
      </w:hyperlink>
    </w:p>
    <w:p>
      <w:pPr>
        <w:pStyle w:val="TextBody"/>
        <w:bidi w:val="0"/>
        <w:spacing w:before="100" w:after="240"/>
        <w:jc w:val="center"/>
        <w:rPr/>
      </w:pPr>
      <w:r>
        <w:rPr/>
      </w:r>
    </w:p>
    <w:p>
      <w:pPr>
        <w:pStyle w:val="TextBody"/>
        <w:bidi w:val="0"/>
        <w:spacing w:lineRule="auto" w:line="288" w:before="100" w:after="240"/>
        <w:jc w:val="center"/>
        <w:rPr>
          <w:rFonts w:ascii="Times New Roman;serif" w:hAnsi="Times New Roman;serif"/>
          <w:b/>
          <w:color w:val="000000"/>
          <w:sz w:val="20"/>
        </w:rPr>
      </w:pPr>
      <w:r>
        <w:rPr>
          <w:rFonts w:ascii="Times New Roman;serif" w:hAnsi="Times New Roman;serif"/>
          <w:b/>
          <w:color w:val="000000"/>
          <w:sz w:val="20"/>
        </w:rPr>
        <w:t>Commonly Used or Defined Terms</w:t>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00" w:after="240"/>
        <w:jc w:val="center"/>
        <w:rPr/>
      </w:pPr>
      <w:r>
        <w:rPr/>
      </w:r>
    </w:p>
    <w:tbl>
      <w:tblPr>
        <w:tblW w:w="9371" w:type="dxa"/>
        <w:jc w:val="center"/>
        <w:tblInd w:w="0" w:type="dxa"/>
        <w:tblLayout w:type="fixed"/>
        <w:tblCellMar>
          <w:top w:w="28" w:type="dxa"/>
          <w:left w:w="28" w:type="dxa"/>
          <w:bottom w:w="28" w:type="dxa"/>
          <w:right w:w="28" w:type="dxa"/>
        </w:tblCellMar>
      </w:tblPr>
      <w:tblGrid>
        <w:gridCol w:w="997"/>
        <w:gridCol w:w="877"/>
        <w:gridCol w:w="886"/>
        <w:gridCol w:w="109"/>
        <w:gridCol w:w="109"/>
        <w:gridCol w:w="109"/>
        <w:gridCol w:w="1839"/>
        <w:gridCol w:w="1839"/>
        <w:gridCol w:w="2606"/>
      </w:tblGrid>
      <w:tr>
        <w:trPr/>
        <w:tc>
          <w:tcPr>
            <w:tcW w:w="99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2606"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Definition</w:t>
            </w:r>
          </w:p>
        </w:tc>
      </w:tr>
      <w:tr>
        <w:trPr/>
        <w:tc>
          <w:tcPr>
            <w:tcW w:w="27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2018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2018 Equity Incentive Plan</w:t>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Priority Technology Holdings, Inc. 2021 Employee Stock Purchase Plan</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2022 Share Repurchase Program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Priority Technology Holdings, Inc. 2022 Share Repurchase Program</w:t>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AOCI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income/loss</w:t>
            </w:r>
          </w:p>
        </w:tc>
      </w:tr>
      <w:tr>
        <w:trPr/>
        <w:tc>
          <w:tcPr>
            <w:tcW w:w="2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4" w:type="dxa"/>
            <w:gridSpan w:val="3"/>
            <w:tcBorders/>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Accounting Standards Codification</w:t>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r>
      <w:tr>
        <w:trPr/>
        <w:tc>
          <w:tcPr>
            <w:tcW w:w="2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4" w:type="dxa"/>
            <w:gridSpan w:val="3"/>
            <w:tcBorders/>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Accounting Standards Update</w:t>
            </w:r>
          </w:p>
        </w:tc>
      </w:tr>
      <w:tr>
        <w:trPr/>
        <w:tc>
          <w:tcPr>
            <w:tcW w:w="2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4" w:type="dxa"/>
            <w:gridSpan w:val="3"/>
            <w:tcBorders/>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B2C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Business-to-consumer </w:t>
            </w:r>
          </w:p>
        </w:tc>
      </w:tr>
      <w:tr>
        <w:trPr/>
        <w:tc>
          <w:tcPr>
            <w:tcW w:w="2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4" w:type="dxa"/>
            <w:gridSpan w:val="3"/>
            <w:tcBorders/>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CFO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Company's Common Stock, par value $0.001</w:t>
            </w:r>
          </w:p>
        </w:tc>
      </w:tr>
      <w:tr>
        <w:trPr/>
        <w:tc>
          <w:tcPr>
            <w:tcW w:w="2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4" w:type="dxa"/>
            <w:gridSpan w:val="3"/>
            <w:tcBorders/>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 Credit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Credit and Guaranty Agreement with Truist Bank dated as of May 16, 2024 </w:t>
            </w:r>
          </w:p>
        </w:tc>
      </w:tr>
      <w:tr>
        <w:trPr/>
        <w:tc>
          <w:tcPr>
            <w:tcW w:w="2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4" w:type="dxa"/>
            <w:gridSpan w:val="3"/>
            <w:tcBorders/>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EAETR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212529"/>
                <w:sz w:val="20"/>
              </w:rPr>
            </w:pPr>
            <w:r>
              <w:rPr>
                <w:rFonts w:ascii="Times New Roman;serif" w:hAnsi="Times New Roman;serif"/>
                <w:b w:val="false"/>
                <w:color w:val="212529"/>
                <w:sz w:val="20"/>
              </w:rPr>
              <w:t>Estimated annual effective tax rate</w:t>
            </w:r>
          </w:p>
        </w:tc>
      </w:tr>
      <w:tr>
        <w:trPr/>
        <w:tc>
          <w:tcPr>
            <w:tcW w:w="2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4" w:type="dxa"/>
            <w:gridSpan w:val="3"/>
            <w:tcBorders/>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Act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Exchange Act of 1934</w:t>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FASB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Accounting Standards Board</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FDIC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Deposit Insurance Corporation</w:t>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FBO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 the benefit of </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institution</w:t>
            </w:r>
          </w:p>
        </w:tc>
      </w:tr>
      <w:tr>
        <w:trPr/>
        <w:tc>
          <w:tcPr>
            <w:tcW w:w="2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4" w:type="dxa"/>
            <w:gridSpan w:val="3"/>
            <w:tcBorders/>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Generally Accepted Accounting Principles</w:t>
            </w:r>
          </w:p>
        </w:tc>
      </w:tr>
      <w:tr>
        <w:trPr/>
        <w:tc>
          <w:tcPr>
            <w:tcW w:w="2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4" w:type="dxa"/>
            <w:gridSpan w:val="3"/>
            <w:tcBorders/>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Independent sales organization</w:t>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Independent software vendor</w:t>
            </w:r>
          </w:p>
        </w:tc>
      </w:tr>
      <w:tr>
        <w:trPr/>
        <w:tc>
          <w:tcPr>
            <w:tcW w:w="2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4" w:type="dxa"/>
            <w:gridSpan w:val="3"/>
            <w:tcBorders/>
            <w:vAlign w:val="center"/>
          </w:tcPr>
          <w:p>
            <w:pPr>
              <w:pStyle w:val="TableContents"/>
              <w:bidi w:val="0"/>
              <w:spacing w:before="0" w:after="283"/>
              <w:jc w:val="left"/>
              <w:rPr>
                <w:sz w:val="4"/>
                <w:szCs w:val="4"/>
              </w:rPr>
            </w:pPr>
            <w:r>
              <w:rPr>
                <w:sz w:val="4"/>
                <w:szCs w:val="4"/>
              </w:rPr>
            </w:r>
          </w:p>
        </w:tc>
      </w:tr>
      <w:tr>
        <w:trPr/>
        <w:tc>
          <w:tcPr>
            <w:tcW w:w="2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4" w:type="dxa"/>
            <w:gridSpan w:val="3"/>
            <w:tcBorders/>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MTL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Transmission Licenses</w:t>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NCI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 in consolidated subsidiaries</w:t>
            </w:r>
          </w:p>
        </w:tc>
      </w:tr>
      <w:tr>
        <w:trPr/>
        <w:tc>
          <w:tcPr>
            <w:tcW w:w="2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4" w:type="dxa"/>
            <w:gridSpan w:val="3"/>
            <w:tcBorders/>
            <w:vAlign w:val="center"/>
          </w:tcPr>
          <w:p>
            <w:pPr>
              <w:pStyle w:val="TableContents"/>
              <w:bidi w:val="0"/>
              <w:spacing w:before="0" w:after="283"/>
              <w:jc w:val="left"/>
              <w:rPr>
                <w:sz w:val="4"/>
                <w:szCs w:val="4"/>
              </w:rPr>
            </w:pPr>
            <w:r>
              <w:rPr>
                <w:sz w:val="4"/>
                <w:szCs w:val="4"/>
              </w:rPr>
            </w:r>
          </w:p>
        </w:tc>
      </w:tr>
      <w:tr>
        <w:trPr/>
        <w:tc>
          <w:tcPr>
            <w:tcW w:w="2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4" w:type="dxa"/>
            <w:gridSpan w:val="3"/>
            <w:tcBorders/>
            <w:vAlign w:val="center"/>
          </w:tcPr>
          <w:p>
            <w:pPr>
              <w:pStyle w:val="TableContents"/>
              <w:bidi w:val="0"/>
              <w:spacing w:before="0" w:after="283"/>
              <w:jc w:val="left"/>
              <w:rPr>
                <w:sz w:val="4"/>
                <w:szCs w:val="4"/>
              </w:rPr>
            </w:pPr>
            <w:r>
              <w:rPr>
                <w:sz w:val="4"/>
                <w:szCs w:val="4"/>
              </w:rPr>
            </w:r>
          </w:p>
        </w:tc>
      </w:tr>
      <w:tr>
        <w:trPr/>
        <w:tc>
          <w:tcPr>
            <w:tcW w:w="2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4" w:type="dxa"/>
            <w:gridSpan w:val="3"/>
            <w:tcBorders/>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Residual Finance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Agreement with VP Capital, L.P.</w:t>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 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$100.0 million line issued under the 2024 Credit Agreement</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and Exchange Commission</w:t>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Secured Overnight Financing Rate</w:t>
            </w:r>
          </w:p>
        </w:tc>
      </w:tr>
      <w:tr>
        <w:trPr/>
        <w:tc>
          <w:tcPr>
            <w:tcW w:w="2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4" w:type="dxa"/>
            <w:gridSpan w:val="3"/>
            <w:tcBorders/>
            <w:vAlign w:val="center"/>
          </w:tcPr>
          <w:p>
            <w:pPr>
              <w:pStyle w:val="TableContents"/>
              <w:bidi w:val="0"/>
              <w:spacing w:before="0" w:after="283"/>
              <w:jc w:val="left"/>
              <w:rPr>
                <w:sz w:val="4"/>
                <w:szCs w:val="4"/>
              </w:rPr>
            </w:pPr>
            <w:r>
              <w:rPr>
                <w:sz w:val="4"/>
                <w:szCs w:val="4"/>
              </w:rPr>
            </w:r>
          </w:p>
        </w:tc>
      </w:tr>
      <w:tr>
        <w:trPr/>
        <w:tc>
          <w:tcPr>
            <w:tcW w:w="2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4" w:type="dxa"/>
            <w:gridSpan w:val="3"/>
            <w:tcBorders/>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Term loan facility issued under the 2024 Credit Agreement </w:t>
            </w:r>
          </w:p>
        </w:tc>
      </w:tr>
      <w:tr>
        <w:trPr/>
        <w:tc>
          <w:tcPr>
            <w:tcW w:w="2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4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lineRule="auto" w:line="288" w:before="0" w:after="120"/>
        <w:jc w:val="left"/>
        <w:rPr/>
      </w:pPr>
      <w:hyperlink w:anchor="i5564e7281e874bc598c371fdf8820f6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Priority Technology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Consolidated Balance Sheets</w:t>
      </w:r>
    </w:p>
    <w:p>
      <w:pPr>
        <w:pStyle w:val="TextBody"/>
        <w:bidi w:val="0"/>
        <w:spacing w:lineRule="auto" w:line="288" w:before="0" w:after="24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data)</w:t>
      </w:r>
    </w:p>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2808"/>
        <w:gridCol w:w="2177"/>
        <w:gridCol w:w="2112"/>
        <w:gridCol w:w="211"/>
        <w:gridCol w:w="991"/>
        <w:gridCol w:w="109"/>
        <w:gridCol w:w="109"/>
        <w:gridCol w:w="109"/>
        <w:gridCol w:w="109"/>
        <w:gridCol w:w="228"/>
        <w:gridCol w:w="1073"/>
        <w:gridCol w:w="169"/>
      </w:tblGrid>
      <w:tr>
        <w:trPr/>
        <w:tc>
          <w:tcPr>
            <w:tcW w:w="2808" w:type="dxa"/>
            <w:tcBorders/>
            <w:vAlign w:val="center"/>
          </w:tcPr>
          <w:p>
            <w:pPr>
              <w:pStyle w:val="TableContents"/>
              <w:bidi w:val="0"/>
              <w:spacing w:before="0" w:after="283"/>
              <w:jc w:val="left"/>
              <w:rPr>
                <w:sz w:val="4"/>
                <w:szCs w:val="4"/>
              </w:rPr>
            </w:pPr>
            <w:r>
              <w:rPr>
                <w:sz w:val="4"/>
                <w:szCs w:val="4"/>
              </w:rPr>
            </w:r>
          </w:p>
        </w:tc>
        <w:tc>
          <w:tcPr>
            <w:tcW w:w="2177" w:type="dxa"/>
            <w:tcBorders/>
            <w:vAlign w:val="center"/>
          </w:tcPr>
          <w:p>
            <w:pPr>
              <w:pStyle w:val="TableContents"/>
              <w:bidi w:val="0"/>
              <w:spacing w:before="0" w:after="283"/>
              <w:jc w:val="left"/>
              <w:rPr>
                <w:sz w:val="4"/>
                <w:szCs w:val="4"/>
              </w:rPr>
            </w:pPr>
            <w:r>
              <w:rPr>
                <w:sz w:val="4"/>
                <w:szCs w:val="4"/>
              </w:rPr>
            </w:r>
          </w:p>
        </w:tc>
        <w:tc>
          <w:tcPr>
            <w:tcW w:w="21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7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7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77,192 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allowances of $6,551 and $6,297, respectively</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91,300 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32,145 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Current portion of notes receivable, net of allowance of $0 and $0, respectively</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assets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1,295,896 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1,633,197 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1,515,052 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receivable, less current portion</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equipment and software, net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58,636 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416,641 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315,190 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 net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46,350 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29,306 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2,496,391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2,398,804</w:t>
            </w:r>
            <w:r>
              <w:rPr>
                <w:color w:val="000000"/>
              </w:rPr>
              <w:t>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Stockholders' Deficit and Non-controlling interest</w:t>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70,636 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residual commissions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40,463 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deposits and advance payments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obligations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1,297,263 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1,481,420 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1,410,334 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 of current portion, discounts and debt issuance costs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1,039,358 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41,484 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7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2,567,442 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2,491,176 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Commitments and contingencies (</w:t>
            </w:r>
            <w:hyperlink w:anchor="i5564e7281e874bc598c371fdf8820f67_82">
              <w:r>
                <w:rPr>
                  <w:rStyle w:val="InternetLink"/>
                  <w:rFonts w:ascii="Times New Roman;serif" w:hAnsi="Times New Roman;serif"/>
                  <w:b w:val="false"/>
                  <w:color w:val="0000FF"/>
                  <w:sz w:val="20"/>
                  <w:u w:val="single"/>
                </w:rPr>
                <w:t>Note 13</w:t>
              </w:r>
            </w:hyperlink>
            <w:r>
              <w:rPr>
                <w:rFonts w:ascii="Times New Roman;serif" w:hAnsi="Times New Roman;serif"/>
                <w:b w:val="false"/>
                <w:color w:val="000000"/>
                <w:sz w:val="20"/>
              </w:rPr>
              <w:t>)</w:t>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709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709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7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Stockholders' deficit: </w:t>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$0.001; 100,000,000 shares authorized; 0 issued or outstanding at June 30, 2026 and December 31, 2025</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1,000,000,000 shares authorized; 87,416,670 and 86,639,593 shares issued at June 30, 2026 and December 31, 2025, respectively; and 82,420,307 and 81,907,304 shares outstanding at June 30, 2026 and December 31, 2025, respectively</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4,996,363 and 4,732,289 shares at June 30, 2026 and December 31, 2025, respectively</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(22,759)</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(91,453)</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stockholders' deficit attributable to stockholders of Priority Commerce</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(100,415)</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 in consolidated subsidiaries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stockholders' deficit</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(92,372)</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stockholders' deficit and Non-controlling interest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2,496,391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2,398,804</w:t>
            </w:r>
            <w:r>
              <w:rPr>
                <w:color w:val="000000"/>
              </w:rPr>
              <w:t>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pStyle w:val="TextBody"/>
        <w:bidi w:val="0"/>
        <w:spacing w:lineRule="auto" w:line="288" w:before="240" w:after="283"/>
        <w:jc w:val="center"/>
        <w:rPr/>
      </w:pPr>
      <w:r>
        <w:rPr>
          <w:rFonts w:ascii="Times New Roman;serif" w:hAnsi="Times New Roman;serif"/>
          <w:b w:val="false"/>
          <w:color w:val="000000"/>
          <w:sz w:val="20"/>
        </w:rPr>
        <w:t xml:space="preserve">See </w:t>
      </w:r>
      <w:hyperlink w:anchor="i5564e7281e874bc598c371fdf8820f67_31">
        <w:r>
          <w:rPr>
            <w:rStyle w:val="InternetLink"/>
            <w:rFonts w:ascii="Times New Roman;serif" w:hAnsi="Times New Roman;serif"/>
            <w:b w:val="false"/>
            <w:color w:val="0000FF"/>
            <w:sz w:val="20"/>
            <w:u w:val="single"/>
          </w:rPr>
          <w:t>Notes to Unaudited Consolidated Financial Statements.</w:t>
        </w:r>
      </w:hyperlink>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120"/>
        <w:jc w:val="both"/>
        <w:rPr/>
      </w:pPr>
      <w:hyperlink w:anchor="i5564e7281e874bc598c371fdf8820f6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pPr>
      <w:r>
        <w:rPr>
          <w:rFonts w:ascii="Times New Roman;serif" w:hAnsi="Times New Roman;serif"/>
          <w:b/>
          <w:color w:val="000000"/>
          <w:sz w:val="20"/>
        </w:rPr>
        <w:t>Priority Technology Holdings, Inc</w:t>
      </w:r>
      <w:r>
        <w:rPr>
          <w:rFonts w:ascii="Times New Roman;serif" w:hAnsi="Times New Roman;serif"/>
          <w:b w:val="false"/>
          <w:color w:val="000000"/>
          <w:sz w:val="20"/>
        </w:rPr>
        <w: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Consolidated Statements of Operations and Comprehensive Income</w:t>
      </w:r>
    </w:p>
    <w:p>
      <w:pPr>
        <w:pStyle w:val="TextBody"/>
        <w:bidi w:val="0"/>
        <w:spacing w:lineRule="auto" w:line="288" w:before="0" w:after="24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per share data)</w:t>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1687"/>
        <w:gridCol w:w="1442"/>
        <w:gridCol w:w="1460"/>
        <w:gridCol w:w="211"/>
        <w:gridCol w:w="827"/>
        <w:gridCol w:w="109"/>
        <w:gridCol w:w="109"/>
        <w:gridCol w:w="109"/>
        <w:gridCol w:w="109"/>
        <w:gridCol w:w="211"/>
        <w:gridCol w:w="827"/>
        <w:gridCol w:w="109"/>
        <w:gridCol w:w="109"/>
        <w:gridCol w:w="109"/>
        <w:gridCol w:w="109"/>
        <w:gridCol w:w="211"/>
        <w:gridCol w:w="826"/>
        <w:gridCol w:w="109"/>
        <w:gridCol w:w="109"/>
        <w:gridCol w:w="109"/>
        <w:gridCol w:w="109"/>
        <w:gridCol w:w="211"/>
        <w:gridCol w:w="826"/>
        <w:gridCol w:w="158"/>
      </w:tblGrid>
      <w:tr>
        <w:trPr/>
        <w:tc>
          <w:tcPr>
            <w:tcW w:w="1687"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42424"/>
                <w:sz w:val="20"/>
              </w:rPr>
            </w:pPr>
            <w:r>
              <w:rPr>
                <w:rFonts w:ascii="Times New Roman;serif" w:hAnsi="Times New Roman;serif"/>
                <w:b/>
                <w:color w:val="242424"/>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511,814 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464,442 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1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(excludes depreciation and amortization)</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284,752 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Salary and employee benefits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52,835 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29,010 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229,212 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394,467 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69,975 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expense</w:t>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(46,230)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extinguishment and modification costs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(44,155)</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25,820 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4589"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4589"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4589"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attributable to common stockholders</w:t>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19,147 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Other comprehensive income </w:t>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Comprehensive income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9,752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11,096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19,159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19,407</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per common share:</w:t>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Weighted-average common shares outstanding: </w:t>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78,878 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79,968 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4589"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center"/>
        <w:rPr/>
      </w:pPr>
      <w:r>
        <w:rPr/>
      </w:r>
    </w:p>
    <w:p>
      <w:pPr>
        <w:pStyle w:val="TextBody"/>
        <w:bidi w:val="0"/>
        <w:spacing w:lineRule="auto" w:line="288" w:before="0" w:after="240"/>
        <w:jc w:val="center"/>
        <w:rPr/>
      </w:pPr>
      <w:r>
        <w:rPr>
          <w:rFonts w:ascii="Times New Roman;serif" w:hAnsi="Times New Roman;serif"/>
          <w:b w:val="false"/>
          <w:color w:val="000000"/>
          <w:sz w:val="20"/>
        </w:rPr>
        <w:t xml:space="preserve">See </w:t>
      </w:r>
      <w:hyperlink w:anchor="i5564e7281e874bc598c371fdf8820f67_31">
        <w:r>
          <w:rPr>
            <w:rStyle w:val="InternetLink"/>
            <w:rFonts w:ascii="Times New Roman;serif" w:hAnsi="Times New Roman;serif"/>
            <w:b w:val="false"/>
            <w:color w:val="0000FF"/>
            <w:sz w:val="20"/>
            <w:u w:val="single"/>
          </w:rPr>
          <w:t>Notes to Unaudited Consolidated Financial Statements.</w:t>
        </w:r>
      </w:hyperlink>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120"/>
        <w:jc w:val="left"/>
        <w:rPr/>
      </w:pPr>
      <w:r>
        <w:rPr/>
      </w:r>
    </w:p>
    <w:p>
      <w:pPr>
        <w:pStyle w:val="TextBody"/>
        <w:bidi w:val="0"/>
        <w:spacing w:lineRule="auto" w:line="288" w:before="0" w:after="240"/>
        <w:jc w:val="center"/>
        <w:rPr/>
      </w:pPr>
      <w:r>
        <w:rPr>
          <w:rFonts w:ascii="Times New Roman;serif" w:hAnsi="Times New Roman;serif"/>
          <w:b/>
          <w:color w:val="000000"/>
          <w:sz w:val="20"/>
        </w:rPr>
        <w:t>Priority Technology Holdings, Inc.</w:t>
        <w:br/>
        <w:t>Unaudited Consolidated Statements of Changes in Stockholders' Deficit and Non-Controlling Interest</w:t>
        <w:br/>
      </w:r>
      <w:r>
        <w:rPr>
          <w:rFonts w:ascii="Times New Roman;serif" w:hAnsi="Times New Roman;serif"/>
          <w:b w:val="false"/>
          <w:i/>
          <w:color w:val="000000"/>
          <w:sz w:val="20"/>
        </w:rPr>
        <w:t>(in thousands)</w:t>
      </w:r>
    </w:p>
    <w:p>
      <w:pPr>
        <w:pStyle w:val="TextBody"/>
        <w:bidi w:val="0"/>
        <w:spacing w:before="0" w:after="240"/>
        <w:jc w:val="center"/>
        <w:rPr/>
      </w:pPr>
      <w:r>
        <w:rPr/>
      </w:r>
    </w:p>
    <w:p>
      <w:pPr>
        <w:pStyle w:val="TextBody"/>
        <w:bidi w:val="0"/>
        <w:spacing w:before="0" w:after="240"/>
        <w:jc w:val="center"/>
        <w:rPr/>
      </w:pPr>
      <w:r>
        <w:rPr/>
      </w:r>
    </w:p>
    <w:p>
      <w:pPr>
        <w:pStyle w:val="TextBody"/>
        <w:bidi w:val="0"/>
        <w:spacing w:lineRule="auto" w:line="288" w:before="0" w:after="240"/>
        <w:jc w:val="center"/>
        <w:rPr>
          <w:color w:val="000000"/>
        </w:rPr>
      </w:pPr>
      <w:r>
        <w:rPr>
          <w:color w:val="000000"/>
        </w:rPr>
        <w:t>                                </w:t>
      </w:r>
    </w:p>
    <w:p>
      <w:pPr>
        <w:pStyle w:val="TextBody"/>
        <w:bidi w:val="0"/>
        <w:spacing w:before="0" w:after="240"/>
        <w:jc w:val="left"/>
        <w:rPr/>
      </w:pPr>
      <w:r>
        <w:rPr/>
      </w:r>
    </w:p>
    <w:tbl>
      <w:tblPr>
        <w:tblW w:w="10408" w:type="dxa"/>
        <w:jc w:val="left"/>
        <w:tblInd w:w="0" w:type="dxa"/>
        <w:tblLayout w:type="fixed"/>
        <w:tblCellMar>
          <w:top w:w="28" w:type="dxa"/>
          <w:left w:w="28" w:type="dxa"/>
          <w:bottom w:w="28" w:type="dxa"/>
          <w:right w:w="28" w:type="dxa"/>
        </w:tblCellMar>
      </w:tblPr>
      <w:tblGrid>
        <w:gridCol w:w="565"/>
        <w:gridCol w:w="458"/>
        <w:gridCol w:w="283"/>
        <w:gridCol w:w="330"/>
        <w:gridCol w:w="331"/>
        <w:gridCol w:w="211"/>
        <w:gridCol w:w="196"/>
        <w:gridCol w:w="346"/>
        <w:gridCol w:w="109"/>
        <w:gridCol w:w="285"/>
        <w:gridCol w:w="286"/>
        <w:gridCol w:w="211"/>
        <w:gridCol w:w="196"/>
        <w:gridCol w:w="661"/>
        <w:gridCol w:w="109"/>
        <w:gridCol w:w="196"/>
        <w:gridCol w:w="661"/>
        <w:gridCol w:w="109"/>
        <w:gridCol w:w="196"/>
        <w:gridCol w:w="436"/>
        <w:gridCol w:w="109"/>
        <w:gridCol w:w="228"/>
        <w:gridCol w:w="770"/>
        <w:gridCol w:w="128"/>
        <w:gridCol w:w="196"/>
        <w:gridCol w:w="806"/>
        <w:gridCol w:w="109"/>
        <w:gridCol w:w="196"/>
        <w:gridCol w:w="571"/>
        <w:gridCol w:w="109"/>
        <w:gridCol w:w="196"/>
        <w:gridCol w:w="661"/>
        <w:gridCol w:w="154"/>
      </w:tblGrid>
      <w:tr>
        <w:trPr/>
        <w:tc>
          <w:tcPr>
            <w:tcW w:w="565"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Common </w:t>
              <w:br/>
              <w:t>Stock</w:t>
            </w:r>
          </w:p>
        </w:tc>
        <w:tc>
          <w:tcPr>
            <w:tcW w:w="174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Treasury </w:t>
              <w:br/>
              <w:t>Stock</w:t>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APIC</w:t>
            </w:r>
          </w:p>
        </w:tc>
        <w:tc>
          <w:tcPr>
            <w:tcW w:w="7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AOCI</w:t>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11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Deficit Attributable to Stockholders</w:t>
            </w:r>
          </w:p>
        </w:tc>
        <w:tc>
          <w:tcPr>
            <w:tcW w:w="8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NCIs</w:t>
            </w:r>
          </w:p>
        </w:tc>
        <w:tc>
          <w:tcPr>
            <w:tcW w:w="10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741" w:type="dxa"/>
            <w:gridSpan w:val="3"/>
            <w:vMerge w:val="continue"/>
            <w:tcBorders/>
            <w:tcMar>
              <w:top w:w="0" w:type="dxa"/>
              <w:left w:w="0" w:type="dxa"/>
              <w:bottom w:w="0" w:type="dxa"/>
              <w:right w:w="0" w:type="dxa"/>
            </w:tcMar>
            <w:vAlign w:val="center"/>
          </w:tcPr>
          <w:p>
            <w:pPr>
              <w:pStyle w:val="Normal"/>
              <w:bidi w:val="0"/>
              <w:jc w:val="left"/>
              <w:rPr/>
            </w:pPr>
            <w:r>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1111" w:type="dxa"/>
            <w:gridSpan w:val="3"/>
            <w:vMerge w:val="continue"/>
            <w:tcBorders/>
            <w:tcMar>
              <w:top w:w="0" w:type="dxa"/>
              <w:left w:w="0" w:type="dxa"/>
              <w:bottom w:w="0" w:type="dxa"/>
              <w:right w:w="0" w:type="dxa"/>
            </w:tcMar>
            <w:vAlign w:val="center"/>
          </w:tcPr>
          <w:p>
            <w:pPr>
              <w:pStyle w:val="Normal"/>
              <w:bidi w:val="0"/>
              <w:jc w:val="left"/>
              <w:rPr/>
            </w:pPr>
            <w:r>
              <w:rPr/>
            </w:r>
          </w:p>
        </w:tc>
        <w:tc>
          <w:tcPr>
            <w:tcW w:w="876" w:type="dxa"/>
            <w:gridSpan w:val="3"/>
            <w:vMerge w:val="continue"/>
            <w:tcBorders/>
            <w:tcMar>
              <w:top w:w="0" w:type="dxa"/>
              <w:left w:w="0" w:type="dxa"/>
              <w:bottom w:w="0" w:type="dxa"/>
              <w:right w:w="0" w:type="dxa"/>
            </w:tcMar>
            <w:vAlign w:val="center"/>
          </w:tcPr>
          <w:p>
            <w:pPr>
              <w:pStyle w:val="Normal"/>
              <w:bidi w:val="0"/>
              <w:jc w:val="left"/>
              <w:rPr/>
            </w:pPr>
            <w:r>
              <w:rPr/>
            </w:r>
          </w:p>
        </w:tc>
        <w:tc>
          <w:tcPr>
            <w:tcW w:w="101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December 31, 2025</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81,907 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(91,453)</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(100,415)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(92,372)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Equity-classified stock-based compensation</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stock awards and ESPP purchases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withheld for taxes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profit interests in subsidiaries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9,760 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March 31, 2026</w:t>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82,301</w:t>
            </w: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4,899</w:t>
            </w: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(23,643)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15,902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(81,693)</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(89,915)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8,079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(81,836)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Equity-classified stock-based compensation</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Vesting of stock awards </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withheld for taxes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profit interests in subsidiaries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June 30, 2026</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82,420</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4,996</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(24,282)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17,538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(71,830)</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(79,166)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8,115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(71,051)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120"/>
        <w:jc w:val="left"/>
        <w:rPr/>
      </w:pPr>
      <w:r>
        <w:rPr/>
      </w:r>
    </w:p>
    <w:p>
      <w:pPr>
        <w:pStyle w:val="TextBody"/>
        <w:bidi w:val="0"/>
        <w:spacing w:lineRule="auto" w:line="288" w:before="0" w:after="240"/>
        <w:jc w:val="center"/>
        <w:rPr/>
      </w:pPr>
      <w:r>
        <w:rPr>
          <w:rFonts w:ascii="Times New Roman;serif" w:hAnsi="Times New Roman;serif"/>
          <w:b/>
          <w:color w:val="000000"/>
          <w:sz w:val="20"/>
        </w:rPr>
        <w:t>Priority Technology Holdings, Inc.</w:t>
        <w:br/>
        <w:t>Unaudited Consolidated Statements of Changes in Stockholders' Deficit and Non-Controlling Interest</w:t>
        <w:br/>
      </w:r>
      <w:r>
        <w:rPr>
          <w:rFonts w:ascii="Times New Roman;serif" w:hAnsi="Times New Roman;serif"/>
          <w:b w:val="false"/>
          <w:i/>
          <w:color w:val="000000"/>
          <w:sz w:val="20"/>
        </w:rPr>
        <w:t>(in thousands)</w:t>
      </w:r>
    </w:p>
    <w:p>
      <w:pPr>
        <w:pStyle w:val="TextBody"/>
        <w:bidi w:val="0"/>
        <w:spacing w:before="0" w:after="240"/>
        <w:jc w:val="center"/>
        <w:rPr/>
      </w:pPr>
      <w:r>
        <w:rPr/>
      </w:r>
    </w:p>
    <w:p>
      <w:pPr>
        <w:pStyle w:val="TextBody"/>
        <w:bidi w:val="0"/>
        <w:spacing w:before="0" w:after="240"/>
        <w:jc w:val="center"/>
        <w:rPr/>
      </w:pPr>
      <w:r>
        <w:rPr/>
      </w:r>
    </w:p>
    <w:p>
      <w:pPr>
        <w:pStyle w:val="TextBody"/>
        <w:bidi w:val="0"/>
        <w:spacing w:lineRule="auto" w:line="288" w:before="0" w:after="240"/>
        <w:jc w:val="center"/>
        <w:rPr>
          <w:color w:val="000000"/>
        </w:rPr>
      </w:pPr>
      <w:r>
        <w:rPr>
          <w:color w:val="000000"/>
        </w:rPr>
        <w:t>                                </w:t>
      </w:r>
    </w:p>
    <w:tbl>
      <w:tblPr>
        <w:tblW w:w="10408" w:type="dxa"/>
        <w:jc w:val="left"/>
        <w:tblInd w:w="0" w:type="dxa"/>
        <w:tblLayout w:type="fixed"/>
        <w:tblCellMar>
          <w:top w:w="28" w:type="dxa"/>
          <w:left w:w="28" w:type="dxa"/>
          <w:bottom w:w="28" w:type="dxa"/>
          <w:right w:w="28" w:type="dxa"/>
        </w:tblCellMar>
      </w:tblPr>
      <w:tblGrid>
        <w:gridCol w:w="565"/>
        <w:gridCol w:w="458"/>
        <w:gridCol w:w="283"/>
        <w:gridCol w:w="330"/>
        <w:gridCol w:w="331"/>
        <w:gridCol w:w="211"/>
        <w:gridCol w:w="196"/>
        <w:gridCol w:w="346"/>
        <w:gridCol w:w="109"/>
        <w:gridCol w:w="285"/>
        <w:gridCol w:w="286"/>
        <w:gridCol w:w="211"/>
        <w:gridCol w:w="196"/>
        <w:gridCol w:w="661"/>
        <w:gridCol w:w="109"/>
        <w:gridCol w:w="196"/>
        <w:gridCol w:w="571"/>
        <w:gridCol w:w="109"/>
        <w:gridCol w:w="196"/>
        <w:gridCol w:w="436"/>
        <w:gridCol w:w="109"/>
        <w:gridCol w:w="208"/>
        <w:gridCol w:w="800"/>
        <w:gridCol w:w="118"/>
        <w:gridCol w:w="196"/>
        <w:gridCol w:w="806"/>
        <w:gridCol w:w="109"/>
        <w:gridCol w:w="196"/>
        <w:gridCol w:w="571"/>
        <w:gridCol w:w="109"/>
        <w:gridCol w:w="196"/>
        <w:gridCol w:w="751"/>
        <w:gridCol w:w="154"/>
      </w:tblGrid>
      <w:tr>
        <w:trPr/>
        <w:tc>
          <w:tcPr>
            <w:tcW w:w="565"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Common </w:t>
              <w:br/>
              <w:t>Stock</w:t>
            </w:r>
          </w:p>
        </w:tc>
        <w:tc>
          <w:tcPr>
            <w:tcW w:w="174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Treasury </w:t>
              <w:br/>
              <w:t>Stock</w:t>
            </w:r>
          </w:p>
        </w:tc>
        <w:tc>
          <w:tcPr>
            <w:tcW w:w="8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APIC</w:t>
            </w:r>
          </w:p>
        </w:tc>
        <w:tc>
          <w:tcPr>
            <w:tcW w:w="7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AOCI</w:t>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11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Deficit Attributable to Stockholders</w:t>
            </w:r>
          </w:p>
        </w:tc>
        <w:tc>
          <w:tcPr>
            <w:tcW w:w="8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NCIs</w:t>
            </w:r>
          </w:p>
        </w:tc>
        <w:tc>
          <w:tcPr>
            <w:tcW w:w="11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876" w:type="dxa"/>
            <w:gridSpan w:val="3"/>
            <w:vMerge w:val="continue"/>
            <w:tcBorders/>
            <w:tcMar>
              <w:top w:w="0" w:type="dxa"/>
              <w:left w:w="0" w:type="dxa"/>
              <w:bottom w:w="0" w:type="dxa"/>
              <w:right w:w="0" w:type="dxa"/>
            </w:tcMar>
            <w:vAlign w:val="center"/>
          </w:tcPr>
          <w:p>
            <w:pPr>
              <w:pStyle w:val="Normal"/>
              <w:bidi w:val="0"/>
              <w:jc w:val="left"/>
              <w:rPr/>
            </w:pPr>
            <w:r>
              <w:rPr/>
            </w:r>
          </w:p>
        </w:tc>
        <w:tc>
          <w:tcPr>
            <w:tcW w:w="741" w:type="dxa"/>
            <w:gridSpan w:val="3"/>
            <w:vMerge w:val="continue"/>
            <w:tcBorders/>
            <w:tcMar>
              <w:top w:w="0" w:type="dxa"/>
              <w:left w:w="0" w:type="dxa"/>
              <w:bottom w:w="0" w:type="dxa"/>
              <w:right w:w="0" w:type="dxa"/>
            </w:tcMar>
            <w:vAlign w:val="center"/>
          </w:tcPr>
          <w:p>
            <w:pPr>
              <w:pStyle w:val="Normal"/>
              <w:bidi w:val="0"/>
              <w:jc w:val="left"/>
              <w:rPr/>
            </w:pPr>
            <w:r>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1111" w:type="dxa"/>
            <w:gridSpan w:val="3"/>
            <w:vMerge w:val="continue"/>
            <w:tcBorders/>
            <w:tcMar>
              <w:top w:w="0" w:type="dxa"/>
              <w:left w:w="0" w:type="dxa"/>
              <w:bottom w:w="0" w:type="dxa"/>
              <w:right w:w="0" w:type="dxa"/>
            </w:tcMar>
            <w:vAlign w:val="center"/>
          </w:tcPr>
          <w:p>
            <w:pPr>
              <w:pStyle w:val="Normal"/>
              <w:bidi w:val="0"/>
              <w:jc w:val="left"/>
              <w:rPr/>
            </w:pPr>
            <w:r>
              <w:rPr/>
            </w:r>
          </w:p>
        </w:tc>
        <w:tc>
          <w:tcPr>
            <w:tcW w:w="876" w:type="dxa"/>
            <w:gridSpan w:val="3"/>
            <w:vMerge w:val="continue"/>
            <w:tcBorders/>
            <w:tcMar>
              <w:top w:w="0" w:type="dxa"/>
              <w:left w:w="0" w:type="dxa"/>
              <w:bottom w:w="0" w:type="dxa"/>
              <w:right w:w="0" w:type="dxa"/>
            </w:tcMar>
            <w:vAlign w:val="center"/>
          </w:tcPr>
          <w:p>
            <w:pPr>
              <w:pStyle w:val="Normal"/>
              <w:bidi w:val="0"/>
              <w:jc w:val="left"/>
              <w:rPr/>
            </w:pPr>
            <w:r>
              <w:rPr/>
            </w:r>
          </w:p>
        </w:tc>
        <w:tc>
          <w:tcPr>
            <w:tcW w:w="11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December 31, 2024</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77,480 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4,386 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(147,134)</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(166,840)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(165,025)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Equity-classified stock-based compensation</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stock awards and ESPP purchases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withheld for taxes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 options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warrants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profit interests in subsidiaries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8,268 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March 31, 2025</w:t>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79,712</w:t>
            </w: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4,508</w:t>
            </w: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(21,077)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1,669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(138,866)</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(158,327)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1,902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(156,425)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Equity-classified stock-based compensation</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stock awards and ESPP purchases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withheld for taxes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 options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profit interests in subsidiaries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10,879 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June 30, 2025</w:t>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79,898</w:t>
            </w: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4,626</w:t>
            </w: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(21,921)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3,629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(127,987)</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(146,115)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1,981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(144,134)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pPr>
      <w:r>
        <w:rPr>
          <w:rFonts w:ascii="Times New Roman;serif" w:hAnsi="Times New Roman;serif"/>
          <w:b w:val="false"/>
          <w:color w:val="000000"/>
          <w:sz w:val="20"/>
        </w:rPr>
        <w:t xml:space="preserve">See </w:t>
      </w:r>
      <w:hyperlink w:anchor="i5564e7281e874bc598c371fdf8820f67_31">
        <w:r>
          <w:rPr>
            <w:rStyle w:val="InternetLink"/>
            <w:rFonts w:ascii="Times New Roman;serif" w:hAnsi="Times New Roman;serif"/>
            <w:b w:val="false"/>
            <w:color w:val="0000FF"/>
            <w:sz w:val="20"/>
            <w:u w:val="single"/>
          </w:rPr>
          <w:t>Notes to Unaudited Consolidated Financial Statements.</w:t>
        </w:r>
      </w:hyperlink>
    </w:p>
    <w:p>
      <w:pPr>
        <w:pStyle w:val="TextBody"/>
        <w:bidi w:val="0"/>
        <w:spacing w:before="0" w:after="240"/>
        <w:jc w:val="left"/>
        <w:rPr/>
      </w:pPr>
      <w:r>
        <w:rPr/>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240"/>
        <w:jc w:val="left"/>
        <w:rPr/>
      </w:pPr>
      <w:hyperlink w:anchor="i5564e7281e874bc598c371fdf8820f6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pPr>
      <w:r>
        <w:rPr>
          <w:rFonts w:ascii="Times New Roman;serif" w:hAnsi="Times New Roman;serif"/>
          <w:b/>
          <w:color w:val="000000"/>
          <w:sz w:val="20"/>
        </w:rPr>
        <w:t>Priority Technology Holdings, Inc</w:t>
      </w:r>
      <w:r>
        <w:rPr>
          <w:rFonts w:ascii="Times New Roman;serif" w:hAnsi="Times New Roman;serif"/>
          <w:b w:val="false"/>
          <w:color w:val="000000"/>
          <w:sz w:val="20"/>
        </w:rPr>
        <w: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Consolidated Statements of Cash Flows</w:t>
      </w:r>
    </w:p>
    <w:p>
      <w:pPr>
        <w:pStyle w:val="TextBody"/>
        <w:bidi w:val="0"/>
        <w:spacing w:lineRule="auto" w:line="288" w:before="0" w:after="24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bl>
      <w:tblPr>
        <w:tblW w:w="8979" w:type="dxa"/>
        <w:jc w:val="left"/>
        <w:tblInd w:w="0" w:type="dxa"/>
        <w:tblLayout w:type="fixed"/>
        <w:tblCellMar>
          <w:top w:w="28" w:type="dxa"/>
          <w:left w:w="28" w:type="dxa"/>
          <w:bottom w:w="28" w:type="dxa"/>
          <w:right w:w="28" w:type="dxa"/>
        </w:tblCellMar>
      </w:tblPr>
      <w:tblGrid>
        <w:gridCol w:w="2097"/>
        <w:gridCol w:w="1839"/>
        <w:gridCol w:w="1853"/>
        <w:gridCol w:w="196"/>
        <w:gridCol w:w="886"/>
        <w:gridCol w:w="109"/>
        <w:gridCol w:w="109"/>
        <w:gridCol w:w="109"/>
        <w:gridCol w:w="109"/>
        <w:gridCol w:w="196"/>
        <w:gridCol w:w="886"/>
        <w:gridCol w:w="109"/>
        <w:gridCol w:w="109"/>
        <w:gridCol w:w="109"/>
        <w:gridCol w:w="109"/>
        <w:gridCol w:w="154"/>
      </w:tblGrid>
      <w:tr>
        <w:trPr/>
        <w:tc>
          <w:tcPr>
            <w:tcW w:w="2097"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income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of assets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ESPP, and incentive units compensation</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 and discounts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extinguishment and modification costs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contingent consideration</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non-cash items,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operating assets and liabilities: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Accounts receivable </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expenses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residual commissions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deposits and advance payments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operating activities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55,345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27,080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business, net of cash acquired</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to property, equipment and software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Notes receivable, net (see </w:t>
            </w:r>
            <w:hyperlink w:anchor="i5564e7281e874bc598c371fdf8820f67_52">
              <w:r>
                <w:rPr>
                  <w:rStyle w:val="InternetLink"/>
                  <w:rFonts w:ascii="Times New Roman;serif" w:hAnsi="Times New Roman;serif"/>
                  <w:b w:val="false"/>
                  <w:color w:val="0000FF"/>
                  <w:sz w:val="18"/>
                  <w:u w:val="single"/>
                </w:rPr>
                <w:t>Note 5</w:t>
              </w:r>
            </w:hyperlink>
            <w:r>
              <w:rPr>
                <w:rFonts w:ascii="Times New Roman;serif" w:hAnsi="Times New Roman;serif"/>
                <w:b w:val="false"/>
                <w:color w:val="000000"/>
                <w:sz w:val="18"/>
              </w:rPr>
              <w: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investments,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investing activities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investing activities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(203,024)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(21,145)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long-term debt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issuance and modification costs paid</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long-term debt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Shares withheld for taxes </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 of stock options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Settlement obligations,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deferred/contingent consideration</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financing activities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83,230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178,091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change in cash and cash equivalents and restricted cash:</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(decrease)/increase in cash and cash equivalents, and restricted cash</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and restricted cash at beginning of period</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1,345,998 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and cash equivalents and restricted cash at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1,281,549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1,177,890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240"/>
        <w:jc w:val="left"/>
        <w:rPr/>
      </w:pPr>
      <w:hyperlink w:anchor="i5564e7281e874bc598c371fdf8820f6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pPr>
      <w:r>
        <w:rPr>
          <w:rFonts w:ascii="Times New Roman;serif" w:hAnsi="Times New Roman;serif"/>
          <w:b/>
          <w:color w:val="000000"/>
          <w:sz w:val="20"/>
        </w:rPr>
        <w:t>Priority Technology Holdings, Inc</w:t>
      </w:r>
      <w:r>
        <w:rPr>
          <w:rFonts w:ascii="Times New Roman;serif" w:hAnsi="Times New Roman;serif"/>
          <w:b w:val="false"/>
          <w:color w:val="000000"/>
          <w:sz w:val="20"/>
        </w:rPr>
        <w: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Consolidated Statements of Cash Flows</w:t>
      </w:r>
    </w:p>
    <w:p>
      <w:pPr>
        <w:pStyle w:val="TextBody"/>
        <w:bidi w:val="0"/>
        <w:spacing w:lineRule="auto" w:line="288" w:before="0" w:after="24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bl>
      <w:tblPr>
        <w:tblW w:w="9595" w:type="dxa"/>
        <w:jc w:val="left"/>
        <w:tblInd w:w="0" w:type="dxa"/>
        <w:tblLayout w:type="fixed"/>
        <w:tblCellMar>
          <w:top w:w="28" w:type="dxa"/>
          <w:left w:w="28" w:type="dxa"/>
          <w:bottom w:w="28" w:type="dxa"/>
          <w:right w:w="28" w:type="dxa"/>
        </w:tblCellMar>
      </w:tblPr>
      <w:tblGrid>
        <w:gridCol w:w="2320"/>
        <w:gridCol w:w="2037"/>
        <w:gridCol w:w="2048"/>
        <w:gridCol w:w="196"/>
        <w:gridCol w:w="886"/>
        <w:gridCol w:w="109"/>
        <w:gridCol w:w="109"/>
        <w:gridCol w:w="109"/>
        <w:gridCol w:w="109"/>
        <w:gridCol w:w="196"/>
        <w:gridCol w:w="886"/>
        <w:gridCol w:w="109"/>
        <w:gridCol w:w="109"/>
        <w:gridCol w:w="109"/>
        <w:gridCol w:w="109"/>
        <w:gridCol w:w="154"/>
      </w:tblGrid>
      <w:tr>
        <w:trPr/>
        <w:tc>
          <w:tcPr>
            <w:tcW w:w="2320" w:type="dxa"/>
            <w:tcBorders/>
            <w:vAlign w:val="center"/>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c>
          <w:tcPr>
            <w:tcW w:w="20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Reconciliation of cash and cash equivalents, and restricted cash:</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Cash and cash equivalents included in settlement assets (restricted in nature) (see </w:t>
            </w:r>
            <w:hyperlink w:anchor="i5564e7281e874bc598c371fdf8820f67_49">
              <w:r>
                <w:rPr>
                  <w:rStyle w:val="InternetLink"/>
                  <w:rFonts w:ascii="Times New Roman;serif" w:hAnsi="Times New Roman;serif"/>
                  <w:b w:val="false"/>
                  <w:color w:val="0000FF"/>
                  <w:sz w:val="18"/>
                  <w:u w:val="single"/>
                </w:rPr>
                <w:t>Note 4</w:t>
              </w:r>
            </w:hyperlink>
            <w:r>
              <w:rPr>
                <w:rFonts w:ascii="Times New Roman;serif" w:hAnsi="Times New Roman;serif"/>
                <w:b w:val="false"/>
                <w:color w:val="000000"/>
                <w:sz w:val="18"/>
              </w:rPr>
              <w: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1,143,849 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1,113,121 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cash and cash equivalents, and restricted cash</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1,281,549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1,177,890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cash flow information:</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income taxes, net of refunds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Non-cash investing and financing activities: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adjustment to goodwill and intangibles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 options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pPr>
      <w:r>
        <w:rPr>
          <w:rFonts w:ascii="Times New Roman;serif" w:hAnsi="Times New Roman;serif"/>
          <w:b w:val="false"/>
          <w:color w:val="000000"/>
          <w:sz w:val="20"/>
        </w:rPr>
        <w:t xml:space="preserve">See </w:t>
      </w:r>
      <w:hyperlink w:anchor="i5564e7281e874bc598c371fdf8820f67_31">
        <w:r>
          <w:rPr>
            <w:rStyle w:val="InternetLink"/>
            <w:rFonts w:ascii="Times New Roman;serif" w:hAnsi="Times New Roman;serif"/>
            <w:b w:val="false"/>
            <w:color w:val="0000FF"/>
            <w:sz w:val="20"/>
            <w:u w:val="single"/>
          </w:rPr>
          <w:t>Notes to Unaudited Consolidated Financial Statements.</w:t>
        </w:r>
      </w:hyperlink>
    </w:p>
    <w:p>
      <w:pPr>
        <w:pStyle w:val="TextBody"/>
        <w:bidi w:val="0"/>
        <w:spacing w:before="0" w:after="240"/>
        <w:jc w:val="center"/>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240"/>
        <w:jc w:val="left"/>
        <w:rPr/>
      </w:pPr>
      <w:hyperlink w:anchor="i5564e7281e874bc598c371fdf8820f6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Priority Technology Holdings, Inc.</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    Basis of Presentation and Significant Accounting Policies</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Business, Consolidation and Presentation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Priority Technology Holdings, Inc. and its consolidated subsidiaries are referred to herein collectively as "Priority Commerce," the "Company," "we," "our" or "us," unless the context requires otherwise. Priority Commerce delivers payments and banking solutions that power connected commerce. Through a unified platform of payables, merchant services, and banking and treasury, Priority Commerce helps businesses manage money more effectively and unlock growth. The Priority Commerce Engine accelerates cash flow, improves working capital, reduces costs, and creates new revenue opportunities.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operates on a calendar year ending each December 31 and reports quarterly results on four calendar quarters ending on March 31, June 30, September 30 and December 31 of each year. Results of operations reported for interim periods are not necessarily indicative of results for the entire year.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Consolidated Financial Statements include the accounts of the Company and its majority-owned subsidiaries. All material intercompany balances and transactions have been eliminated in consolidation. These Unaudited Consolidated Financial Statements have been prepared in accordance with GAAP for interim financial information pursuant to the rules and regulations of the SEC. The Consolidated Balance Sheet as of December 31, 2025 was derived from the audited consolidated financial statements included in the Company's Annual Report on Form 10-K for the year ended December 31, 2025 but does not include all disclosures required by GAAP for annual consolidated financial statements.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NCI represents the equity interest in certain consolidated entities in which the Company owns less than 100% of the profit interests. Changes in the Company's ownership interest while the Company retains its controlling interest are accounted for as equity transactions. As of June 30, 2026, there was no income attributable to NCI in accordance with the applicable operating agreements.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In the opinion of the Company's management, all known adjustments necessary for a fair presentation of the Unaudited Consolidated Financial Statements for interim periods have been made. These adjustments consist of normal recurring accruals and estimates that affect the carrying amounts of assets and liabilities. These Unaudited Consolidated Financial Statements should be read in conjunction with the Consolidated Financial Statements and notes thereto included in the Company's Annual Report on Form 10-K for the year ended December 31, 2025.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Certain amounts from prior periods have been reclassified to conform to the current period’s presentation. The effect of these reclassifications on our Company’s previously reported consolidated financial statements was not material.</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Segment Renaming</w:t>
      </w:r>
    </w:p>
    <w:p>
      <w:pPr>
        <w:pStyle w:val="TextBody"/>
        <w:bidi w:val="0"/>
        <w:spacing w:lineRule="auto" w:line="288" w:before="0" w:after="240"/>
        <w:jc w:val="left"/>
        <w:rPr/>
      </w:pPr>
      <w:r>
        <w:rPr>
          <w:rFonts w:ascii="Times New Roman;serif" w:hAnsi="Times New Roman;serif"/>
          <w:b w:val="false"/>
          <w:color w:val="000000"/>
          <w:sz w:val="20"/>
        </w:rPr>
        <w:t xml:space="preserve">During the year ended December 31, 2025, the Company renamed its segments to align with the services offered. SMB Payments was renamed to Merchant Solutions, B2B Payments was renamed to Payables and Enterprise Payments was renamed to Treasury Solutions. There was no other change to the segments, see further information at </w:t>
      </w:r>
      <w:hyperlink w:anchor="i5564e7281e874bc598c371fdf8820f67_88">
        <w:r>
          <w:rPr>
            <w:rStyle w:val="InternetLink"/>
            <w:rFonts w:ascii="Times New Roman;serif" w:hAnsi="Times New Roman;serif"/>
            <w:b w:val="false"/>
            <w:color w:val="0000FF"/>
            <w:sz w:val="20"/>
            <w:u w:val="single"/>
          </w:rPr>
          <w:t>Note 14. Segment Information</w:t>
        </w:r>
      </w:hyperlink>
      <w:r>
        <w:rPr>
          <w:rFonts w:ascii="Times New Roman;serif" w:hAnsi="Times New Roman;serif"/>
          <w:b w:val="false"/>
          <w:color w:val="000000"/>
          <w:sz w:val="20"/>
        </w:rPr>
        <w:t xml:space="preserve">. </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Use of Estimates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preparation of Unaudited Consolidated Financial Statements in conformity with GAAP requires management to make estimates and assumptions that affect the reported amounts of assets and liabilities and the disclosure of contingent assets and liabilities at the date of the Unaudited Consolidated Financial Statements and the reported amounts of revenues and expenses during the reported period. Actual results could materially differ from those estimates. </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Foreign Currency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reporting currency is the U.S. dollar. The functional currency of the Indian subsidiary of the Company is the Indian Rupee. The functional currency of the Canadian subsidiaries of the Company is the Canadian Dollar. Accordingly, assets and liabilities denominated in a foreign currency are translated into U.S. dollars at the current exchange rate on the last day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reporting period. Revenues and expenses are translated using the average exchange rate in effect during the reporting period. Translation adjustments are reported as a component of accumulated other comprehensive income.</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Allowance for Expected Losses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A reconciliation of the beginning and ending amount of allowance for expected losses is as follows: </w:t>
      </w:r>
    </w:p>
    <w:tbl>
      <w:tblPr>
        <w:tblW w:w="6498" w:type="dxa"/>
        <w:jc w:val="left"/>
        <w:tblInd w:w="0" w:type="dxa"/>
        <w:tblLayout w:type="fixed"/>
        <w:tblCellMar>
          <w:top w:w="28" w:type="dxa"/>
          <w:left w:w="28" w:type="dxa"/>
          <w:bottom w:w="28" w:type="dxa"/>
          <w:right w:w="28" w:type="dxa"/>
        </w:tblCellMar>
      </w:tblPr>
      <w:tblGrid>
        <w:gridCol w:w="939"/>
        <w:gridCol w:w="827"/>
        <w:gridCol w:w="829"/>
        <w:gridCol w:w="375"/>
        <w:gridCol w:w="1230"/>
        <w:gridCol w:w="194"/>
        <w:gridCol w:w="109"/>
        <w:gridCol w:w="109"/>
        <w:gridCol w:w="109"/>
        <w:gridCol w:w="109"/>
        <w:gridCol w:w="109"/>
        <w:gridCol w:w="311"/>
        <w:gridCol w:w="1021"/>
        <w:gridCol w:w="227"/>
      </w:tblGrid>
      <w:tr>
        <w:trPr/>
        <w:tc>
          <w:tcPr>
            <w:tcW w:w="93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Accounts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Settlement assets</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(6,297)</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(7,069)</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Charge-offs (recoveries), net</w:t>
            </w:r>
          </w:p>
        </w:tc>
        <w:tc>
          <w:tcPr>
            <w:tcW w:w="1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5,990 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w:t>
            </w:r>
          </w:p>
        </w:tc>
        <w:tc>
          <w:tcPr>
            <w:tcW w:w="1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(4,378)</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2026</w:t>
            </w:r>
          </w:p>
        </w:tc>
        <w:tc>
          <w:tcPr>
            <w:tcW w:w="3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(6,551)</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(5,457)</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elected not to measure expected losses for accrued interest on notes receivable but instead recognize losses for accrued interest within the period losses are determined to be uncollectible. </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Recently Adopted Accounting Standards </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Measurement of Credit Losses for Accounts Receivable and Contract Assets ASU 2025-05</w:t>
      </w:r>
    </w:p>
    <w:p>
      <w:pPr>
        <w:pStyle w:val="TextBody"/>
        <w:bidi w:val="0"/>
        <w:spacing w:lineRule="auto" w:line="288" w:before="0" w:after="240"/>
        <w:jc w:val="left"/>
        <w:rPr/>
      </w:pPr>
      <w:r>
        <w:rPr>
          <w:rFonts w:ascii="Times New Roman;serif" w:hAnsi="Times New Roman;serif"/>
          <w:b w:val="false"/>
          <w:color w:val="000000"/>
          <w:sz w:val="20"/>
        </w:rPr>
        <w:t>In July 2025, the FASB issued ASU 2025-05,</w:t>
      </w:r>
      <w:r>
        <w:rPr>
          <w:color w:val="000000"/>
        </w:rPr>
        <w:t xml:space="preserve"> </w:t>
      </w:r>
      <w:r>
        <w:rPr>
          <w:rFonts w:ascii="Times New Roman;serif" w:hAnsi="Times New Roman;serif"/>
          <w:b w:val="false"/>
          <w:i/>
          <w:color w:val="000000"/>
          <w:sz w:val="20"/>
        </w:rPr>
        <w:t xml:space="preserve">Financial Instruments - Credit Losses (Topic 326) </w:t>
      </w:r>
      <w:r>
        <w:rPr>
          <w:rFonts w:ascii="Times New Roman;serif" w:hAnsi="Times New Roman;serif"/>
          <w:b w:val="false"/>
          <w:color w:val="000000"/>
          <w:sz w:val="20"/>
        </w:rPr>
        <w:t xml:space="preserve">("ASU 2025-05") providing a practical expedient when estimating expected credit losses which assumes current conditions as of the balance sheet date do not change for the remaining life of the accounts receivable and contract asset. The ASU is effective for fiscal years beginning after December 15, 2025, and interim reporting periods within those annual reporting periods. Adoption of this standard did not have any material impact on results of operations, financial position, cash flows or disclosures. </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Recently Issued Accounting Standards Pending Adoption</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Disaggregation of Income Statement Expenses ASU 2024-03</w:t>
      </w:r>
    </w:p>
    <w:p>
      <w:pPr>
        <w:pStyle w:val="TextBody"/>
        <w:bidi w:val="0"/>
        <w:spacing w:lineRule="auto" w:line="288" w:before="0" w:after="240"/>
        <w:jc w:val="left"/>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Statement-Reporting Comprehensive Income-Expense Disaggregation Disclosures (Subtopic 220-40)</w:t>
      </w:r>
      <w:r>
        <w:rPr>
          <w:color w:val="000000"/>
        </w:rPr>
        <w:t xml:space="preserve"> </w:t>
      </w:r>
      <w:r>
        <w:rPr>
          <w:rFonts w:ascii="Times New Roman;serif" w:hAnsi="Times New Roman;serif"/>
          <w:b w:val="false"/>
          <w:color w:val="000000"/>
          <w:sz w:val="20"/>
        </w:rPr>
        <w:t xml:space="preserve">("ASU 2024-03") requiring additional disaggregated disclosures in the notes to financial statements for certain categories of expenses that are included on the face of the income statement. The ASU is effective for fiscal years beginning after December 15, 2026 and interim periods within annual reporting periods beginning after December 15, 2027. Early adoption is permitted. The Company will adopt this guidance for the year ended December 31, 2027. This guidance is expected to only impact the disclosures with no impact on the results of operations, financial position or cash flows. </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 xml:space="preserve">Accounting for Internal-Use Software ASU 2025-06, </w:t>
      </w:r>
    </w:p>
    <w:p>
      <w:pPr>
        <w:pStyle w:val="TextBody"/>
        <w:bidi w:val="0"/>
        <w:spacing w:lineRule="auto" w:line="288" w:before="0" w:after="240"/>
        <w:jc w:val="left"/>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Intangibles-Goodwill and Other-Internal-Use Software (Subtopic 350-40)</w:t>
      </w:r>
      <w:r>
        <w:rPr>
          <w:color w:val="000000"/>
        </w:rPr>
        <w:t xml:space="preserve"> </w:t>
      </w:r>
      <w:r>
        <w:rPr>
          <w:rFonts w:ascii="Times New Roman;serif" w:hAnsi="Times New Roman;serif"/>
          <w:b w:val="false"/>
          <w:color w:val="000000"/>
          <w:sz w:val="20"/>
        </w:rPr>
        <w:t>("ASU 2025-06") for targeted improvements to the accounting for internal-use software. The amendment updates guidance to consider different methods of software development, updating the requirements for capitalization of software costs. This ASU is effective for annual reporting periods beginning after December 15, 2027, and interim reporting periods within those annual reporting periods, with early adoption permitted. The Company is currently evaluating the impact this ASU will have on its consolidated financial statements.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Interim Reporting ASU 2025-11</w:t>
      </w:r>
    </w:p>
    <w:p>
      <w:pPr>
        <w:pStyle w:val="TextBody"/>
        <w:bidi w:val="0"/>
        <w:spacing w:lineRule="auto" w:line="288" w:before="0" w:after="240"/>
        <w:jc w:val="left"/>
        <w:rPr/>
      </w:pPr>
      <w:r>
        <w:rPr>
          <w:rFonts w:ascii="Times New Roman;serif" w:hAnsi="Times New Roman;serif"/>
          <w:b w:val="false"/>
          <w:color w:val="000000"/>
          <w:sz w:val="20"/>
        </w:rPr>
        <w:t xml:space="preserve">In December 2025, the FASB issued ASU 2025-11, </w:t>
      </w:r>
      <w:r>
        <w:rPr>
          <w:rFonts w:ascii="Times New Roman;serif" w:hAnsi="Times New Roman;serif"/>
          <w:b w:val="false"/>
          <w:i/>
          <w:color w:val="000000"/>
          <w:sz w:val="20"/>
        </w:rPr>
        <w:t>Interim Reporting (Topic 270)</w:t>
      </w:r>
      <w:r>
        <w:rPr>
          <w:color w:val="000000"/>
        </w:rPr>
        <w:t xml:space="preserve"> </w:t>
      </w:r>
      <w:r>
        <w:rPr>
          <w:rFonts w:ascii="Times New Roman;serif" w:hAnsi="Times New Roman;serif"/>
          <w:b w:val="false"/>
          <w:color w:val="000000"/>
          <w:sz w:val="20"/>
        </w:rPr>
        <w:t xml:space="preserve">("ASU 2025-11") provides clarity about the current requirements for a comprehensive list of interim disclosures and also requires the Company to disclose events since the end of the last annual reporting period which have a material impact on the Company. This ASU is effective for interim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reporting periods within annual reporting periods beginning after December 15, 2027 and early adoption is permitted. The Company is currently evaluating the impact this ASU will have on its interim consolidated financial statements and disclosures. </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2.    Acquisitions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Acquisitions that occurred in prior years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Payslate </w:t>
      </w:r>
    </w:p>
    <w:p>
      <w:pPr>
        <w:pStyle w:val="TextBody"/>
        <w:bidi w:val="0"/>
        <w:spacing w:lineRule="auto" w:line="288" w:before="0" w:after="240"/>
        <w:jc w:val="left"/>
        <w:rPr/>
      </w:pPr>
      <w:r>
        <w:rPr>
          <w:rFonts w:ascii="Times New Roman;serif" w:hAnsi="Times New Roman;serif"/>
          <w:b w:val="false"/>
          <w:color w:val="000000"/>
          <w:sz w:val="20"/>
        </w:rPr>
        <w:t xml:space="preserve">On January 21, 2025, Priority Commerce’s wholly owned subsidiary, Priority Canada Acquisition Company, Inc., acquired 100% of the equity interest in Payslate Inc. (Canada), and its subsidiary Rentmoola Payment Solutions Ltd (United Kingdom) (jointly referred as "Letus business"). The Letus business is engaged in processing of rent payments for property management companies in the United States and Canada. The acquisition offers synergy opportunities to the Company's Treasury Solutions rent payment business and expand Priority Commerce's services in Canada. The acquisition was accounted for under the acquisition method of accounting in accordance with ASC 805, </w:t>
      </w:r>
      <w:r>
        <w:rPr>
          <w:rFonts w:ascii="Times New Roman;serif" w:hAnsi="Times New Roman;serif"/>
          <w:b w:val="false"/>
          <w:i/>
          <w:color w:val="000000"/>
          <w:sz w:val="20"/>
        </w:rPr>
        <w:t>Business Combinations</w:t>
      </w:r>
      <w:r>
        <w:rPr>
          <w:rFonts w:ascii="Times New Roman;serif" w:hAnsi="Times New Roman;serif"/>
          <w:b w:val="false"/>
          <w:color w:val="000000"/>
          <w:sz w:val="20"/>
        </w:rPr>
        <w:t xml:space="preserve">. The total purchase consideration was $8.8 million, consisting of $4.4 million in cash consideration funded by the Company’s cash flows, deferred consideration of $4.3 million and contingent consideration of $0.1 million.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deferred consideration of $4.3 million was recorded at the fair value on the acquisition date. The deferred consideration is paid monthly equal to 40% of gross profit under the agreement and total payments will not exceed $6.5 million. Any amount remaining but unpaid will be paid in full by January 21, 2030. The Company continues to accrete interest expense on the deferred consideration throughout the period.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final purchase price allocation is set forth in the table below:</w:t>
      </w:r>
    </w:p>
    <w:tbl>
      <w:tblPr>
        <w:tblW w:w="6575" w:type="dxa"/>
        <w:jc w:val="left"/>
        <w:tblInd w:w="0" w:type="dxa"/>
        <w:tblLayout w:type="fixed"/>
        <w:tblCellMar>
          <w:top w:w="28" w:type="dxa"/>
          <w:left w:w="28" w:type="dxa"/>
          <w:bottom w:w="28" w:type="dxa"/>
          <w:right w:w="28" w:type="dxa"/>
        </w:tblCellMar>
      </w:tblPr>
      <w:tblGrid>
        <w:gridCol w:w="2017"/>
        <w:gridCol w:w="1775"/>
        <w:gridCol w:w="1787"/>
        <w:gridCol w:w="211"/>
        <w:gridCol w:w="631"/>
        <w:gridCol w:w="154"/>
      </w:tblGrid>
      <w:tr>
        <w:trPr/>
        <w:tc>
          <w:tcPr>
            <w:tcW w:w="2017"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Consideration:</w:t>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Cash</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Deferred consideration </w:t>
            </w:r>
            <w:r>
              <w:rPr>
                <w:rFonts w:ascii="Times New Roman;serif" w:hAnsi="Times New Roman;serif"/>
                <w:b w:val="false"/>
                <w:color w:val="000000"/>
                <w:sz w:val="13"/>
              </w:rPr>
              <w:t>(2)</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Contingent consideration</w:t>
            </w:r>
            <w:r>
              <w:rPr>
                <w:rFonts w:ascii="Times New Roman;serif" w:hAnsi="Times New Roman;serif"/>
                <w:b w:val="false"/>
                <w:color w:val="000000"/>
                <w:sz w:val="13"/>
              </w:rPr>
              <w:t>(3)</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cash acquired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purchase consideration, net of cash acquired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8,838</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Recognized amounts of assets acquired and liabilities assumed</w:t>
            </w:r>
            <w:r>
              <w:rPr>
                <w:rFonts w:ascii="Times New Roman;serif" w:hAnsi="Times New Roman;serif"/>
                <w:b/>
                <w:color w:val="000000"/>
                <w:sz w:val="13"/>
              </w:rPr>
              <w:t>(4)</w:t>
            </w:r>
            <w:r>
              <w:rPr>
                <w:rFonts w:ascii="Times New Roman;serif" w:hAnsi="Times New Roman;serif"/>
                <w:b/>
                <w:color w:val="000000"/>
                <w:sz w:val="20"/>
              </w:rPr>
              <w:t>:</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equipment and software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purchase consideration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8,838</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2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Cash at closing net of adjustments from estimated net working capital to actual working capital.</w:t>
      </w:r>
    </w:p>
    <w:p>
      <w:pPr>
        <w:pStyle w:val="TextBody"/>
        <w:bidi w:val="0"/>
        <w:spacing w:lineRule="auto" w:line="240" w:before="0" w:after="120"/>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 xml:space="preserve">The fair value of the deferred consideration was determined utilizing a Monte Carlo simulation. The payments were calculated based on the path for the simulated metrics and the contractual terms of the deferred consideration payments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240"/>
        <w:jc w:val="left"/>
        <w:rPr/>
      </w:pPr>
      <w:r>
        <w:rPr/>
      </w:r>
    </w:p>
    <w:p>
      <w:pPr>
        <w:pStyle w:val="TextBody"/>
        <w:bidi w:val="0"/>
        <w:spacing w:lineRule="auto" w:line="240" w:before="0" w:after="120"/>
        <w:jc w:val="left"/>
        <w:rPr>
          <w:rFonts w:ascii="Times New Roman;serif" w:hAnsi="Times New Roman;serif"/>
          <w:b w:val="false"/>
          <w:color w:val="000000"/>
          <w:sz w:val="20"/>
        </w:rPr>
      </w:pPr>
      <w:r>
        <w:rPr>
          <w:rFonts w:ascii="Times New Roman;serif" w:hAnsi="Times New Roman;serif"/>
          <w:b w:val="false"/>
          <w:color w:val="000000"/>
          <w:sz w:val="20"/>
        </w:rPr>
        <w:t>and were discounted to present value at a rate reflecting a risk associated with the payoffs. The fair value was estimated to be the average present value of the deferred consideration payments over all iterations of the simulation.</w:t>
      </w:r>
    </w:p>
    <w:p>
      <w:pPr>
        <w:pStyle w:val="TextBody"/>
        <w:bidi w:val="0"/>
        <w:spacing w:lineRule="auto" w:line="240" w:before="0" w:after="120"/>
        <w:ind w:left="0" w:right="0" w:hanging="360"/>
        <w:jc w:val="left"/>
        <w:rPr/>
      </w:pPr>
      <w:r>
        <w:rPr>
          <w:rFonts w:ascii="Times New Roman;serif" w:hAnsi="Times New Roman;serif"/>
          <w:b w:val="false"/>
          <w:color w:val="000000"/>
          <w:sz w:val="13"/>
        </w:rPr>
        <w:t>(3)</w:t>
      </w:r>
      <w:r>
        <w:rPr>
          <w:rFonts w:ascii="Times New Roman;serif" w:hAnsi="Times New Roman;serif"/>
          <w:b w:val="false"/>
          <w:color w:val="000000"/>
          <w:sz w:val="20"/>
        </w:rPr>
        <w:t xml:space="preserve">The contingent consideration represents the fair value of the share of net operating loss carryforwards owed to the seller in the future. </w:t>
      </w:r>
    </w:p>
    <w:p>
      <w:pPr>
        <w:pStyle w:val="TextBody"/>
        <w:bidi w:val="0"/>
        <w:spacing w:lineRule="auto" w:line="240" w:before="0" w:after="120"/>
        <w:ind w:left="0" w:right="0" w:hanging="360"/>
        <w:jc w:val="left"/>
        <w:rPr/>
      </w:pPr>
      <w:r>
        <w:rPr>
          <w:rFonts w:ascii="Times New Roman;serif" w:hAnsi="Times New Roman;serif"/>
          <w:b w:val="false"/>
          <w:color w:val="000000"/>
          <w:sz w:val="13"/>
        </w:rPr>
        <w:t>(4)</w:t>
      </w:r>
      <w:r>
        <w:rPr>
          <w:rFonts w:ascii="Times New Roman;serif" w:hAnsi="Times New Roman;serif"/>
          <w:b w:val="false"/>
          <w:color w:val="000000"/>
          <w:sz w:val="20"/>
        </w:rPr>
        <w:t>Includes deferred tax asset of $3.8 million which has a full valuation allowance.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Goodwill of $6.1 million arising from the acquisition primarily consists of the expected synergies and other benefits from combining operations. There was no goodwill deductible for income tax purposes. The goodwill was 100% allocated to the Company's Treasury Solutions reportable segment.</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Sila </w:t>
      </w:r>
    </w:p>
    <w:p>
      <w:pPr>
        <w:pStyle w:val="TextBody"/>
        <w:bidi w:val="0"/>
        <w:spacing w:lineRule="auto" w:line="288" w:before="0" w:after="240"/>
        <w:jc w:val="left"/>
        <w:rPr/>
      </w:pPr>
      <w:r>
        <w:rPr>
          <w:rFonts w:ascii="Times New Roman;serif" w:hAnsi="Times New Roman;serif"/>
          <w:b w:val="false"/>
          <w:color w:val="000000"/>
          <w:sz w:val="20"/>
        </w:rPr>
        <w:t xml:space="preserve">On August 26, 2025, Priority Commerce's wholly owned subsidiary, Priority Tech Ventures, LLC, through its merger subsidiary, acquired total outstanding shares including all voting interests in Sila Inc. ("the "Sila business" or "Sila"). Sila is a payment platform that enables ACH transfers, instant settlement, digital wallets and built-in compliance through a simple application programming interface. Technology acquired in this transaction supplements Priority Commerce's Treasury Solutions reportable segment. The acquisition was accounted for under the acquisition method of accounting in accordance with ASC 805, </w:t>
      </w:r>
      <w:r>
        <w:rPr>
          <w:rFonts w:ascii="Times New Roman;serif" w:hAnsi="Times New Roman;serif"/>
          <w:b w:val="false"/>
          <w:i/>
          <w:color w:val="000000"/>
          <w:sz w:val="20"/>
        </w:rPr>
        <w:t>Business Combinations</w:t>
      </w:r>
      <w:r>
        <w:rPr>
          <w:rFonts w:ascii="Times New Roman;serif" w:hAnsi="Times New Roman;serif"/>
          <w:b w:val="false"/>
          <w:color w:val="000000"/>
          <w:sz w:val="20"/>
        </w:rPr>
        <w:t>. The total purchase consideration was $7.2 million, consisting of $3.4 million in cash consideration funded by the Company's cash flows, and contingent consideration of $3.9 million for contractual earn-outs and additional contingent consideration. Earn-outs will be paid as a percentage of gross profit when certain thresholds are met and additional contingent considerations will be paid based on utilization of the seller's carryforward tax losses. The purchase price is considered preliminary pending finalization of customary adjustments from timing differences.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contingent consideration for the contractual earn-outs was recorded at the fair value of $3.9 million on the acquisition date. The contingent consideration will be paid quarterly subject to terms and conditions noted within the agreement over a period of seven years and total payments will not exceed $17.0 million.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preliminary purchase price allocation is set forth in the table below: </w:t>
      </w:r>
    </w:p>
    <w:tbl>
      <w:tblPr>
        <w:tblW w:w="6515" w:type="dxa"/>
        <w:jc w:val="left"/>
        <w:tblInd w:w="0" w:type="dxa"/>
        <w:tblLayout w:type="fixed"/>
        <w:tblCellMar>
          <w:top w:w="28" w:type="dxa"/>
          <w:left w:w="28" w:type="dxa"/>
          <w:bottom w:w="28" w:type="dxa"/>
          <w:right w:w="28" w:type="dxa"/>
        </w:tblCellMar>
      </w:tblPr>
      <w:tblGrid>
        <w:gridCol w:w="1958"/>
        <w:gridCol w:w="1723"/>
        <w:gridCol w:w="1733"/>
        <w:gridCol w:w="211"/>
        <w:gridCol w:w="736"/>
        <w:gridCol w:w="154"/>
      </w:tblGrid>
      <w:tr>
        <w:trPr/>
        <w:tc>
          <w:tcPr>
            <w:tcW w:w="1958"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Consideration:</w:t>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Cash</w:t>
            </w:r>
            <w:r>
              <w:rPr>
                <w:rFonts w:ascii="Times New Roman;serif" w:hAnsi="Times New Roman;serif"/>
                <w:b w:val="false"/>
                <w:color w:val="000000"/>
                <w:sz w:val="13"/>
              </w:rPr>
              <w:t>(1)(4)</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Contingent consideration </w:t>
            </w:r>
            <w:r>
              <w:rPr>
                <w:rFonts w:ascii="Times New Roman;serif" w:hAnsi="Times New Roman;serif"/>
                <w:b w:val="false"/>
                <w:color w:val="000000"/>
                <w:sz w:val="13"/>
              </w:rPr>
              <w:t>(2)(4)</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cash acquired</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purchase consideration, net of cash acquired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7,230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Recognized amounts of assets acquired and liabilities assumed:</w:t>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Accounts receivable</w:t>
            </w:r>
            <w:r>
              <w:rPr>
                <w:rFonts w:ascii="Times New Roman;serif" w:hAnsi="Times New Roman;serif"/>
                <w:b w:val="false"/>
                <w:color w:val="000000"/>
                <w:sz w:val="13"/>
              </w:rPr>
              <w:t>(4)</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Prepaid expenses</w:t>
            </w:r>
            <w:r>
              <w:rPr>
                <w:rFonts w:ascii="Times New Roman;serif" w:hAnsi="Times New Roman;serif"/>
                <w:b w:val="false"/>
                <w:color w:val="000000"/>
                <w:sz w:val="13"/>
              </w:rPr>
              <w:t>(4)</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noncurrent assets</w:t>
            </w:r>
            <w:r>
              <w:rPr>
                <w:rFonts w:ascii="Times New Roman;serif" w:hAnsi="Times New Roman;serif"/>
                <w:b w:val="false"/>
                <w:color w:val="000000"/>
                <w:sz w:val="13"/>
              </w:rPr>
              <w:t>(3)(4)</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Trademarks</w:t>
            </w:r>
            <w:r>
              <w:rPr>
                <w:rFonts w:ascii="Times New Roman;serif" w:hAnsi="Times New Roman;serif"/>
                <w:b w:val="false"/>
                <w:color w:val="000000"/>
                <w:sz w:val="13"/>
              </w:rPr>
              <w:t>(4)</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Technology</w:t>
            </w:r>
            <w:r>
              <w:rPr>
                <w:rFonts w:ascii="Times New Roman;serif" w:hAnsi="Times New Roman;serif"/>
                <w:b w:val="false"/>
                <w:color w:val="000000"/>
                <w:sz w:val="13"/>
              </w:rPr>
              <w:t>(4)</w:t>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w:t>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Accounts payable and accrued expenses</w:t>
            </w:r>
            <w:r>
              <w:rPr>
                <w:rFonts w:ascii="Times New Roman;serif" w:hAnsi="Times New Roman;serif"/>
                <w:b w:val="false"/>
                <w:color w:val="000000"/>
                <w:sz w:val="13"/>
              </w:rPr>
              <w:t>(4)</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deposits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of net assets acquired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11,219</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Estimated bargain purchase gain</w:t>
            </w:r>
            <w:r>
              <w:rPr>
                <w:rFonts w:ascii="Times New Roman;serif" w:hAnsi="Times New Roman;serif"/>
                <w:b/>
                <w:color w:val="000000"/>
                <w:sz w:val="13"/>
              </w:rPr>
              <w:t>(4)</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3,989</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2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Cash at closing net of adjustments from estimated net working capital and closing cash.</w:t>
      </w:r>
    </w:p>
    <w:p>
      <w:pPr>
        <w:pStyle w:val="TextBody"/>
        <w:bidi w:val="0"/>
        <w:spacing w:lineRule="auto" w:line="240" w:before="0" w:after="120"/>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 xml:space="preserve">The fair value of the contingent consideration was determined utilizing a Monte Carlo simulation. The payments were calculated based on the path for the simulated metrics and the contractual terms of the contingent consideration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240"/>
        <w:jc w:val="left"/>
        <w:rPr/>
      </w:pPr>
      <w:r>
        <w:rPr/>
      </w:r>
    </w:p>
    <w:p>
      <w:pPr>
        <w:pStyle w:val="TextBody"/>
        <w:bidi w:val="0"/>
        <w:spacing w:lineRule="auto" w:line="240"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payments and were discounted to present value at a rate reflecting a risk associated with the payoffs. The fair value was estimated to be the average present value of the contingent consideration payments over all iterations of the simulation. The contingent consideration represents the fair value of the contractual earn-outs and the share of net operating loss carryforwards owed to the seller in the future. </w:t>
      </w:r>
    </w:p>
    <w:p>
      <w:pPr>
        <w:pStyle w:val="TextBody"/>
        <w:bidi w:val="0"/>
        <w:spacing w:lineRule="auto" w:line="240" w:before="0" w:after="120"/>
        <w:ind w:left="0" w:right="0" w:hanging="360"/>
        <w:jc w:val="left"/>
        <w:rPr/>
      </w:pPr>
      <w:r>
        <w:rPr>
          <w:rFonts w:ascii="Times New Roman;serif" w:hAnsi="Times New Roman;serif"/>
          <w:b w:val="false"/>
          <w:color w:val="000000"/>
          <w:sz w:val="13"/>
        </w:rPr>
        <w:t>(3)</w:t>
      </w:r>
      <w:r>
        <w:rPr>
          <w:rFonts w:ascii="Times New Roman;serif" w:hAnsi="Times New Roman;serif"/>
          <w:b w:val="false"/>
          <w:color w:val="000000"/>
          <w:sz w:val="20"/>
        </w:rPr>
        <w:t>Includes a deferred tax asset of $9.5 million.</w:t>
      </w:r>
    </w:p>
    <w:p>
      <w:pPr>
        <w:pStyle w:val="TextBody"/>
        <w:bidi w:val="0"/>
        <w:spacing w:lineRule="auto" w:line="240" w:before="0" w:after="240"/>
        <w:ind w:left="0" w:right="0" w:hanging="360"/>
        <w:jc w:val="left"/>
        <w:rPr/>
      </w:pPr>
      <w:r>
        <w:rPr>
          <w:rFonts w:ascii="Times New Roman;serif" w:hAnsi="Times New Roman;serif"/>
          <w:b w:val="false"/>
          <w:color w:val="000000"/>
          <w:sz w:val="13"/>
        </w:rPr>
        <w:t>(4)</w:t>
      </w:r>
      <w:r>
        <w:rPr>
          <w:rFonts w:ascii="Times New Roman;serif" w:hAnsi="Times New Roman;serif"/>
          <w:b w:val="false"/>
          <w:color w:val="000000"/>
          <w:sz w:val="20"/>
        </w:rPr>
        <w:t>During the fourth quarter of 2025, the Company recorded measurement period adjustments due to additional      information received that existed on the acquisition date.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fair value of acquired assets and assumed liabilities exceeded the consideration paid, resulting in a bargain purchase gain. The Company reviewed its acquisition accounting methods, confirmed all assets and liabilities were properly identified, and ensured measurements reflected all consideration as of the closing date. The gain was primarily due to recognizing a deferred tax asset recorded in accordance with ASC 740 related to Sila's historical net operating losses. The bargain purchase gain is recorded in other income, net, in the Unaudited Consolidated Statements of Operations and Comprehensive Income.</w:t>
      </w:r>
    </w:p>
    <w:p>
      <w:pPr>
        <w:pStyle w:val="TextBody"/>
        <w:bidi w:val="0"/>
        <w:spacing w:lineRule="auto" w:line="276" w:before="0" w:after="240"/>
        <w:jc w:val="left"/>
        <w:rPr/>
      </w:pPr>
      <w:r>
        <w:rPr>
          <w:rFonts w:ascii="Times New Roman;serif" w:hAnsi="Times New Roman;serif"/>
          <w:b/>
          <w:color w:val="000000"/>
          <w:sz w:val="20"/>
        </w:rPr>
        <w:t xml:space="preserve">DMS </w:t>
      </w:r>
      <w:r>
        <w:rPr>
          <w:rFonts w:ascii="Times New Roman;serif" w:hAnsi="Times New Roman;serif"/>
          <w:b w:val="false"/>
          <w:color w:val="000000"/>
          <w:sz w:val="20"/>
        </w:rPr>
        <w:t>(</w:t>
      </w:r>
      <w:r>
        <w:rPr>
          <w:rFonts w:ascii="Times New Roman;serif" w:hAnsi="Times New Roman;serif"/>
          <w:b w:val="false"/>
          <w:i/>
          <w:color w:val="000000"/>
          <w:sz w:val="20"/>
        </w:rPr>
        <w:t>doing business as Priority Commerce Automotive</w:t>
      </w:r>
      <w:r>
        <w:rPr>
          <w:rFonts w:ascii="Times New Roman;serif" w:hAnsi="Times New Roman;serif"/>
          <w:b w:val="false"/>
          <w:color w:val="000000"/>
          <w:sz w:val="20"/>
        </w:rPr>
        <w:t>)</w:t>
      </w:r>
    </w:p>
    <w:p>
      <w:pPr>
        <w:pStyle w:val="TextBody"/>
        <w:bidi w:val="0"/>
        <w:spacing w:lineRule="auto" w:line="288" w:before="0" w:after="240"/>
        <w:jc w:val="left"/>
        <w:rPr/>
      </w:pPr>
      <w:r>
        <w:rPr>
          <w:rFonts w:ascii="Times New Roman;serif" w:hAnsi="Times New Roman;serif"/>
          <w:b w:val="false"/>
          <w:color w:val="000000"/>
          <w:sz w:val="20"/>
        </w:rPr>
        <w:t>On October 1, 2025, Priority Commerce's subsidiary, Priority DMS, LLC, entered into the asset purchase and contribution agreement with DMSJV, LLC ("DMS"), to acquire substantially all of the assets of DMS. DMS provides credit card processing solutions to automotive dealerships via marketing and selling card and ACH processing services and ancillary services including POS systems, payment gateways, payment processing and authorization, clearing, and settlement for credit card, debit and ACH transactions, which supplements the Company's services within the Merchant Solutions reportable segment. The acquisition was accounted for under the acquisition method of accounting in accordance with ASC 805,</w:t>
      </w:r>
      <w:r>
        <w:rPr>
          <w:color w:val="000000"/>
        </w:rPr>
        <w:t xml:space="preserve"> </w:t>
      </w:r>
      <w:r>
        <w:rPr>
          <w:rFonts w:ascii="Times New Roman;serif" w:hAnsi="Times New Roman;serif"/>
          <w:b w:val="false"/>
          <w:i/>
          <w:color w:val="000000"/>
          <w:sz w:val="20"/>
        </w:rPr>
        <w:t>Business Combinations</w:t>
      </w:r>
      <w:r>
        <w:rPr>
          <w:rFonts w:ascii="Times New Roman;serif" w:hAnsi="Times New Roman;serif"/>
          <w:b w:val="false"/>
          <w:color w:val="000000"/>
          <w:sz w:val="20"/>
        </w:rPr>
        <w:t>. The total purchase consideration was $57.9 million, consisting of $31.5 million in cash consideration funded by the Company's term loan facility, deferred consideration of $2.8 million, contingent consideration of $17.1 million for contractual earn-outs and $6.6 million in non-voting subsidiary shares issued to the sellers. Earn-outs will be paid as a percentage of gross profit when certain thresholds are met. The purchase price is considered preliminary pending finalization of customary adjustments from timing differences.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contingent consideration for the contractual earn-outs was recorded at the fair value of $17.1 million on the acquisition date. The contingent consideration will be paid when an initial cumulative threshold for gross profit is met, subject to terms and conditions noted within the agreement, over a period of at least four years and total payments will not exceed $22.5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preliminary purchase price allocation is set forth in the table below: </w:t>
      </w:r>
    </w:p>
    <w:tbl>
      <w:tblPr>
        <w:tblW w:w="6516" w:type="dxa"/>
        <w:jc w:val="left"/>
        <w:tblInd w:w="0" w:type="dxa"/>
        <w:tblLayout w:type="fixed"/>
        <w:tblCellMar>
          <w:top w:w="28" w:type="dxa"/>
          <w:left w:w="28" w:type="dxa"/>
          <w:bottom w:w="28" w:type="dxa"/>
          <w:right w:w="28" w:type="dxa"/>
        </w:tblCellMar>
      </w:tblPr>
      <w:tblGrid>
        <w:gridCol w:w="1958"/>
        <w:gridCol w:w="1722"/>
        <w:gridCol w:w="1735"/>
        <w:gridCol w:w="211"/>
        <w:gridCol w:w="736"/>
        <w:gridCol w:w="154"/>
      </w:tblGrid>
      <w:tr>
        <w:trPr/>
        <w:tc>
          <w:tcPr>
            <w:tcW w:w="1958"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Consideration:</w:t>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Contingent consideration</w:t>
            </w:r>
            <w:r>
              <w:rPr>
                <w:rFonts w:ascii="Times New Roman;serif" w:hAnsi="Times New Roman;serif"/>
                <w:b w:val="false"/>
                <w:color w:val="000000"/>
                <w:sz w:val="13"/>
              </w:rPr>
              <w:t>(2)</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Common equity of the Acquiring Entity</w:t>
            </w:r>
            <w:r>
              <w:rPr>
                <w:rFonts w:ascii="Times New Roman;serif" w:hAnsi="Times New Roman;serif"/>
                <w:b w:val="false"/>
                <w:color w:val="000000"/>
                <w:sz w:val="13"/>
              </w:rPr>
              <w:t>(3)</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Deferred consideration</w:t>
            </w:r>
            <w:r>
              <w:rPr>
                <w:rFonts w:ascii="Times New Roman;serif" w:hAnsi="Times New Roman;serif"/>
                <w:b w:val="false"/>
                <w:color w:val="000000"/>
                <w:sz w:val="13"/>
              </w:rPr>
              <w:t>(1)</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purchase consideration, net of cash acquired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57,929</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Recognized amounts of assets acquired and liabilities assumed:</w:t>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purchase consideration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57,929</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2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 xml:space="preserve">The deferred consideration represents the fair value of the amount to be remitted upon direction of the seller no later than four years from the acquisition date. </w:t>
      </w:r>
    </w:p>
    <w:p>
      <w:pPr>
        <w:pStyle w:val="TextBody"/>
        <w:bidi w:val="0"/>
        <w:spacing w:lineRule="auto" w:line="240" w:before="0" w:after="120"/>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The fair value of the contingent consideration was determined utilizing a Monte Carlo simulation. The payments were calculated based on the path for the simulated metrics and the contractual terms of the deferred consideration payments and were discounted to present value at a rate reflecting a risk associated with the payoffs. The fair value was estimated to be the average present value of the contingent consideration payments over all iterations of the simulation.</w:t>
      </w:r>
    </w:p>
    <w:p>
      <w:pPr>
        <w:pStyle w:val="TextBody"/>
        <w:bidi w:val="0"/>
        <w:spacing w:lineRule="auto" w:line="240" w:before="0" w:after="120"/>
        <w:ind w:left="0" w:right="0" w:hanging="360"/>
        <w:jc w:val="left"/>
        <w:rPr/>
      </w:pPr>
      <w:r>
        <w:rPr>
          <w:rFonts w:ascii="Times New Roman;serif" w:hAnsi="Times New Roman;serif"/>
          <w:b w:val="false"/>
          <w:color w:val="000000"/>
          <w:sz w:val="13"/>
        </w:rPr>
        <w:t>(3)</w:t>
      </w:r>
      <w:r>
        <w:rPr>
          <w:rFonts w:ascii="Times New Roman;serif" w:hAnsi="Times New Roman;serif"/>
          <w:b w:val="false"/>
          <w:color w:val="000000"/>
          <w:sz w:val="20"/>
        </w:rPr>
        <w:t xml:space="preserve">The fair value determination for the Class B units utilized an option pricing model. The seller may request to convert 50% of the Class B Units to shares in the Company no later than five years from the acquisition date. </w:t>
      </w:r>
    </w:p>
    <w:p>
      <w:pPr>
        <w:pStyle w:val="TextBody"/>
        <w:bidi w:val="0"/>
        <w:spacing w:lineRule="auto" w:line="276" w:before="0" w:after="240"/>
        <w:jc w:val="left"/>
        <w:rPr>
          <w:rFonts w:ascii="Times New Roman;serif" w:hAnsi="Times New Roman;serif"/>
          <w:b w:val="false"/>
          <w:color w:val="000000"/>
          <w:sz w:val="20"/>
        </w:rPr>
      </w:pPr>
      <w:r>
        <w:rPr>
          <w:rFonts w:ascii="Times New Roman;serif" w:hAnsi="Times New Roman;serif"/>
          <w:b w:val="false"/>
          <w:color w:val="000000"/>
          <w:sz w:val="20"/>
        </w:rPr>
        <w:t>Goodwill of $34.2 million arising from the acquisition primarily consists of the expected synergies and other benefits from combining operations. There was no goodwill deductible for income tax purposes. The goodwill was 100% allocated to the Company's Merchant Solutions reportable segment.</w:t>
      </w:r>
    </w:p>
    <w:p>
      <w:pPr>
        <w:pStyle w:val="TextBody"/>
        <w:bidi w:val="0"/>
        <w:spacing w:lineRule="auto" w:line="276" w:before="0" w:after="240"/>
        <w:jc w:val="left"/>
        <w:rPr>
          <w:rFonts w:ascii="Times New Roman;serif" w:hAnsi="Times New Roman;serif"/>
          <w:b/>
          <w:color w:val="000000"/>
          <w:sz w:val="20"/>
        </w:rPr>
      </w:pPr>
      <w:r>
        <w:rPr>
          <w:rFonts w:ascii="Times New Roman;serif" w:hAnsi="Times New Roman;serif"/>
          <w:b/>
          <w:color w:val="000000"/>
          <w:sz w:val="20"/>
        </w:rPr>
        <w:t>Other Acquisitions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Boom Commerce</w:t>
      </w:r>
    </w:p>
    <w:p>
      <w:pPr>
        <w:pStyle w:val="TextBody"/>
        <w:bidi w:val="0"/>
        <w:spacing w:lineRule="auto" w:line="276"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18, 2025, Priority Boom, LLC, a subsidiary of Priority Commerce, completed its acquisition of certain residual portfolio rights for a purchase price of $73.5 million in cash, $13.5 million in Common shares of Priority Commerce and earn-out payments not to exceed $17.0 million based on meeting certain thresholds over a three-year period from the date of acquisition. The transaction did not meet the definition of a business; therefore, it was accounted for as an asset purchase under which the cost of the acquisition was allocated to the acquired assets based on relative fair values. As an asset purchase, additional purchase price (in the form of earn-outs) is accounted for when payment to the seller becomes payable and is added to the carrying value of the asset, as long as it does not meet the definition of a derivative.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3.    Revenues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Disaggregation of Revenues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Total revenues include contracts with an original duration of one year or less and variable consideration under a stand-ready series of distinct days of service. The aggregate fixed consideration portion of customer contracts with an initial contract duration greater than one year is not material.</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a disaggregation of our consolidated revenues by segment: </w:t>
      </w:r>
    </w:p>
    <w:tbl>
      <w:tblPr>
        <w:tblW w:w="10205" w:type="dxa"/>
        <w:jc w:val="left"/>
        <w:tblInd w:w="0" w:type="dxa"/>
        <w:tblLayout w:type="fixed"/>
        <w:tblCellMar>
          <w:top w:w="28" w:type="dxa"/>
          <w:left w:w="28" w:type="dxa"/>
          <w:bottom w:w="28" w:type="dxa"/>
          <w:right w:w="28" w:type="dxa"/>
        </w:tblCellMar>
      </w:tblPr>
      <w:tblGrid>
        <w:gridCol w:w="587"/>
        <w:gridCol w:w="414"/>
        <w:gridCol w:w="415"/>
        <w:gridCol w:w="264"/>
        <w:gridCol w:w="1056"/>
        <w:gridCol w:w="136"/>
        <w:gridCol w:w="109"/>
        <w:gridCol w:w="109"/>
        <w:gridCol w:w="109"/>
        <w:gridCol w:w="372"/>
        <w:gridCol w:w="1304"/>
        <w:gridCol w:w="196"/>
        <w:gridCol w:w="109"/>
        <w:gridCol w:w="109"/>
        <w:gridCol w:w="109"/>
        <w:gridCol w:w="379"/>
        <w:gridCol w:w="1328"/>
        <w:gridCol w:w="199"/>
        <w:gridCol w:w="109"/>
        <w:gridCol w:w="109"/>
        <w:gridCol w:w="109"/>
        <w:gridCol w:w="229"/>
        <w:gridCol w:w="687"/>
        <w:gridCol w:w="120"/>
        <w:gridCol w:w="109"/>
        <w:gridCol w:w="109"/>
        <w:gridCol w:w="109"/>
        <w:gridCol w:w="211"/>
        <w:gridCol w:w="841"/>
        <w:gridCol w:w="159"/>
      </w:tblGrid>
      <w:tr>
        <w:trPr/>
        <w:tc>
          <w:tcPr>
            <w:tcW w:w="587"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r>
      <w:tr>
        <w:trPr/>
        <w:tc>
          <w:tcPr>
            <w:tcW w:w="14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4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Merchant Card Fees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Money Transmission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Outsourced and Other Services </w:t>
            </w:r>
            <w:r>
              <w:rPr>
                <w:rFonts w:ascii="Times New Roman;serif" w:hAnsi="Times New Roman;serif"/>
                <w:b w:val="false"/>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Equipment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Segment </w:t>
            </w:r>
          </w:p>
        </w:tc>
        <w:tc>
          <w:tcPr>
            <w:tcW w:w="14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Merchant Solutions</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171,917 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175,778 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Payables </w:t>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26,932 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30,430 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Solutions</w:t>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41,989 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60,519 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Eliminations</w:t>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(3,600)</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199,093</w:t>
            </w:r>
            <w:r>
              <w:rPr>
                <w:color w:val="000000"/>
              </w:rPr>
              <w:t>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41,989</w:t>
            </w: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18,855</w:t>
            </w:r>
            <w:r>
              <w:rPr>
                <w:color w:val="000000"/>
              </w:rPr>
              <w:t>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2,319</w:t>
            </w:r>
            <w:r>
              <w:rPr>
                <w:color w:val="000000"/>
              </w:rPr>
              <w:t>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262,256</w:t>
            </w:r>
            <w:r>
              <w:rPr>
                <w:color w:val="000000"/>
              </w:rPr>
              <w:t>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ind w:left="0" w:right="0" w:hanging="360"/>
        <w:jc w:val="left"/>
        <w:rPr/>
      </w:pPr>
      <w:r>
        <w:rPr>
          <w:rFonts w:ascii="Times New Roman;serif" w:hAnsi="Times New Roman;serif"/>
          <w:b w:val="false"/>
          <w:color w:val="000000"/>
          <w:sz w:val="9"/>
        </w:rPr>
        <w:t>(1)</w:t>
      </w:r>
      <w:r>
        <w:rPr>
          <w:rFonts w:ascii="Times New Roman;serif" w:hAnsi="Times New Roman;serif"/>
          <w:b w:val="false"/>
          <w:color w:val="000000"/>
          <w:sz w:val="20"/>
        </w:rPr>
        <w:t xml:space="preserve">Approximately $15.4 million of interest income on customer funds is included in outsourced services and other services revenue in the table above and approximately $1.4 million of interest income on corporate funds is included in other income, net on the Company's Unaudited Consolidated Statements of Operations and Comprehensive Income and is not reflected in the table above for the there months ended June 30, 2026. </w:t>
      </w:r>
    </w:p>
    <w:tbl>
      <w:tblPr>
        <w:tblW w:w="10205" w:type="dxa"/>
        <w:jc w:val="left"/>
        <w:tblInd w:w="0" w:type="dxa"/>
        <w:tblLayout w:type="fixed"/>
        <w:tblCellMar>
          <w:top w:w="28" w:type="dxa"/>
          <w:left w:w="28" w:type="dxa"/>
          <w:bottom w:w="28" w:type="dxa"/>
          <w:right w:w="28" w:type="dxa"/>
        </w:tblCellMar>
      </w:tblPr>
      <w:tblGrid>
        <w:gridCol w:w="587"/>
        <w:gridCol w:w="414"/>
        <w:gridCol w:w="415"/>
        <w:gridCol w:w="264"/>
        <w:gridCol w:w="1056"/>
        <w:gridCol w:w="136"/>
        <w:gridCol w:w="109"/>
        <w:gridCol w:w="109"/>
        <w:gridCol w:w="109"/>
        <w:gridCol w:w="372"/>
        <w:gridCol w:w="1304"/>
        <w:gridCol w:w="196"/>
        <w:gridCol w:w="109"/>
        <w:gridCol w:w="109"/>
        <w:gridCol w:w="109"/>
        <w:gridCol w:w="379"/>
        <w:gridCol w:w="1328"/>
        <w:gridCol w:w="199"/>
        <w:gridCol w:w="109"/>
        <w:gridCol w:w="109"/>
        <w:gridCol w:w="109"/>
        <w:gridCol w:w="229"/>
        <w:gridCol w:w="687"/>
        <w:gridCol w:w="120"/>
        <w:gridCol w:w="109"/>
        <w:gridCol w:w="109"/>
        <w:gridCol w:w="109"/>
        <w:gridCol w:w="211"/>
        <w:gridCol w:w="841"/>
        <w:gridCol w:w="159"/>
      </w:tblGrid>
      <w:tr>
        <w:trPr/>
        <w:tc>
          <w:tcPr>
            <w:tcW w:w="587"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r>
      <w:tr>
        <w:trPr/>
        <w:tc>
          <w:tcPr>
            <w:tcW w:w="14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4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Merchant Card Fees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Money Transmission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Outsourced and Other Services </w:t>
            </w:r>
            <w:r>
              <w:rPr>
                <w:rFonts w:ascii="Times New Roman;serif" w:hAnsi="Times New Roman;serif"/>
                <w:b w:val="false"/>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Equipment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Segment </w:t>
            </w:r>
          </w:p>
        </w:tc>
        <w:tc>
          <w:tcPr>
            <w:tcW w:w="14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Merchant Solutions</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330,416 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337,564 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Payables </w:t>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54,127 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62,871 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Solutions</w:t>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83,737 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119,359 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Eliminations</w:t>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(6,638)</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385,026</w:t>
            </w:r>
            <w:r>
              <w:rPr>
                <w:color w:val="000000"/>
              </w:rPr>
              <w:t>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83,737</w:t>
            </w: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38,681</w:t>
            </w:r>
            <w:r>
              <w:rPr>
                <w:color w:val="000000"/>
              </w:rPr>
              <w:t>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4,370</w:t>
            </w:r>
            <w:r>
              <w:rPr>
                <w:color w:val="000000"/>
              </w:rPr>
              <w:t>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511,814</w:t>
            </w:r>
            <w:r>
              <w:rPr>
                <w:color w:val="000000"/>
              </w:rPr>
              <w:t>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20"/>
        </w:rPr>
        <w:t xml:space="preserve">Approximately $30.2 million of interest income on customer funds is included in outsourced services and other services revenue in the table above and approximately $2.4 million of interest income on corporate funds is included in other income, net on the Company's Unaudited Consolidated Statements of Operations and Comprehensive Income and is not reflected in the table above for the six months ended June 30,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240"/>
        <w:jc w:val="left"/>
        <w:rPr/>
      </w:pPr>
      <w:r>
        <w:rPr/>
      </w:r>
    </w:p>
    <w:tbl>
      <w:tblPr>
        <w:tblW w:w="10205" w:type="dxa"/>
        <w:jc w:val="left"/>
        <w:tblInd w:w="0" w:type="dxa"/>
        <w:tblLayout w:type="fixed"/>
        <w:tblCellMar>
          <w:top w:w="28" w:type="dxa"/>
          <w:left w:w="28" w:type="dxa"/>
          <w:bottom w:w="28" w:type="dxa"/>
          <w:right w:w="28" w:type="dxa"/>
        </w:tblCellMar>
      </w:tblPr>
      <w:tblGrid>
        <w:gridCol w:w="587"/>
        <w:gridCol w:w="414"/>
        <w:gridCol w:w="415"/>
        <w:gridCol w:w="264"/>
        <w:gridCol w:w="1056"/>
        <w:gridCol w:w="136"/>
        <w:gridCol w:w="109"/>
        <w:gridCol w:w="109"/>
        <w:gridCol w:w="109"/>
        <w:gridCol w:w="372"/>
        <w:gridCol w:w="1304"/>
        <w:gridCol w:w="196"/>
        <w:gridCol w:w="109"/>
        <w:gridCol w:w="109"/>
        <w:gridCol w:w="109"/>
        <w:gridCol w:w="379"/>
        <w:gridCol w:w="1328"/>
        <w:gridCol w:w="199"/>
        <w:gridCol w:w="109"/>
        <w:gridCol w:w="109"/>
        <w:gridCol w:w="109"/>
        <w:gridCol w:w="229"/>
        <w:gridCol w:w="687"/>
        <w:gridCol w:w="120"/>
        <w:gridCol w:w="109"/>
        <w:gridCol w:w="109"/>
        <w:gridCol w:w="109"/>
        <w:gridCol w:w="211"/>
        <w:gridCol w:w="841"/>
        <w:gridCol w:w="159"/>
      </w:tblGrid>
      <w:tr>
        <w:trPr/>
        <w:tc>
          <w:tcPr>
            <w:tcW w:w="587"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r>
      <w:tr>
        <w:trPr/>
        <w:tc>
          <w:tcPr>
            <w:tcW w:w="14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4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Merchant Card Fees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Money Transmission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Outsourced and Other Services </w:t>
            </w:r>
            <w:r>
              <w:rPr>
                <w:rFonts w:ascii="Times New Roman;serif" w:hAnsi="Times New Roman;serif"/>
                <w:b w:val="false"/>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Equipment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Segment </w:t>
            </w:r>
          </w:p>
        </w:tc>
        <w:tc>
          <w:tcPr>
            <w:tcW w:w="14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Merchant Solutions</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158,825 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163,230 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Payables </w:t>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21,488 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25,033 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Solutions</w:t>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39,273 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52,658 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Eliminations</w:t>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180,483</w:t>
            </w:r>
            <w:r>
              <w:rPr>
                <w:color w:val="000000"/>
              </w:rPr>
              <w:t>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39,273</w:t>
            </w: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16,853</w:t>
            </w:r>
            <w:r>
              <w:rPr>
                <w:color w:val="000000"/>
              </w:rPr>
              <w:t>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3,203</w:t>
            </w:r>
            <w:r>
              <w:rPr>
                <w:color w:val="000000"/>
              </w:rPr>
              <w:t>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239,812</w:t>
            </w:r>
            <w:r>
              <w:rPr>
                <w:color w:val="000000"/>
              </w:rPr>
              <w:t>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20"/>
        </w:rPr>
        <w:t xml:space="preserve">Approximately $14.1 million of interest income on customer funds is included in outsourced services and other services revenue in the table above and approximately $1.0 million of interest income on corporate funds is included in other income, net on the Company's Unaudited Consolidated Statements of Operations and Comprehensive Income and is not reflected in the table above for the three months ended June 30, 2025. </w:t>
      </w:r>
    </w:p>
    <w:tbl>
      <w:tblPr>
        <w:tblW w:w="10205" w:type="dxa"/>
        <w:jc w:val="left"/>
        <w:tblInd w:w="0" w:type="dxa"/>
        <w:tblLayout w:type="fixed"/>
        <w:tblCellMar>
          <w:top w:w="28" w:type="dxa"/>
          <w:left w:w="28" w:type="dxa"/>
          <w:bottom w:w="28" w:type="dxa"/>
          <w:right w:w="28" w:type="dxa"/>
        </w:tblCellMar>
      </w:tblPr>
      <w:tblGrid>
        <w:gridCol w:w="587"/>
        <w:gridCol w:w="414"/>
        <w:gridCol w:w="415"/>
        <w:gridCol w:w="264"/>
        <w:gridCol w:w="1056"/>
        <w:gridCol w:w="136"/>
        <w:gridCol w:w="109"/>
        <w:gridCol w:w="109"/>
        <w:gridCol w:w="109"/>
        <w:gridCol w:w="372"/>
        <w:gridCol w:w="1304"/>
        <w:gridCol w:w="196"/>
        <w:gridCol w:w="109"/>
        <w:gridCol w:w="109"/>
        <w:gridCol w:w="109"/>
        <w:gridCol w:w="379"/>
        <w:gridCol w:w="1328"/>
        <w:gridCol w:w="199"/>
        <w:gridCol w:w="109"/>
        <w:gridCol w:w="109"/>
        <w:gridCol w:w="109"/>
        <w:gridCol w:w="229"/>
        <w:gridCol w:w="687"/>
        <w:gridCol w:w="120"/>
        <w:gridCol w:w="109"/>
        <w:gridCol w:w="109"/>
        <w:gridCol w:w="109"/>
        <w:gridCol w:w="211"/>
        <w:gridCol w:w="841"/>
        <w:gridCol w:w="159"/>
      </w:tblGrid>
      <w:tr>
        <w:trPr/>
        <w:tc>
          <w:tcPr>
            <w:tcW w:w="587"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r>
      <w:tr>
        <w:trPr/>
        <w:tc>
          <w:tcPr>
            <w:tcW w:w="14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4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Merchant Card Fees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Money Transmission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Outsourced and Other Services </w:t>
            </w:r>
            <w:r>
              <w:rPr>
                <w:rFonts w:ascii="Times New Roman;serif" w:hAnsi="Times New Roman;serif"/>
                <w:b w:val="false"/>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Equipment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Segment </w:t>
            </w:r>
          </w:p>
        </w:tc>
        <w:tc>
          <w:tcPr>
            <w:tcW w:w="14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Merchant Solutions</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306,307 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314,920 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Payables </w:t>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41,257 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48,951 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Solutions</w:t>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76,722 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24,449 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102,746 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Eliminations</w:t>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347,562</w:t>
            </w:r>
            <w:r>
              <w:rPr>
                <w:color w:val="000000"/>
              </w:rPr>
              <w:t>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76,722</w:t>
            </w: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33,855</w:t>
            </w:r>
            <w:r>
              <w:rPr>
                <w:color w:val="000000"/>
              </w:rPr>
              <w:t>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6,303</w:t>
            </w:r>
            <w:r>
              <w:rPr>
                <w:color w:val="000000"/>
              </w:rPr>
              <w:t>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464,442</w:t>
            </w:r>
            <w:r>
              <w:rPr>
                <w:color w:val="000000"/>
              </w:rPr>
              <w:t>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20"/>
        </w:rPr>
        <w:t xml:space="preserve">Approximately $26.7 million of interest income on customer funds is included in outsourced services and other services revenue in the table above and approximately $2.1 million of interest income on corporate funds is included in other income, net on the Company's Unaudited Consolidated Statements of Operations and Comprehensive Income and is not reflected in the table above for the six months ended June 30, 2025. </w:t>
      </w:r>
    </w:p>
    <w:p>
      <w:pPr>
        <w:pStyle w:val="TextBody"/>
        <w:bidi w:val="0"/>
        <w:spacing w:before="10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4.    Settlement Assets and Obligations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Settlement assets and obligations include, 1) funds due from merchants arising from settlement of funds for sales and credits between card issuers, merchants, 2) card settlement funds due from networks due to timing and its related obligations, and 3) Customer/Subscriber account balances and related obligations resulting from licensed money transmitter services. </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 xml:space="preserve">Card settlements due from merchants, net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merchant solution services of the Company include settlement of funds for sales and credits between card issuers, card networks and merchants. The standards of the card networks require possession of funds during the settlement process by a member bank which controls the clearing transactions. Since settlement funds are required to be in the possession of a member bank until merchants are funded, these funds are not assets of the Company, and the associated obligations are not liabilities of the Company. Therefore, neither is recognized in the Company's Unaudited Consolidated Balance Sheets.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Exception items that the Company is still attempting to collect from the merchants through the funds settlement process or merchant reserves are recognized as settlement assets in the Company's Unaudited Consolidated Balance Sheets, with an offsetting reserve for those amounts the Company estimates it will not be able to recover. Exception items that the Company has deemed uncollectible are recorded as merchant losses, a component of cost of revenue in the Company's Unaudited Consolidated Statements of Operations and Comprehensive Income. Expenses for merchant losses, net of recoveries for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three and six months ended June 30, 2026 were $2.2 million and $5.5 million, respectively. Expenses for merchant losses were $0.2 million and $1.9 million for the three and six months ended June 30, 2025, respectively. </w:t>
      </w:r>
    </w:p>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Card settlements due from networks and Dues to Customers’ Payees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As part of the Payables service offering: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Priority Commerce accepts card payments for its customers and processes disbursements to their vendors (customers’ payees). The time lag between authorization and settlement of card transactions creates certain receivables (from card networks) and payables (to the vendors of customers). These receivables and payables arise from the settlement activities that the Company performs on behalf of its customers and therefore, are presented as settlement assets and related obligations.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Priority Commerce processes payments to the customers’ payees wherein customers funds are received either in Company-owned bank accounts controlled by the Company or bank-owned FBO accounts controlled by the banks, until such time that the transactions are settled with the customers’ payees. Balances in the bank-owned FBO accounts and related obligations are not considered assets and obligations of the Company. Therefore, neither is recognized in the Company's Unaudited Consolidated Balance Sheets. Amounts due to customers’ payees that are held in Company-owned bank accounts are included in restricted cash in the Company's Unaudited Consolidated Balance Sheets and related obligations are presented as due to customers’ payees. </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MTL Customer cash and cash equivalents (restricted in nature), short-term investments and MTL Customer account obligations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provides treasury solutions to its customers either through its money transmission licenses in 46 states, the District of Columbia, and 2 territories of the United States or through agency relationships with banks. These services include the acceptance and disbursement of funds. While waiting for disbursement, these funds are held in bank accounts maintained by the Company on behalf of its customers. Per the money transmission regulations, the Company is allowed to invest available balances in these accounts in certain permitted investments, and returns on such investments contribute to the Company's net cash inflows. As such, the Company recognized these balances and related obligations on its balance sheet. Considering these balances are payable on demand and are related to settlement activities, they are presented as settlement assets (as part of the current assets) and the related obligations as settlement obligations (as part of the current liabilities) in the Company's Unaudited Consolidated Balance Sheets. The nature of these MTL Customer cash and cash equivalent are restricted in nature and therefore these balances are presented as restricted cash on the Company's Unaudited Consolidated Statements of Cash Flows. The MTL Short-term investments are included within other investing activities on the Company's Unaudited Consolidated Statements of Cash Flows.</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240"/>
        <w:jc w:val="left"/>
        <w:rPr/>
      </w:pPr>
      <w:r>
        <w:rPr/>
      </w:r>
    </w:p>
    <w:p>
      <w:pPr>
        <w:pStyle w:val="TextBody"/>
        <w:bidi w:val="0"/>
        <w:spacing w:lineRule="auto" w:line="26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Company's consolidated settlement assets and obligations were as follows:</w:t>
      </w:r>
    </w:p>
    <w:tbl>
      <w:tblPr>
        <w:tblW w:w="8763" w:type="dxa"/>
        <w:jc w:val="left"/>
        <w:tblInd w:w="0" w:type="dxa"/>
        <w:tblLayout w:type="fixed"/>
        <w:tblCellMar>
          <w:top w:w="28" w:type="dxa"/>
          <w:left w:w="28" w:type="dxa"/>
          <w:bottom w:w="28" w:type="dxa"/>
          <w:right w:w="28" w:type="dxa"/>
        </w:tblCellMar>
      </w:tblPr>
      <w:tblGrid>
        <w:gridCol w:w="1939"/>
        <w:gridCol w:w="1706"/>
        <w:gridCol w:w="1710"/>
        <w:gridCol w:w="211"/>
        <w:gridCol w:w="991"/>
        <w:gridCol w:w="109"/>
        <w:gridCol w:w="109"/>
        <w:gridCol w:w="109"/>
        <w:gridCol w:w="109"/>
        <w:gridCol w:w="275"/>
        <w:gridCol w:w="1294"/>
        <w:gridCol w:w="201"/>
      </w:tblGrid>
      <w:tr>
        <w:trPr/>
        <w:tc>
          <w:tcPr>
            <w:tcW w:w="1939"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Settlement Assets, net of estimated losses</w:t>
            </w:r>
            <w:r>
              <w:rPr>
                <w:rFonts w:ascii="Times New Roman;serif" w:hAnsi="Times New Roman;serif"/>
                <w:b/>
                <w:color w:val="000000"/>
                <w:sz w:val="13"/>
              </w:rPr>
              <w:t>(1)</w:t>
            </w:r>
            <w:r>
              <w:rPr>
                <w:rFonts w:ascii="Times New Roman;serif" w:hAnsi="Times New Roman;serif"/>
                <w:b/>
                <w:color w:val="000000"/>
                <w:sz w:val="20"/>
              </w:rPr>
              <w:t>:</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Card settlements due from merchants</w:t>
            </w:r>
            <w:r>
              <w:rPr>
                <w:rFonts w:ascii="Times New Roman;serif" w:hAnsi="Times New Roman;serif"/>
                <w:b w:val="false"/>
                <w:color w:val="000000"/>
                <w:sz w:val="13"/>
              </w:rPr>
              <w:t>(1)(2)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Card settlements due from networks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18,547 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MTL Customer cash and cash equivalents (restricted in nature)</w:t>
            </w:r>
            <w:r>
              <w:rPr>
                <w:rFonts w:ascii="Times New Roman;serif" w:hAnsi="Times New Roman;serif"/>
                <w:b w:val="false"/>
                <w:color w:val="000000"/>
                <w:sz w:val="13"/>
              </w:rPr>
              <w:t>(3)</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1,252,349 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MTL Short-term investments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settlement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1,372,510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1,295,896</w:t>
            </w:r>
            <w:r>
              <w:rPr>
                <w:color w:val="000000"/>
              </w:rPr>
              <w:t>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Settlement Obligations:</w:t>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MTL Customer account obligations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1,244,975 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Subscriber account obligations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32,031 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customer/subscriber account obligations</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1,354,204 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1,277,006 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Due to customers' payees</w:t>
            </w:r>
            <w:r>
              <w:rPr>
                <w:rFonts w:ascii="Times New Roman;serif" w:hAnsi="Times New Roman;serif"/>
                <w:b w:val="false"/>
                <w:color w:val="000000"/>
                <w:sz w:val="13"/>
              </w:rPr>
              <w:t>(4)(5)</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20,257 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settlement obligations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1,374,736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1,297,263</w:t>
            </w:r>
            <w:r>
              <w:rPr>
                <w:color w:val="000000"/>
              </w:rPr>
              <w:t>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Allowance for estimated losses were $5.5 million and $7.1 million as of June 30, 2026 and December 31, 2025, respectively.</w:t>
      </w:r>
    </w:p>
    <w:p>
      <w:pPr>
        <w:pStyle w:val="TextBody"/>
        <w:bidi w:val="0"/>
        <w:spacing w:lineRule="auto" w:line="288" w:before="0" w:after="120"/>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Excludes merchant funds held at member banks of $117.3 million and $103.9 million on June 30, 2026 and December 31, 2025, respectively.</w:t>
      </w:r>
    </w:p>
    <w:p>
      <w:pPr>
        <w:pStyle w:val="TextBody"/>
        <w:bidi w:val="0"/>
        <w:spacing w:lineRule="auto" w:line="288" w:before="0" w:after="120"/>
        <w:ind w:left="0" w:right="0" w:hanging="360"/>
        <w:jc w:val="left"/>
        <w:rPr/>
      </w:pPr>
      <w:r>
        <w:rPr>
          <w:rFonts w:ascii="Times New Roman;serif" w:hAnsi="Times New Roman;serif"/>
          <w:b w:val="false"/>
          <w:color w:val="000000"/>
          <w:sz w:val="13"/>
        </w:rPr>
        <w:t>(3)</w:t>
      </w:r>
      <w:r>
        <w:rPr>
          <w:rFonts w:ascii="Times New Roman;serif" w:hAnsi="Times New Roman;serif"/>
          <w:b w:val="false"/>
          <w:color w:val="000000"/>
          <w:sz w:val="20"/>
        </w:rPr>
        <w:t>Excludes funds held under agency arrangement with member banks, balances remain under the control of the member banks (therefore not the assets or obligations of the Company). Agency owned accounts held $58.0 million and $50.3 million at June 30, 2026 and December 31, 2025, respectively.</w:t>
      </w:r>
    </w:p>
    <w:p>
      <w:pPr>
        <w:pStyle w:val="TextBody"/>
        <w:bidi w:val="0"/>
        <w:spacing w:lineRule="auto" w:line="288" w:before="0" w:after="120"/>
        <w:ind w:left="0" w:right="0" w:hanging="360"/>
        <w:jc w:val="left"/>
        <w:rPr/>
      </w:pPr>
      <w:r>
        <w:rPr>
          <w:rFonts w:ascii="Times New Roman;serif" w:hAnsi="Times New Roman;serif"/>
          <w:b w:val="false"/>
          <w:color w:val="000000"/>
          <w:sz w:val="13"/>
        </w:rPr>
        <w:t>(4)</w:t>
      </w:r>
      <w:r>
        <w:rPr>
          <w:rFonts w:ascii="Times New Roman;serif" w:hAnsi="Times New Roman;serif"/>
          <w:b w:val="false"/>
          <w:color w:val="000000"/>
          <w:sz w:val="20"/>
        </w:rPr>
        <w:t>Includes $15.6 million and $16.1 million as of June 30, 2026 and December 31, 2025, respectively, of card settlements due from networks and the remainder is included in restricted cash on our Unaudited Consolidated Balance Sheets.</w:t>
      </w:r>
    </w:p>
    <w:p>
      <w:pPr>
        <w:pStyle w:val="TextBody"/>
        <w:bidi w:val="0"/>
        <w:spacing w:lineRule="auto" w:line="288" w:before="0" w:after="240"/>
        <w:ind w:left="0" w:right="0" w:hanging="360"/>
        <w:jc w:val="left"/>
        <w:rPr/>
      </w:pPr>
      <w:r>
        <w:rPr>
          <w:rFonts w:ascii="Times New Roman;serif" w:hAnsi="Times New Roman;serif"/>
          <w:b w:val="false"/>
          <w:color w:val="000000"/>
          <w:sz w:val="13"/>
        </w:rPr>
        <w:t>(5)</w:t>
      </w:r>
      <w:r>
        <w:rPr>
          <w:rFonts w:ascii="Times New Roman;serif" w:hAnsi="Times New Roman;serif"/>
          <w:b w:val="false"/>
          <w:color w:val="000000"/>
          <w:sz w:val="20"/>
        </w:rPr>
        <w:t>Excludes amounts due to customer payees that are held in bank-owned FBO accounts which are not assets of the Company, and the associated obligations are not liabilities of the Company. Therefore, neither is recognized in the Company's Unaudited Consolidated Balance Sheets. Bank-owned FBO accounts held funds of $144.5 million and $151.8 million at June 30, 2026 and December 31, 2025, respectively.</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5.     Notes Receivable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had notes receivable of $22.7 million and $19.7 million as of June 30, 2026 and December 31, 2025, respectively, which are reported as current portion of notes receivable and notes receivable less current portion on the Company's Unaudited Consolidated Balance Sheets. The notes receivable carried weighted-average interest rates of 12.3% and 13.6% as of June 30, 2026 and December 31, 2025, respectively. The notes are receivables from ISOs and ISVs, which are made with a term of 1-5 years. Under the terms of the agreements, the advances are secured by residual payments due to the ISOs and ISVs and apply such residuals against future payment due to the Company. As of June 30, 2026 and December 31, 2025, there were no allowance for expected losses on notes receivable.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provides a reconciliation for activity within the notes receivable as of June 30,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240"/>
        <w:jc w:val="left"/>
        <w:rPr/>
      </w:pPr>
      <w:r>
        <w:rPr/>
      </w:r>
    </w:p>
    <w:tbl>
      <w:tblPr>
        <w:tblW w:w="3696" w:type="dxa"/>
        <w:jc w:val="left"/>
        <w:tblInd w:w="0" w:type="dxa"/>
        <w:tblLayout w:type="fixed"/>
        <w:tblCellMar>
          <w:top w:w="28" w:type="dxa"/>
          <w:left w:w="28" w:type="dxa"/>
          <w:bottom w:w="28" w:type="dxa"/>
          <w:right w:w="28" w:type="dxa"/>
        </w:tblCellMar>
      </w:tblPr>
      <w:tblGrid>
        <w:gridCol w:w="939"/>
        <w:gridCol w:w="827"/>
        <w:gridCol w:w="829"/>
        <w:gridCol w:w="211"/>
        <w:gridCol w:w="736"/>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received</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Advances during the period</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27,750 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received</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Advances during the period</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2026</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22,703</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 principal payments for the Company's notes receivable are due as follows: </w:t>
      </w:r>
    </w:p>
    <w:tbl>
      <w:tblPr>
        <w:tblW w:w="3860" w:type="dxa"/>
        <w:jc w:val="left"/>
        <w:tblInd w:w="0" w:type="dxa"/>
        <w:tblLayout w:type="fixed"/>
        <w:tblCellMar>
          <w:top w:w="28" w:type="dxa"/>
          <w:left w:w="28" w:type="dxa"/>
          <w:bottom w:w="28" w:type="dxa"/>
          <w:right w:w="28" w:type="dxa"/>
        </w:tblCellMar>
      </w:tblPr>
      <w:tblGrid>
        <w:gridCol w:w="999"/>
        <w:gridCol w:w="879"/>
        <w:gridCol w:w="881"/>
        <w:gridCol w:w="211"/>
        <w:gridCol w:w="736"/>
        <w:gridCol w:w="154"/>
      </w:tblGrid>
      <w:tr>
        <w:trPr/>
        <w:tc>
          <w:tcPr>
            <w:tcW w:w="99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Twelve months ending June 30,</w:t>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22,703</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6.    Property, Equipment and Software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 summary of property, equipment and software, net was as follows:</w:t>
      </w:r>
    </w:p>
    <w:tbl>
      <w:tblPr>
        <w:tblW w:w="6986" w:type="dxa"/>
        <w:jc w:val="left"/>
        <w:tblInd w:w="0" w:type="dxa"/>
        <w:tblLayout w:type="fixed"/>
        <w:tblCellMar>
          <w:top w:w="28" w:type="dxa"/>
          <w:left w:w="28" w:type="dxa"/>
          <w:bottom w:w="28" w:type="dxa"/>
          <w:right w:w="28" w:type="dxa"/>
        </w:tblCellMar>
      </w:tblPr>
      <w:tblGrid>
        <w:gridCol w:w="1150"/>
        <w:gridCol w:w="1013"/>
        <w:gridCol w:w="1016"/>
        <w:gridCol w:w="234"/>
        <w:gridCol w:w="919"/>
        <w:gridCol w:w="121"/>
        <w:gridCol w:w="109"/>
        <w:gridCol w:w="109"/>
        <w:gridCol w:w="109"/>
        <w:gridCol w:w="317"/>
        <w:gridCol w:w="1244"/>
        <w:gridCol w:w="164"/>
        <w:gridCol w:w="109"/>
        <w:gridCol w:w="109"/>
        <w:gridCol w:w="109"/>
        <w:gridCol w:w="154"/>
      </w:tblGrid>
      <w:tr>
        <w:trPr/>
        <w:tc>
          <w:tcPr>
            <w:tcW w:w="1150"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software</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136,982 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125,073 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equipment and software</w:t>
            </w:r>
          </w:p>
        </w:tc>
        <w:tc>
          <w:tcPr>
            <w:tcW w:w="11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154,469 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142,606 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(94,983)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(86,245)</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work in-progress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equipment and software, net</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62,329</w:t>
            </w:r>
            <w:r>
              <w:rPr>
                <w:color w:val="000000"/>
              </w:rPr>
              <w:t>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58,636</w:t>
            </w:r>
            <w:r>
              <w:rPr>
                <w:color w:val="000000"/>
              </w:rPr>
              <w:t>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7252" w:type="dxa"/>
        <w:jc w:val="left"/>
        <w:tblInd w:w="0" w:type="dxa"/>
        <w:tblLayout w:type="fixed"/>
        <w:tblCellMar>
          <w:top w:w="28" w:type="dxa"/>
          <w:left w:w="28" w:type="dxa"/>
          <w:bottom w:w="28" w:type="dxa"/>
          <w:right w:w="28" w:type="dxa"/>
        </w:tblCellMar>
      </w:tblPr>
      <w:tblGrid>
        <w:gridCol w:w="679"/>
        <w:gridCol w:w="597"/>
        <w:gridCol w:w="599"/>
        <w:gridCol w:w="251"/>
        <w:gridCol w:w="735"/>
        <w:gridCol w:w="130"/>
        <w:gridCol w:w="130"/>
        <w:gridCol w:w="130"/>
        <w:gridCol w:w="130"/>
        <w:gridCol w:w="251"/>
        <w:gridCol w:w="735"/>
        <w:gridCol w:w="130"/>
        <w:gridCol w:w="109"/>
        <w:gridCol w:w="109"/>
        <w:gridCol w:w="109"/>
        <w:gridCol w:w="228"/>
        <w:gridCol w:w="667"/>
        <w:gridCol w:w="118"/>
        <w:gridCol w:w="118"/>
        <w:gridCol w:w="118"/>
        <w:gridCol w:w="118"/>
        <w:gridCol w:w="228"/>
        <w:gridCol w:w="667"/>
        <w:gridCol w:w="166"/>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4,545 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4,075 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7,937 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Computer software represents purchased software and internally developed software that is used to provide the Company's services to its customers.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Fully depreciated assets are retained in property, equipment and software, net, until removed from service. No fully depreciated assets were removed from service during the three months ended June 30, 2026. Certain fully depreciated assets were removed from service during the six months ended June 30, 2026 and three and six months ended ended June 30, 2025. </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7.    Goodwill and Intangible Assets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Goodwill</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Company's goodwill relates to the following reportable segments:</w:t>
      </w:r>
    </w:p>
    <w:tbl>
      <w:tblPr>
        <w:tblW w:w="5313" w:type="dxa"/>
        <w:jc w:val="left"/>
        <w:tblInd w:w="0" w:type="dxa"/>
        <w:tblLayout w:type="fixed"/>
        <w:tblCellMar>
          <w:top w:w="28" w:type="dxa"/>
          <w:left w:w="28" w:type="dxa"/>
          <w:bottom w:w="28" w:type="dxa"/>
          <w:right w:w="28" w:type="dxa"/>
        </w:tblCellMar>
      </w:tblPr>
      <w:tblGrid>
        <w:gridCol w:w="624"/>
        <w:gridCol w:w="549"/>
        <w:gridCol w:w="551"/>
        <w:gridCol w:w="231"/>
        <w:gridCol w:w="924"/>
        <w:gridCol w:w="119"/>
        <w:gridCol w:w="109"/>
        <w:gridCol w:w="109"/>
        <w:gridCol w:w="109"/>
        <w:gridCol w:w="313"/>
        <w:gridCol w:w="1250"/>
        <w:gridCol w:w="162"/>
        <w:gridCol w:w="109"/>
        <w:gridCol w:w="154"/>
      </w:tblGrid>
      <w:tr>
        <w:trPr/>
        <w:tc>
          <w:tcPr>
            <w:tcW w:w="624"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Merchant Solutions</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158,298 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158,298 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Solutions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250,867 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251,103 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Payables </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416,405</w:t>
            </w:r>
            <w:r>
              <w:rPr>
                <w:color w:val="000000"/>
              </w:rPr>
              <w:t>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416,641</w:t>
            </w:r>
            <w:r>
              <w:rPr>
                <w:color w:val="000000"/>
              </w:rPr>
              <w:t>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changes in the carrying value of goodwill:</w:t>
      </w:r>
    </w:p>
    <w:tbl>
      <w:tblPr>
        <w:tblW w:w="4566" w:type="dxa"/>
        <w:jc w:val="left"/>
        <w:tblInd w:w="0" w:type="dxa"/>
        <w:tblLayout w:type="fixed"/>
        <w:tblCellMar>
          <w:top w:w="28" w:type="dxa"/>
          <w:left w:w="28" w:type="dxa"/>
          <w:bottom w:w="28" w:type="dxa"/>
          <w:right w:w="28" w:type="dxa"/>
        </w:tblCellMar>
      </w:tblPr>
      <w:tblGrid>
        <w:gridCol w:w="1216"/>
        <w:gridCol w:w="1071"/>
        <w:gridCol w:w="1073"/>
        <w:gridCol w:w="211"/>
        <w:gridCol w:w="841"/>
        <w:gridCol w:w="154"/>
      </w:tblGrid>
      <w:tr>
        <w:trPr/>
        <w:tc>
          <w:tcPr>
            <w:tcW w:w="1216"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416,641 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at June 30, 2026</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416,405</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is not aware of any triggering events for impairment that have occurred since the last annual impairment test.</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Intangible Assets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Intangible assets consisted of the following:</w:t>
      </w:r>
    </w:p>
    <w:tbl>
      <w:tblPr>
        <w:tblW w:w="10205" w:type="dxa"/>
        <w:jc w:val="left"/>
        <w:tblInd w:w="0" w:type="dxa"/>
        <w:tblLayout w:type="fixed"/>
        <w:tblCellMar>
          <w:top w:w="28" w:type="dxa"/>
          <w:left w:w="28" w:type="dxa"/>
          <w:bottom w:w="28" w:type="dxa"/>
          <w:right w:w="28" w:type="dxa"/>
        </w:tblCellMar>
      </w:tblPr>
      <w:tblGrid>
        <w:gridCol w:w="969"/>
        <w:gridCol w:w="853"/>
        <w:gridCol w:w="854"/>
        <w:gridCol w:w="282"/>
        <w:gridCol w:w="1127"/>
        <w:gridCol w:w="145"/>
        <w:gridCol w:w="109"/>
        <w:gridCol w:w="109"/>
        <w:gridCol w:w="109"/>
        <w:gridCol w:w="326"/>
        <w:gridCol w:w="1305"/>
        <w:gridCol w:w="170"/>
        <w:gridCol w:w="109"/>
        <w:gridCol w:w="109"/>
        <w:gridCol w:w="109"/>
        <w:gridCol w:w="264"/>
        <w:gridCol w:w="1054"/>
        <w:gridCol w:w="136"/>
        <w:gridCol w:w="109"/>
        <w:gridCol w:w="109"/>
        <w:gridCol w:w="109"/>
        <w:gridCol w:w="507"/>
        <w:gridCol w:w="507"/>
        <w:gridCol w:w="725"/>
      </w:tblGrid>
      <w:tr>
        <w:trPr/>
        <w:tc>
          <w:tcPr>
            <w:tcW w:w="96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r>
      <w:tr>
        <w:trPr/>
        <w:tc>
          <w:tcPr>
            <w:tcW w:w="2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Weighted-average </w:t>
              <w:br/>
              <w:t>Useful Life</w:t>
            </w:r>
          </w:p>
        </w:tc>
      </w:tr>
      <w:tr>
        <w:trPr/>
        <w:tc>
          <w:tcPr>
            <w:tcW w:w="2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weighted-average data)</w:t>
            </w:r>
          </w:p>
        </w:tc>
        <w:tc>
          <w:tcPr>
            <w:tcW w:w="15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5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ISO and referral partner relationships</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223,420 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(71,347)</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152,073 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14.3</w:t>
            </w:r>
          </w:p>
        </w:tc>
      </w:tr>
      <w:tr>
        <w:trPr/>
        <w:tc>
          <w:tcPr>
            <w:tcW w:w="2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Residual buyouts</w:t>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178,229 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(129,639)</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48,590 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w:t>
            </w:r>
          </w:p>
        </w:tc>
      </w:tr>
      <w:tr>
        <w:trPr/>
        <w:tc>
          <w:tcPr>
            <w:tcW w:w="2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139,517 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(101,389)</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38,128 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8.5</w:t>
            </w:r>
          </w:p>
        </w:tc>
      </w:tr>
      <w:tr>
        <w:trPr/>
        <w:tc>
          <w:tcPr>
            <w:tcW w:w="2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Merchant portfolios</w:t>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83,350 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(70,537)</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w:t>
            </w:r>
          </w:p>
        </w:tc>
      </w:tr>
      <w:tr>
        <w:trPr/>
        <w:tc>
          <w:tcPr>
            <w:tcW w:w="2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63,574 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(35,370)</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28,204 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8.7</w:t>
            </w:r>
          </w:p>
        </w:tc>
      </w:tr>
      <w:tr>
        <w:trPr/>
        <w:tc>
          <w:tcPr>
            <w:tcW w:w="2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(7,602)</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8.3</w:t>
            </w:r>
          </w:p>
        </w:tc>
      </w:tr>
      <w:tr>
        <w:trPr/>
        <w:tc>
          <w:tcPr>
            <w:tcW w:w="2676"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r>
      <w:tr>
        <w:trPr/>
        <w:tc>
          <w:tcPr>
            <w:tcW w:w="26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Money transmission licenses</w:t>
            </w:r>
            <w:r>
              <w:rPr>
                <w:rFonts w:ascii="Times New Roman;serif" w:hAnsi="Times New Roman;serif"/>
                <w:b w:val="false"/>
                <w:color w:val="000000"/>
                <w:sz w:val="13"/>
              </w:rPr>
              <w:t>(1)</w:t>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Total </w:t>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703,517</w:t>
            </w:r>
            <w:r>
              <w:rPr>
                <w:color w:val="000000"/>
              </w:rPr>
              <w:t>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(415,884)</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287,633</w:t>
            </w:r>
            <w:r>
              <w:rPr>
                <w:color w:val="000000"/>
              </w:rPr>
              <w:t>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9.5</w:t>
            </w:r>
          </w:p>
        </w:tc>
      </w:tr>
    </w:tbl>
    <w:p>
      <w:pPr>
        <w:pStyle w:val="TextBody"/>
        <w:bidi w:val="0"/>
        <w:spacing w:lineRule="auto" w:line="288" w:before="0" w:after="24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These assets have an indefinite useful life.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240"/>
        <w:jc w:val="left"/>
        <w:rPr/>
      </w:pPr>
      <w:r>
        <w:rPr/>
      </w:r>
    </w:p>
    <w:tbl>
      <w:tblPr>
        <w:tblW w:w="10205" w:type="dxa"/>
        <w:jc w:val="left"/>
        <w:tblInd w:w="0" w:type="dxa"/>
        <w:tblLayout w:type="fixed"/>
        <w:tblCellMar>
          <w:top w:w="28" w:type="dxa"/>
          <w:left w:w="28" w:type="dxa"/>
          <w:bottom w:w="28" w:type="dxa"/>
          <w:right w:w="28" w:type="dxa"/>
        </w:tblCellMar>
      </w:tblPr>
      <w:tblGrid>
        <w:gridCol w:w="969"/>
        <w:gridCol w:w="853"/>
        <w:gridCol w:w="854"/>
        <w:gridCol w:w="282"/>
        <w:gridCol w:w="1127"/>
        <w:gridCol w:w="145"/>
        <w:gridCol w:w="109"/>
        <w:gridCol w:w="109"/>
        <w:gridCol w:w="109"/>
        <w:gridCol w:w="326"/>
        <w:gridCol w:w="1305"/>
        <w:gridCol w:w="170"/>
        <w:gridCol w:w="109"/>
        <w:gridCol w:w="109"/>
        <w:gridCol w:w="109"/>
        <w:gridCol w:w="264"/>
        <w:gridCol w:w="1054"/>
        <w:gridCol w:w="136"/>
        <w:gridCol w:w="109"/>
        <w:gridCol w:w="109"/>
        <w:gridCol w:w="109"/>
        <w:gridCol w:w="507"/>
        <w:gridCol w:w="507"/>
        <w:gridCol w:w="725"/>
      </w:tblGrid>
      <w:tr>
        <w:trPr/>
        <w:tc>
          <w:tcPr>
            <w:tcW w:w="96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r>
      <w:tr>
        <w:trPr/>
        <w:tc>
          <w:tcPr>
            <w:tcW w:w="2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Weighted-average </w:t>
              <w:br/>
              <w:t>Useful Life</w:t>
            </w:r>
          </w:p>
        </w:tc>
      </w:tr>
      <w:tr>
        <w:trPr/>
        <w:tc>
          <w:tcPr>
            <w:tcW w:w="2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weighted-average data)</w:t>
            </w:r>
          </w:p>
        </w:tc>
        <w:tc>
          <w:tcPr>
            <w:tcW w:w="15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5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ISO and referral partner relationships</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223,016 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(63,701)</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159,315 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13.8</w:t>
            </w:r>
          </w:p>
        </w:tc>
      </w:tr>
      <w:tr>
        <w:trPr/>
        <w:tc>
          <w:tcPr>
            <w:tcW w:w="2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Residual buyouts</w:t>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177,864 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(119,861)</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58,003 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w:t>
            </w:r>
          </w:p>
        </w:tc>
      </w:tr>
      <w:tr>
        <w:trPr/>
        <w:tc>
          <w:tcPr>
            <w:tcW w:w="2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139,463 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(98,478)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40,985 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8.8</w:t>
            </w:r>
          </w:p>
        </w:tc>
      </w:tr>
      <w:tr>
        <w:trPr/>
        <w:tc>
          <w:tcPr>
            <w:tcW w:w="2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Merchant portfolios</w:t>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83,350 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(68,787)</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w:t>
            </w:r>
          </w:p>
        </w:tc>
      </w:tr>
      <w:tr>
        <w:trPr/>
        <w:tc>
          <w:tcPr>
            <w:tcW w:w="2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63,602 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(32,684)</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30,918 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8.5</w:t>
            </w:r>
          </w:p>
        </w:tc>
      </w:tr>
      <w:tr>
        <w:trPr/>
        <w:tc>
          <w:tcPr>
            <w:tcW w:w="2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(4,023)</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10.6</w:t>
            </w:r>
          </w:p>
        </w:tc>
      </w:tr>
      <w:tr>
        <w:trPr/>
        <w:tc>
          <w:tcPr>
            <w:tcW w:w="2676"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r>
      <w:tr>
        <w:trPr/>
        <w:tc>
          <w:tcPr>
            <w:tcW w:w="26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Money transmission licenses</w:t>
            </w:r>
            <w:r>
              <w:rPr>
                <w:rFonts w:ascii="Times New Roman;serif" w:hAnsi="Times New Roman;serif"/>
                <w:b w:val="false"/>
                <w:color w:val="000000"/>
                <w:sz w:val="13"/>
              </w:rPr>
              <w:t>(1)</w:t>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Total </w:t>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702,724</w:t>
            </w:r>
            <w:r>
              <w:rPr>
                <w:color w:val="000000"/>
              </w:rPr>
              <w:t>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(387,534)</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315,190</w:t>
            </w:r>
            <w:r>
              <w:rPr>
                <w:color w:val="000000"/>
              </w:rPr>
              <w:t>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9.4</w:t>
            </w:r>
          </w:p>
        </w:tc>
      </w:tr>
    </w:tbl>
    <w:p>
      <w:pPr>
        <w:pStyle w:val="TextBody"/>
        <w:bidi w:val="0"/>
        <w:spacing w:lineRule="auto" w:line="288" w:before="0" w:after="24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These assets have an indefinite useful life.</w:t>
      </w:r>
    </w:p>
    <w:tbl>
      <w:tblPr>
        <w:tblW w:w="7470" w:type="dxa"/>
        <w:jc w:val="left"/>
        <w:tblInd w:w="0" w:type="dxa"/>
        <w:tblLayout w:type="fixed"/>
        <w:tblCellMar>
          <w:top w:w="28" w:type="dxa"/>
          <w:left w:w="28" w:type="dxa"/>
          <w:bottom w:w="28" w:type="dxa"/>
          <w:right w:w="28" w:type="dxa"/>
        </w:tblCellMar>
      </w:tblPr>
      <w:tblGrid>
        <w:gridCol w:w="749"/>
        <w:gridCol w:w="659"/>
        <w:gridCol w:w="661"/>
        <w:gridCol w:w="230"/>
        <w:gridCol w:w="785"/>
        <w:gridCol w:w="118"/>
        <w:gridCol w:w="118"/>
        <w:gridCol w:w="118"/>
        <w:gridCol w:w="118"/>
        <w:gridCol w:w="230"/>
        <w:gridCol w:w="785"/>
        <w:gridCol w:w="118"/>
        <w:gridCol w:w="109"/>
        <w:gridCol w:w="109"/>
        <w:gridCol w:w="109"/>
        <w:gridCol w:w="211"/>
        <w:gridCol w:w="721"/>
        <w:gridCol w:w="109"/>
        <w:gridCol w:w="109"/>
        <w:gridCol w:w="109"/>
        <w:gridCol w:w="109"/>
        <w:gridCol w:w="211"/>
        <w:gridCol w:w="721"/>
        <w:gridCol w:w="154"/>
      </w:tblGrid>
      <w:tr>
        <w:trPr/>
        <w:tc>
          <w:tcPr>
            <w:tcW w:w="74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Amortization expense</w:t>
            </w:r>
            <w:r>
              <w:rPr>
                <w:rFonts w:ascii="Times New Roman;serif" w:hAnsi="Times New Roman;serif"/>
                <w:b w:val="false"/>
                <w:color w:val="000000"/>
                <w:sz w:val="13"/>
              </w:rPr>
              <w:t>(1)</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Included in amortization expense is $0.6 million and $1.2 million for the three and six months ended June 30, 2026, respectively, and $0.6 million and $1.2 million for the three and six months ended June 30, 2025 respectively, related to the amortization of certain contract acquisition costs.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there were no impairment indicators present. </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8.    Debt Obligations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Outstanding debt obligations consisted of the following:</w:t>
      </w:r>
    </w:p>
    <w:tbl>
      <w:tblPr>
        <w:tblW w:w="10205" w:type="dxa"/>
        <w:jc w:val="left"/>
        <w:tblInd w:w="0" w:type="dxa"/>
        <w:tblLayout w:type="fixed"/>
        <w:tblCellMar>
          <w:top w:w="28" w:type="dxa"/>
          <w:left w:w="28" w:type="dxa"/>
          <w:bottom w:w="28" w:type="dxa"/>
          <w:right w:w="28" w:type="dxa"/>
        </w:tblCellMar>
      </w:tblPr>
      <w:tblGrid>
        <w:gridCol w:w="2621"/>
        <w:gridCol w:w="2188"/>
        <w:gridCol w:w="2195"/>
        <w:gridCol w:w="211"/>
        <w:gridCol w:w="991"/>
        <w:gridCol w:w="109"/>
        <w:gridCol w:w="109"/>
        <w:gridCol w:w="109"/>
        <w:gridCol w:w="109"/>
        <w:gridCol w:w="242"/>
        <w:gridCol w:w="1141"/>
        <w:gridCol w:w="180"/>
      </w:tblGrid>
      <w:tr>
        <w:trPr/>
        <w:tc>
          <w:tcPr>
            <w:tcW w:w="2621"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2024 Credit Agreement</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Term facility - matures July 31, 2032, interest rate of 7.39% and 7.47% at June 30, 2026 and December 31, 2025, respectively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1,020,000 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Revolving credit facility - $100.0 million line matures July 31, 2030, interest rate of 7.14% and 7.22% at June 30, 2026 and December 31, 2025, respectively</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Residual Finance Credit Facility </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Term facility - matures August 18, 2031, interest rate of 9.88% and 9.98% at June 30, 2026 and December 31, 2025, respectively</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35,394 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debt obligations</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1,062,884 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1,055,394 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long-term debt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discounts and deferred financing costs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Long-term debt,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1,044,685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1,039,358</w:t>
            </w:r>
            <w:r>
              <w:rPr>
                <w:color w:val="000000"/>
              </w:rPr>
              <w:t>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Interest Expense and Amortization of Deferred Loan Costs and Discounts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Deferred financing costs and debt discounts are amortized using the effective interest method over the remaining term of the respective debt and are recorded as a component of interest expense. Unamortized deferred financing costs and debt discounts are included in long-term debt on the Company's Unaudited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Interest expense for outstanding debt, including fees for undrawn amounts and amortization of deferred financing costs and debt discounts was as follows:</w:t>
      </w:r>
    </w:p>
    <w:tbl>
      <w:tblPr>
        <w:tblW w:w="7155" w:type="dxa"/>
        <w:jc w:val="left"/>
        <w:tblInd w:w="0" w:type="dxa"/>
        <w:tblLayout w:type="fixed"/>
        <w:tblCellMar>
          <w:top w:w="28" w:type="dxa"/>
          <w:left w:w="28" w:type="dxa"/>
          <w:bottom w:w="28" w:type="dxa"/>
          <w:right w:w="28" w:type="dxa"/>
        </w:tblCellMar>
      </w:tblPr>
      <w:tblGrid>
        <w:gridCol w:w="635"/>
        <w:gridCol w:w="559"/>
        <w:gridCol w:w="560"/>
        <w:gridCol w:w="230"/>
        <w:gridCol w:w="785"/>
        <w:gridCol w:w="118"/>
        <w:gridCol w:w="118"/>
        <w:gridCol w:w="118"/>
        <w:gridCol w:w="118"/>
        <w:gridCol w:w="230"/>
        <w:gridCol w:w="785"/>
        <w:gridCol w:w="118"/>
        <w:gridCol w:w="109"/>
        <w:gridCol w:w="109"/>
        <w:gridCol w:w="109"/>
        <w:gridCol w:w="211"/>
        <w:gridCol w:w="721"/>
        <w:gridCol w:w="109"/>
        <w:gridCol w:w="109"/>
        <w:gridCol w:w="109"/>
        <w:gridCol w:w="109"/>
        <w:gridCol w:w="211"/>
        <w:gridCol w:w="721"/>
        <w:gridCol w:w="154"/>
      </w:tblGrid>
      <w:tr>
        <w:trPr/>
        <w:tc>
          <w:tcPr>
            <w:tcW w:w="63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expense</w:t>
            </w:r>
            <w:r>
              <w:rPr>
                <w:rFonts w:ascii="Times New Roman;serif" w:hAnsi="Times New Roman;serif"/>
                <w:b w:val="false"/>
                <w:color w:val="000000"/>
                <w:sz w:val="13"/>
              </w:rPr>
              <w:t>(1)(2)</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23,054 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Included in interest expense is $0.3 million and $0.7 million related to the accretion of deferred consideration from acquisitions for the three and six months ended ended June 30, 2026, respectively, and $1.0 million and $2.0 million for the three and six months ended ended June 30, 2025, respectively.</w:t>
      </w:r>
    </w:p>
    <w:p>
      <w:pPr>
        <w:pStyle w:val="TextBody"/>
        <w:bidi w:val="0"/>
        <w:spacing w:lineRule="auto" w:line="288" w:before="0" w:after="120"/>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Interest expense included amortization of deferred financing costs and debt discounts of $0.4 million and $0.9 million for the three and six months ended ended June 30, 2026, respectively, and $0.5 million and $0.9 million for the three and six months ended June 30, 2025, respectively.</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Debt Covenants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2024 Credit Agreement contains representations and warranties, financial and collateral requirements, mandatory payment events, events of default and affirmative and negative covenants, including without limitation, covenants that restrict among other things, the ability to create liens, pay dividends or distribute assets from the loan parties to the Company, merge or consolidate, dispose of assets, incur additional indebtedness, make certain investments or acquisitions, enter into certain transactions (including with affiliates) and to enter into certain leases.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If the aggregate principal amount of outstanding revolving loans and letters of credit under the 2024 Credit Agreement exceeds 35% of the total revolving credit facility thereunder, the Company is required to comply with certain restrictions on its Total Net Leverage Ratio. If applicable, the maximum permitted Total Net Leverage Ratio is: 1) 6.90:1.00 at each fiscal quarter ended September 30, 2025 through March 31, 2026; 2) 6.40:1.00 at each fiscal quarter ended June 30, 2026 and each fiscal quarter thereafter.</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Residual Finance Credit Facility contains customary representations and warranties, financial and collateral requirements, mandatory payment events, events of default and affirmative and negative covenants, including without limitation, covenants that restrict among other things, the ability to create liens, pay dividends or distribute assets from the loan parties to the Company, merge or consolidate, dispose of assets, incur additional indebtedness, make certain investments or acquisitions, and enter into certain transactions (including with affiliates).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Residual Finance Credit Facility requires the Company to comply with certain restrictions including minimum liquidity of $2.0 million, minimum tangible net worth of $5.0 million, maximum default ratio of 2.5%, maximum delinquency ratio of 5.0%, and a minimum excess spread ratio of 1.00 to 1.00. </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9.    Income Taxes </w:t>
      </w:r>
    </w:p>
    <w:p>
      <w:pPr>
        <w:pStyle w:val="TextBody"/>
        <w:bidi w:val="0"/>
        <w:spacing w:lineRule="auto" w:line="288" w:before="120" w:after="240"/>
        <w:jc w:val="left"/>
        <w:rPr>
          <w:rFonts w:ascii="Times New Roman;serif" w:hAnsi="Times New Roman;serif"/>
          <w:b w:val="false"/>
          <w:color w:val="000000"/>
          <w:sz w:val="20"/>
        </w:rPr>
      </w:pPr>
      <w:r>
        <w:rPr>
          <w:rFonts w:ascii="Times New Roman;serif" w:hAnsi="Times New Roman;serif"/>
          <w:b w:val="false"/>
          <w:color w:val="000000"/>
          <w:sz w:val="20"/>
        </w:rPr>
        <w:t>The Company's consolidated effective income tax rate for the three and six months ended June 30, 2026 was 27.7% and 27.4%, respectively, compared to a consolidated effective income tax rate of 28.9% and 25.8% for the three and six months ended June 30, 2025, respectively. The effective rates differed from the statutory rate of 21.0% primarily due to certain forecasted nondeductible expenses.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Valuation Allowance for Deferred Income Tax Assets</w:t>
      </w:r>
    </w:p>
    <w:p>
      <w:pPr>
        <w:pStyle w:val="TextBody"/>
        <w:bidi w:val="0"/>
        <w:spacing w:lineRule="auto" w:line="288" w:before="0" w:after="240"/>
        <w:jc w:val="left"/>
        <w:rPr/>
      </w:pPr>
      <w:r>
        <w:rPr>
          <w:rFonts w:ascii="Times New Roman;serif" w:hAnsi="Times New Roman;serif"/>
          <w:b w:val="false"/>
          <w:color w:val="000000"/>
          <w:sz w:val="20"/>
        </w:rPr>
        <w:t xml:space="preserve">The Company considers all available positive and negative evidence to determine whether sufficient taxable income will be generated in the future to permit realization of the existing deferred tax assets. In accordance with the provisions of ASC 740, </w:t>
      </w:r>
      <w:r>
        <w:rPr>
          <w:rFonts w:ascii="Times New Roman;serif" w:hAnsi="Times New Roman;serif"/>
          <w:b w:val="false"/>
          <w:i/>
          <w:color w:val="000000"/>
          <w:sz w:val="20"/>
        </w:rPr>
        <w:t>Income Taxes</w:t>
      </w:r>
      <w:r>
        <w:rPr>
          <w:rFonts w:ascii="Times New Roman;serif" w:hAnsi="Times New Roman;serif"/>
          <w:b w:val="false"/>
          <w:color w:val="000000"/>
          <w:sz w:val="20"/>
        </w:rPr>
        <w:t>, the Company is required to provide a valuation allowance against deferred income tax assets when it is "more likely than not" that some portion or all of the deferred tax assets will not be realized.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Based on management's assessment, as of June 30, 2026, the Company continues to record a full valuation allowance against certain transaction costs, and net deferred tax assets acquired as part of the Payslate acquisition. The Company will continue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evaluate the realizability of the net deferred tax asset on a quarterly basis and, as a result, the valuation allowance may change in future periods.</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10.     Stockholders' Deficit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authorized to issue 100,000,000 shares of preferred stock with such designations, voting and other rights and preferences as may be determined from time to time by the Board of Directors. As of June 30, 2026 and December 31, 2025, the Company has not issued any shares of preferred stock. </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Share Repurchase Program</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2022, Priority Commerce's Board of Directors authorized a general share repurchase program under which the Company may purchase up to 2,000,000 shares of its outstanding Common Stock for a total of up to $10.0 million. Under the terms of this plan, the Company may purchase shares through open market purchases, unsolicited or solicited privately negotiated transactions, or in another manner so long as it complies with applicable rules and regulations. The Company has purchased 1,309,374 shares for $5.8 million under this plan. On May 5, 2025, the Company's Board of Directors amended the program to increase the authorization to 5,000,000 shares of its outstanding common stock for a total of $40.0 million. There have been no shares repurchased under this plan since the year ended December 31, 2022.</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11.    Stock-based Compensation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which is included in salary and employee benefits within the Unaudited Consolidated Statements of Operations and Comprehensive Income, was as follows:</w:t>
      </w:r>
    </w:p>
    <w:tbl>
      <w:tblPr>
        <w:tblW w:w="9575" w:type="dxa"/>
        <w:jc w:val="left"/>
        <w:tblInd w:w="0" w:type="dxa"/>
        <w:tblLayout w:type="fixed"/>
        <w:tblCellMar>
          <w:top w:w="28" w:type="dxa"/>
          <w:left w:w="28" w:type="dxa"/>
          <w:bottom w:w="28" w:type="dxa"/>
          <w:right w:w="28" w:type="dxa"/>
        </w:tblCellMar>
      </w:tblPr>
      <w:tblGrid>
        <w:gridCol w:w="1520"/>
        <w:gridCol w:w="1339"/>
        <w:gridCol w:w="1341"/>
        <w:gridCol w:w="248"/>
        <w:gridCol w:w="743"/>
        <w:gridCol w:w="128"/>
        <w:gridCol w:w="128"/>
        <w:gridCol w:w="128"/>
        <w:gridCol w:w="128"/>
        <w:gridCol w:w="248"/>
        <w:gridCol w:w="743"/>
        <w:gridCol w:w="128"/>
        <w:gridCol w:w="109"/>
        <w:gridCol w:w="109"/>
        <w:gridCol w:w="109"/>
        <w:gridCol w:w="225"/>
        <w:gridCol w:w="674"/>
        <w:gridCol w:w="116"/>
        <w:gridCol w:w="116"/>
        <w:gridCol w:w="116"/>
        <w:gridCol w:w="116"/>
        <w:gridCol w:w="225"/>
        <w:gridCol w:w="674"/>
        <w:gridCol w:w="164"/>
      </w:tblGrid>
      <w:tr>
        <w:trPr/>
        <w:tc>
          <w:tcPr>
            <w:tcW w:w="1520"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720"/>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2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1,636 </w:t>
            </w:r>
          </w:p>
        </w:tc>
        <w:tc>
          <w:tcPr>
            <w:tcW w:w="1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1,597 </w:t>
            </w:r>
          </w:p>
        </w:tc>
        <w:tc>
          <w:tcPr>
            <w:tcW w:w="1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3,479 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3,081 </w:t>
            </w:r>
          </w:p>
        </w:tc>
        <w:tc>
          <w:tcPr>
            <w:tcW w:w="1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Incentive units compensation expense</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Liability-classified awards compensation expense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ESPP compensation expense</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2,283</w:t>
            </w:r>
            <w:r>
              <w:rPr>
                <w:color w:val="000000"/>
              </w:rPr>
              <w:t>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3,206</w:t>
            </w:r>
            <w:r>
              <w:rPr>
                <w:color w:val="000000"/>
              </w:rPr>
              <w:t>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4,371</w:t>
            </w: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4,792</w:t>
            </w:r>
            <w:r>
              <w:rPr>
                <w:color w:val="000000"/>
              </w:rPr>
              <w:t>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expense for stock-based compensation was immaterial for the three and six months ended June 30, 2026. Income tax benefit for stock-based compensation was $0.1 million and $0.8 million, respectively, for the three and six months ended June 30, 2025. No stock-based compensation has been capitalized in any period presented. Awards granted during the three and six months ended June 30, 2026 and 2025, were not material. </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2018 Plan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2018 Plan initially provided for the issuance of up to 6,685,696 shares of the Company's Common Stock. On March 17, 2022, and February 5, 2026, the Company's Board of Directors unanimously approved amendments to the 2018 Plan which was subsequently approved by our shareholders to increase the numbers of shares authorized for issuance under the plan by 2,500,000 and 8,000,000 shares respectively, resulting in 17,185,696 shares of the Company's Common Stock authorized for issuance under the plan.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had 9,224,615 shares available for issuance under the 2018 Plan. </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2021 Employee Stock Purchase Plan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2021 Employee Stock Purchase Plan ("ESPP") provides for up to 200,000 shares to be purchased under the plan. Shares issued under the plan may be authorized but unissued or reacquired shares of Common Stock. All non-executive employees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based in the United States who work more than 20 hours per week and have been employed by the Company for at least 30 days may participate in the ESPP.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ESPP, participants are offered, on the first day of the offering period, the option to purchase shares of Common Stock at a discount on the last day of the offering period. The offering period shall be for a period of three months and the first offering period began on January 10, 2022. The ESPP provides eligible employees the opportunity to purchase shares of the Company's Common stock at 95% of the lesser of the fair value on the first and last trading day of each offering period. The ESPP was amended by shareholder approval on June 13, 2025, to increase the number of shares available by 200,000.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had 156,437 shares available for issuance under the 2021 Stock Purchase Plan.</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Non-voting Incentive Units </w:t>
      </w:r>
    </w:p>
    <w:p>
      <w:pPr>
        <w:pStyle w:val="TextBody"/>
        <w:bidi w:val="0"/>
        <w:spacing w:lineRule="auto" w:line="288" w:before="0" w:after="240"/>
        <w:jc w:val="left"/>
        <w:rPr/>
      </w:pPr>
      <w:r>
        <w:rPr>
          <w:rFonts w:ascii="Times New Roman;serif" w:hAnsi="Times New Roman;serif"/>
          <w:b w:val="false"/>
          <w:color w:val="000000"/>
          <w:sz w:val="20"/>
        </w:rPr>
        <w:t xml:space="preserve">The Company issued non-voting incentive units to certain employees and partners in seven subsidiaries. These non-voting incentive units were determined to be equity and are accounted for under ASC 718, </w:t>
      </w:r>
      <w:r>
        <w:rPr>
          <w:rFonts w:ascii="Times New Roman;serif" w:hAnsi="Times New Roman;serif"/>
          <w:b w:val="false"/>
          <w:i/>
          <w:color w:val="000000"/>
          <w:sz w:val="20"/>
        </w:rPr>
        <w:t>Compensation - Stock Compensation</w:t>
      </w:r>
      <w:r>
        <w:rPr>
          <w:rFonts w:ascii="Times New Roman;serif" w:hAnsi="Times New Roman;serif"/>
          <w:b w:val="false"/>
          <w:color w:val="000000"/>
          <w:sz w:val="20"/>
        </w:rPr>
        <w:t>. The non-voting incentive units are either fully vested when granted, or vest according to the service period and/or performance measure noted in the grant agreement. As the non-voting incentive units are vested, they are recognized as NCI to the Company, who is the majority owner of the subsidiaries.</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12.    Commitments and Contingencies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Minimum Annual Commitments with Third-party Processors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multi-year agreements with third parties to provide certain payment processing services to the Company. The Company pays processing fees under these agreements that are based on the volume and dollar amounts of processed payment transactions. Some of these agreements have minimum annual requirements for processing volumes. Based on existing contracts in place at June 30, 2026, the Company is committed to pay minimum processing fees under these agreements as noted below: </w:t>
      </w:r>
    </w:p>
    <w:tbl>
      <w:tblPr>
        <w:tblW w:w="3965" w:type="dxa"/>
        <w:jc w:val="left"/>
        <w:tblInd w:w="0" w:type="dxa"/>
        <w:tblLayout w:type="fixed"/>
        <w:tblCellMar>
          <w:top w:w="28" w:type="dxa"/>
          <w:left w:w="28" w:type="dxa"/>
          <w:bottom w:w="28" w:type="dxa"/>
          <w:right w:w="28" w:type="dxa"/>
        </w:tblCellMar>
      </w:tblPr>
      <w:tblGrid>
        <w:gridCol w:w="999"/>
        <w:gridCol w:w="879"/>
        <w:gridCol w:w="881"/>
        <w:gridCol w:w="211"/>
        <w:gridCol w:w="841"/>
        <w:gridCol w:w="154"/>
      </w:tblGrid>
      <w:tr>
        <w:trPr/>
        <w:tc>
          <w:tcPr>
            <w:tcW w:w="99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Twelve months ending June 30,</w:t>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129,881</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Other Commitments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the Company had a capital contribution commitment of $1.4 million and $3.2 million respectively, to fund operations of certain subsidiaries. The Company is obligated to make the contributions within 10 business days of receiving notice for such contribution from the subsidiary. </w:t>
      </w:r>
    </w:p>
    <w:p>
      <w:pPr>
        <w:pStyle w:val="TextBody"/>
        <w:bidi w:val="0"/>
        <w:spacing w:before="0" w:after="12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Sponsorship Commitments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entered into various sponsorship agreements with sports and entertainment organizations in exchange for certain advertisement opportunities.The Company committed to paying the amounts in the table below: </w:t>
      </w:r>
    </w:p>
    <w:tbl>
      <w:tblPr>
        <w:tblW w:w="3801" w:type="dxa"/>
        <w:jc w:val="left"/>
        <w:tblInd w:w="0" w:type="dxa"/>
        <w:tblLayout w:type="fixed"/>
        <w:tblCellMar>
          <w:top w:w="28" w:type="dxa"/>
          <w:left w:w="28" w:type="dxa"/>
          <w:bottom w:w="28" w:type="dxa"/>
          <w:right w:w="28" w:type="dxa"/>
        </w:tblCellMar>
      </w:tblPr>
      <w:tblGrid>
        <w:gridCol w:w="1015"/>
        <w:gridCol w:w="894"/>
        <w:gridCol w:w="896"/>
        <w:gridCol w:w="211"/>
        <w:gridCol w:w="631"/>
        <w:gridCol w:w="154"/>
      </w:tblGrid>
      <w:tr>
        <w:trPr/>
        <w:tc>
          <w:tcPr>
            <w:tcW w:w="1015"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Twelve months ending June 30, </w:t>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6,460</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Contingent/Deferred Consideration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provides a reconciliation of the beginning and ending balance of the Company's deferred and contingent consideration liabilities related to completed business acquisitions: </w:t>
      </w:r>
    </w:p>
    <w:tbl>
      <w:tblPr>
        <w:tblW w:w="8274" w:type="dxa"/>
        <w:jc w:val="left"/>
        <w:tblInd w:w="0" w:type="dxa"/>
        <w:tblLayout w:type="fixed"/>
        <w:tblCellMar>
          <w:top w:w="28" w:type="dxa"/>
          <w:left w:w="28" w:type="dxa"/>
          <w:bottom w:w="28" w:type="dxa"/>
          <w:right w:w="28" w:type="dxa"/>
        </w:tblCellMar>
      </w:tblPr>
      <w:tblGrid>
        <w:gridCol w:w="613"/>
        <w:gridCol w:w="540"/>
        <w:gridCol w:w="541"/>
        <w:gridCol w:w="636"/>
        <w:gridCol w:w="2226"/>
        <w:gridCol w:w="332"/>
        <w:gridCol w:w="109"/>
        <w:gridCol w:w="109"/>
        <w:gridCol w:w="109"/>
        <w:gridCol w:w="647"/>
        <w:gridCol w:w="1937"/>
        <w:gridCol w:w="475"/>
      </w:tblGrid>
      <w:tr>
        <w:trPr/>
        <w:tc>
          <w:tcPr>
            <w:tcW w:w="61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222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Contingent Consideration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Deferred Consideration Liabilities</w:t>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21,058 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7,296 </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vAlign w:val="center"/>
          </w:tcPr>
          <w:p>
            <w:pPr>
              <w:pStyle w:val="TableContents"/>
              <w:bidi w:val="0"/>
              <w:spacing w:before="0" w:after="283"/>
              <w:jc w:val="left"/>
              <w:rPr>
                <w:sz w:val="4"/>
                <w:szCs w:val="4"/>
              </w:rPr>
            </w:pPr>
            <w:r>
              <w:rPr>
                <w:sz w:val="4"/>
                <w:szCs w:val="4"/>
              </w:rPr>
            </w:r>
          </w:p>
        </w:tc>
        <w:tc>
          <w:tcPr>
            <w:tcW w:w="3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59" w:type="dxa"/>
            <w:gridSpan w:val="3"/>
            <w:tcBorders/>
            <w:vAlign w:val="center"/>
          </w:tcPr>
          <w:p>
            <w:pPr>
              <w:pStyle w:val="TableContents"/>
              <w:bidi w:val="0"/>
              <w:spacing w:before="0" w:after="283"/>
              <w:jc w:val="left"/>
              <w:rPr>
                <w:sz w:val="4"/>
                <w:szCs w:val="4"/>
              </w:rPr>
            </w:pPr>
            <w:r>
              <w:rPr>
                <w:sz w:val="4"/>
                <w:szCs w:val="4"/>
              </w:rPr>
            </w:r>
          </w:p>
        </w:tc>
      </w:tr>
      <w:tr>
        <w:trPr/>
        <w:tc>
          <w:tcPr>
            <w:tcW w:w="1694" w:type="dxa"/>
            <w:gridSpan w:val="3"/>
            <w:tcBorders/>
            <w:vAlign w:val="center"/>
          </w:tcPr>
          <w:p>
            <w:pPr>
              <w:pStyle w:val="TableContents"/>
              <w:bidi w:val="0"/>
              <w:spacing w:before="0" w:after="283"/>
              <w:jc w:val="left"/>
              <w:rPr>
                <w:sz w:val="4"/>
                <w:szCs w:val="4"/>
              </w:rPr>
            </w:pPr>
            <w:r>
              <w:rPr>
                <w:sz w:val="4"/>
                <w:szCs w:val="4"/>
              </w:rPr>
            </w:r>
          </w:p>
        </w:tc>
        <w:tc>
          <w:tcPr>
            <w:tcW w:w="3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59" w:type="dxa"/>
            <w:gridSpan w:val="3"/>
            <w:tcBorders/>
            <w:vAlign w:val="center"/>
          </w:tcPr>
          <w:p>
            <w:pPr>
              <w:pStyle w:val="TableContents"/>
              <w:bidi w:val="0"/>
              <w:spacing w:before="0" w:after="283"/>
              <w:jc w:val="left"/>
              <w:rPr>
                <w:sz w:val="4"/>
                <w:szCs w:val="4"/>
              </w:rPr>
            </w:pPr>
            <w:r>
              <w:rPr>
                <w:sz w:val="4"/>
                <w:szCs w:val="4"/>
              </w:rPr>
            </w:r>
          </w:p>
        </w:tc>
      </w:tr>
      <w:tr>
        <w:trPr/>
        <w:tc>
          <w:tcPr>
            <w:tcW w:w="1694" w:type="dxa"/>
            <w:gridSpan w:val="3"/>
            <w:tcBorders/>
            <w:vAlign w:val="center"/>
          </w:tcPr>
          <w:p>
            <w:pPr>
              <w:pStyle w:val="TableContents"/>
              <w:bidi w:val="0"/>
              <w:spacing w:before="0" w:after="283"/>
              <w:jc w:val="left"/>
              <w:rPr>
                <w:sz w:val="4"/>
                <w:szCs w:val="4"/>
              </w:rPr>
            </w:pPr>
            <w:r>
              <w:rPr>
                <w:sz w:val="4"/>
                <w:szCs w:val="4"/>
              </w:rPr>
            </w:r>
          </w:p>
        </w:tc>
        <w:tc>
          <w:tcPr>
            <w:tcW w:w="3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59" w:type="dxa"/>
            <w:gridSpan w:val="3"/>
            <w:tcBorders/>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w:t>
            </w:r>
          </w:p>
        </w:tc>
        <w:tc>
          <w:tcPr>
            <w:tcW w:w="2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vAlign w:val="center"/>
          </w:tcPr>
          <w:p>
            <w:pPr>
              <w:pStyle w:val="TableContents"/>
              <w:bidi w:val="0"/>
              <w:spacing w:before="0" w:after="283"/>
              <w:jc w:val="left"/>
              <w:rPr>
                <w:sz w:val="4"/>
                <w:szCs w:val="4"/>
              </w:rPr>
            </w:pPr>
            <w:r>
              <w:rPr>
                <w:sz w:val="4"/>
                <w:szCs w:val="4"/>
              </w:rPr>
            </w:r>
          </w:p>
        </w:tc>
        <w:tc>
          <w:tcPr>
            <w:tcW w:w="3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59" w:type="dxa"/>
            <w:gridSpan w:val="3"/>
            <w:tcBorders/>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2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vAlign w:val="center"/>
          </w:tcPr>
          <w:p>
            <w:pPr>
              <w:pStyle w:val="TableContents"/>
              <w:bidi w:val="0"/>
              <w:spacing w:before="0" w:after="283"/>
              <w:jc w:val="left"/>
              <w:rPr>
                <w:sz w:val="4"/>
                <w:szCs w:val="4"/>
              </w:rPr>
            </w:pPr>
            <w:r>
              <w:rPr>
                <w:sz w:val="4"/>
                <w:szCs w:val="4"/>
              </w:rPr>
            </w:r>
          </w:p>
        </w:tc>
        <w:tc>
          <w:tcPr>
            <w:tcW w:w="3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59" w:type="dxa"/>
            <w:gridSpan w:val="3"/>
            <w:tcBorders/>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June 30, 2026</w:t>
            </w:r>
          </w:p>
        </w:tc>
        <w:tc>
          <w:tcPr>
            <w:tcW w:w="6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2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21,460</w:t>
            </w:r>
            <w:r>
              <w:rPr>
                <w:color w:val="000000"/>
              </w:rPr>
              <w:t> </w:t>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9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7,477</w:t>
            </w:r>
            <w:r>
              <w:rPr>
                <w:color w:val="000000"/>
              </w:rPr>
              <w:t> </w:t>
            </w:r>
          </w:p>
        </w:tc>
        <w:tc>
          <w:tcPr>
            <w:tcW w:w="4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Earn-outs/additional considerations from asset purchase transactions are considered as contingent liabilities until it becomes payable or paid. As of June 30, 2026, and December 31, 2025, the total contingent liabilities related to our asset purchases are $27.2 million.</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Legal Proceedings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is involved in certain legal proceedings and claims which arise in the ordinary course of business. In the opinion of the Company and based on consultations with internal and external counsel, the results of any of these matters, individually and in the aggregate, are not expected to have a material effect on the Company's results of operations, financial condition or cash flows. As more information becomes available, and the Company determines that an unfavorable outcome is probable on a claim and that the amount of probable loss that the Company will incur on that claim is reasonably estimable, the Company will record an accrued expense for the claim in question. If and when the Company records such an accrual, it could be material and could adversely impact the Company's results of operations, financial condition and cash flows.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Concentration of Risks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Company's revenue is substantially derived from processing Visa and Mastercard bankcard transactions. Because the Company is not a member bank, to process these bankcard transactions, the Company maintains sponsorship agreements with member banks which require, among other things, that the Company abide by the by-laws and regulations of the card association.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 majority of the Company's cash and restricted cash is held in certain FIs, substantially all of which is in excess of FDIC limits. The Company does not believe it is exposed to any significant credit risk from these transactions.</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13.    Fair Value</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Fair Value Disclosures</w:t>
      </w:r>
    </w:p>
    <w:p>
      <w:pPr>
        <w:pStyle w:val="TextBody"/>
        <w:bidi w:val="0"/>
        <w:spacing w:lineRule="auto" w:line="288" w:before="0" w:after="240"/>
        <w:jc w:val="left"/>
        <w:rPr/>
      </w:pPr>
      <w:r>
        <w:rPr>
          <w:rFonts w:ascii="Times New Roman;serif" w:hAnsi="Times New Roman;serif"/>
          <w:b w:val="false"/>
          <w:color w:val="000000"/>
          <w:sz w:val="20"/>
        </w:rPr>
        <w:t xml:space="preserve">The Company's contingent and deferred considerations were derived from business combinations occurring during the year ended December 31, 2025 (refer to </w:t>
      </w:r>
      <w:hyperlink w:anchor="i5564e7281e874bc598c371fdf8820f67_37">
        <w:r>
          <w:rPr>
            <w:rStyle w:val="InternetLink"/>
            <w:rFonts w:ascii="Times New Roman;serif" w:hAnsi="Times New Roman;serif"/>
            <w:b w:val="false"/>
            <w:color w:val="0000FF"/>
            <w:sz w:val="20"/>
            <w:u w:val="single"/>
          </w:rPr>
          <w:t>Note 2. Acquisitions</w:t>
        </w:r>
      </w:hyperlink>
      <w:r>
        <w:rPr>
          <w:rFonts w:ascii="Times New Roman;serif" w:hAnsi="Times New Roman;serif"/>
          <w:b w:val="false"/>
          <w:color w:val="000000"/>
          <w:sz w:val="20"/>
        </w:rPr>
        <w:t xml:space="preserve">). The contingent considerations are classified within Level 3 of the fair value hierarchy due to the uncertainty of the fair value measurement created by the absence of quoted market prices, the inherent lack of liquidity and unobservable inputs used to measure fair value which require judgment. The Company uses valuation techniques including Monte Carlo simulations to estimate fair value based on projection period and assumed growth rates. A change in inputs in the valuation techniques used might result in a significantly higher or lower fair value measurement than what is reported. Contingent and deferred consideration liabilities are uncertain due to the utilization of unobservable inputs and management's judgment in determining the likelihood of achieving criteria required by the respective agreements. The contingent and deferred considerations have a fair value of $28.9 million at June 30, 2026, $1.2 million included in accounts payable and accrued expenses and $27.7 million included in other noncurrent liabilities on the Company's Unaudited Consolidated Balance Sheets. </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Notes Receivable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Notes receivable are carried at amortized cost. Substantially all of the Company's notes receivable are secured, and the Company provides for allowances when it believes that certain notes receivable may not be collectible. The carrying value of the Company's notes receivable, net, approximates fair value and was approximately $22.7 million and $19.7 million at June 30, 2026 and December 31, 2025, respectively and is within Level 3 of the fair value hierarchy.</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Investment in Unconsolidated Entities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Company's investment in unconsolidated entities are carried at cost minus any impairment, if any. The carrying value of the investments approximate fair value and was $10.1 million and $8.6 million at June 30, 2026 and December 31, 2025, respectively, within other noncurrent assets on the Company's Unaudited Consolidated Balance Sheets. The investments in unconsolidated entities are within Level 3 of the fair value hierarchy.</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Debt Obligations</w:t>
      </w:r>
    </w:p>
    <w:p>
      <w:pPr>
        <w:pStyle w:val="TextBody"/>
        <w:bidi w:val="0"/>
        <w:spacing w:lineRule="auto" w:line="288" w:before="0" w:after="120"/>
        <w:jc w:val="left"/>
        <w:rPr/>
      </w:pPr>
      <w:r>
        <w:rPr>
          <w:rFonts w:ascii="Times New Roman;serif" w:hAnsi="Times New Roman;serif"/>
          <w:b w:val="false"/>
          <w:color w:val="000000"/>
          <w:sz w:val="20"/>
        </w:rPr>
        <w:t xml:space="preserve">Outstanding debt obligations (see </w:t>
      </w:r>
      <w:hyperlink w:anchor="i5564e7281e874bc598c371fdf8820f67_61">
        <w:r>
          <w:rPr>
            <w:rStyle w:val="InternetLink"/>
            <w:rFonts w:ascii="Times New Roman;serif" w:hAnsi="Times New Roman;serif"/>
            <w:b w:val="false"/>
            <w:color w:val="0000FF"/>
            <w:sz w:val="20"/>
            <w:u w:val="single"/>
          </w:rPr>
          <w:t>Note 8. Debt Obligations</w:t>
        </w:r>
      </w:hyperlink>
      <w:r>
        <w:rPr>
          <w:rFonts w:ascii="Times New Roman;serif" w:hAnsi="Times New Roman;serif"/>
          <w:b w:val="false"/>
          <w:color w:val="000000"/>
          <w:sz w:val="20"/>
        </w:rPr>
        <w:t>) are reflected in the Company's Unaudited Consolidated Balance Sheets at carrying value since the Company did not elect to remeasure debt obligations to fair value at the end of each reporting period.</w:t>
      </w:r>
    </w:p>
    <w:p>
      <w:pPr>
        <w:pStyle w:val="TextBody"/>
        <w:bidi w:val="0"/>
        <w:spacing w:lineRule="auto" w:line="288" w:before="0" w:after="120"/>
        <w:jc w:val="left"/>
        <w:rPr/>
      </w:pPr>
      <w:r>
        <w:rPr>
          <w:rFonts w:ascii="Times New Roman;serif" w:hAnsi="Times New Roman;serif"/>
          <w:b w:val="false"/>
          <w:color w:val="000000"/>
          <w:sz w:val="20"/>
        </w:rPr>
        <w:t>The fair value of the term facility under the 2024 Credit Agreement was estimated to be $1,004.7 million and $998.3 million at June 30, 2026 and December 31, 2025, respectively. The fair value was estimated using binding and non-binding quoted prices in an active secondary market, which considers</w:t>
      </w:r>
      <w:r>
        <w:rPr>
          <w:color w:val="000000"/>
        </w:rPr>
        <w:t> </w:t>
      </w:r>
      <w:r>
        <w:rPr>
          <w:rFonts w:ascii="Times New Roman;serif" w:hAnsi="Times New Roman;serif"/>
          <w:b w:val="false"/>
          <w:color w:val="000000"/>
          <w:sz w:val="20"/>
        </w:rPr>
        <w:t xml:space="preserve">the credit risk and market related conditions, and is within Level 2 of the fair value hierarchy.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there were no transfers into, out of, or between levels of the fair value hierarchy.</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Long term incentive award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established a long-term incentive award for the Chief Executive Officer, which is subject to specified performance conditions. Upon satisfaction of these performance criteria, the Chief Executive Officer becomes entitled to a predetermined amount of incentive compensation, which may be settled either in cash or in shares of the Company's Common Stock. Consequently, this arrangement is accounted for as a liability award in accordance with applicable accounting standards. The fair value of these awards is remeasured at each reporting date utilizing Level 3 inputs, which encompass management's estimates regarding the anticipated achievement of relevant financial metrics. The fair value of these awards as of June 30, 2026 was $2.8 million, $1.6 million included in accounts payable and accrued expenses and $1.2 million in other noncurrent liabilities on the Company's Unaudited Consolidated Balance Sheets. </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14.    Segment Information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Company's three reportable segments included Merchant Solutions, Payables and Treasury Solutions:</w:t>
      </w:r>
    </w:p>
    <w:p>
      <w:pPr>
        <w:pStyle w:val="TextBody"/>
        <w:bidi w:val="0"/>
        <w:spacing w:lineRule="auto" w:line="288" w:before="0" w:after="120"/>
        <w:ind w:left="0" w:right="0" w:hanging="360"/>
        <w:jc w:val="left"/>
        <w:rPr/>
      </w:pPr>
      <w:r>
        <w:rPr>
          <w:strike/>
          <w:color w:val="212529"/>
        </w:rPr>
        <w:t>•</w:t>
      </w:r>
      <w:r>
        <w:rPr>
          <w:rFonts w:ascii="Times New Roman;serif" w:hAnsi="Times New Roman;serif"/>
          <w:b w:val="false"/>
          <w:i/>
          <w:color w:val="000000"/>
          <w:sz w:val="20"/>
        </w:rPr>
        <w:t>Merchant Solutions</w:t>
      </w:r>
      <w:r>
        <w:rPr>
          <w:rFonts w:ascii="Times New Roman;serif" w:hAnsi="Times New Roman;serif"/>
          <w:b w:val="false"/>
          <w:color w:val="000000"/>
          <w:sz w:val="20"/>
        </w:rPr>
        <w:t>: Provides full-service acquiring and payment-enabled solutions for B2C transactions, leveraging Priority Commerce's proprietary software platform, distributed through ISO, direct sales and vertically focused ISV channels.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Payables</w:t>
      </w:r>
      <w:r>
        <w:rPr>
          <w:rFonts w:ascii="Times New Roman;serif" w:hAnsi="Times New Roman;serif"/>
          <w:b w:val="false"/>
          <w:color w:val="000000"/>
          <w:sz w:val="20"/>
        </w:rPr>
        <w:t>: Provides market-leading AP automation solutions to corporations, software partners and industry leading FIs in addition to improving cash flows by providing instant access to working capital.</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Treasury Solutions</w:t>
      </w:r>
      <w:r>
        <w:rPr>
          <w:rFonts w:ascii="Times New Roman;serif" w:hAnsi="Times New Roman;serif"/>
          <w:b w:val="false"/>
          <w:color w:val="000000"/>
          <w:sz w:val="20"/>
        </w:rPr>
        <w:t>: Provides embedded finance and treasury solutions to customers to modernize legacy platforms and accelerate software partners' strategies to monetize payments.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Corporate items includes costs of corporate functions and shared services not allocated to our reportable segments.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chief operating decision makers ("CODM") are our CEO and CFO. The CODM uses adjusted earnings before interest, income tax, depreciation and amortization expenses ("Adjusted EBITDA") as the measure of segment profit or loss to allocate resources. Adjusted EBITDA represents EBITDA (i.e. earnings before interest, income tax, depreciation and amortization expenses) adjusted for certain non-cash costs, such as stock-based compensation and the write-off of the carrying value of investments or other assets, as well as debt extinguishment and modification expenses and other expenses and income items considered non-recurring, such as acquisition integration expenses, certain professional fees, and litigation settlements.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Segment level assets information is not provided or subject to review by the CODM and therefore not provided.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Information on reportable segments and reconciliations to income before income taxes are as follows:</w:t>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240"/>
        <w:jc w:val="left"/>
        <w:rPr/>
      </w:pPr>
      <w:r>
        <w:rPr/>
      </w:r>
    </w:p>
    <w:tbl>
      <w:tblPr>
        <w:tblW w:w="10205" w:type="dxa"/>
        <w:jc w:val="left"/>
        <w:tblInd w:w="0" w:type="dxa"/>
        <w:tblLayout w:type="fixed"/>
        <w:tblCellMar>
          <w:top w:w="28" w:type="dxa"/>
          <w:left w:w="28" w:type="dxa"/>
          <w:bottom w:w="28" w:type="dxa"/>
          <w:right w:w="28" w:type="dxa"/>
        </w:tblCellMar>
      </w:tblPr>
      <w:tblGrid>
        <w:gridCol w:w="1432"/>
        <w:gridCol w:w="1140"/>
        <w:gridCol w:w="1143"/>
        <w:gridCol w:w="109"/>
        <w:gridCol w:w="109"/>
        <w:gridCol w:w="109"/>
        <w:gridCol w:w="277"/>
        <w:gridCol w:w="1085"/>
        <w:gridCol w:w="143"/>
        <w:gridCol w:w="109"/>
        <w:gridCol w:w="109"/>
        <w:gridCol w:w="109"/>
        <w:gridCol w:w="211"/>
        <w:gridCol w:w="721"/>
        <w:gridCol w:w="109"/>
        <w:gridCol w:w="109"/>
        <w:gridCol w:w="109"/>
        <w:gridCol w:w="109"/>
        <w:gridCol w:w="292"/>
        <w:gridCol w:w="1000"/>
        <w:gridCol w:w="150"/>
        <w:gridCol w:w="109"/>
        <w:gridCol w:w="109"/>
        <w:gridCol w:w="109"/>
        <w:gridCol w:w="211"/>
        <w:gridCol w:w="826"/>
        <w:gridCol w:w="157"/>
      </w:tblGrid>
      <w:tr>
        <w:trPr/>
        <w:tc>
          <w:tcPr>
            <w:tcW w:w="1432"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r>
      <w:tr>
        <w:trPr/>
        <w:tc>
          <w:tcPr>
            <w:tcW w:w="3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Merchant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Payables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Treasury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external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174,008 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58,191 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262,256 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Intersegment revenue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175,778 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60,519 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266,727 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 of intersegment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262,256 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Less: Cost of revenue (excludes depreciation and amortization)</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(135,955)</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(6,954)</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Less: Other operating expenses</w:t>
            </w:r>
            <w:r>
              <w:rPr>
                <w:rFonts w:ascii="Times New Roman;serif" w:hAnsi="Times New Roman;serif"/>
                <w:b w:val="false"/>
                <w:color w:val="000000"/>
                <w:sz w:val="13"/>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(10,095)</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(6,499)</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Add: Other segment items</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30,887 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47,513 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81,510 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Segment Adjusted EBITDA to income before income taxes</w:t>
            </w:r>
          </w:p>
        </w:tc>
      </w:tr>
      <w:tr>
        <w:trPr/>
        <w:tc>
          <w:tcPr>
            <w:tcW w:w="3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81,510 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Adjustment for corporate items</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Intersegment revenue elimination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(20,893)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3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(non-recurring)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3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13,637</w:t>
            </w:r>
            <w:r>
              <w:rPr>
                <w:color w:val="000000"/>
              </w:rPr>
              <w:t>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 xml:space="preserve">The significant expense categories and amounts align with the segment level information regularly provided to the CODM. </w:t>
      </w:r>
    </w:p>
    <w:p>
      <w:pPr>
        <w:pStyle w:val="TextBody"/>
        <w:bidi w:val="0"/>
        <w:spacing w:lineRule="auto" w:line="288" w:before="0" w:after="120"/>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Other operating expenses including salary and employee benefits, and selling, general and administrative expenses.</w:t>
      </w:r>
    </w:p>
    <w:p>
      <w:pPr>
        <w:pStyle w:val="TextBody"/>
        <w:bidi w:val="0"/>
        <w:spacing w:lineRule="auto" w:line="288" w:before="0" w:after="120"/>
        <w:ind w:left="0" w:right="0" w:hanging="360"/>
        <w:jc w:val="left"/>
        <w:rPr/>
      </w:pPr>
      <w:r>
        <w:rPr>
          <w:rFonts w:ascii="Times New Roman;serif" w:hAnsi="Times New Roman;serif"/>
          <w:b w:val="false"/>
          <w:color w:val="000000"/>
          <w:sz w:val="13"/>
        </w:rPr>
        <w:t>(3)</w:t>
      </w:r>
      <w:r>
        <w:rPr>
          <w:rFonts w:ascii="Times New Roman;serif" w:hAnsi="Times New Roman;serif"/>
          <w:b w:val="false"/>
          <w:color w:val="000000"/>
          <w:sz w:val="20"/>
        </w:rPr>
        <w:t>Other segment items for each reportable segment include other income, net, and stock-based compensation expense.</w:t>
      </w:r>
    </w:p>
    <w:p>
      <w:pPr>
        <w:pStyle w:val="TextBody"/>
        <w:bidi w:val="0"/>
        <w:spacing w:lineRule="auto" w:line="288" w:before="0" w:after="120"/>
        <w:ind w:left="0" w:right="0" w:hanging="360"/>
        <w:jc w:val="left"/>
        <w:rPr/>
      </w:pPr>
      <w:r>
        <w:rPr>
          <w:rFonts w:ascii="Times New Roman;serif" w:hAnsi="Times New Roman;serif"/>
          <w:b w:val="false"/>
          <w:color w:val="000000"/>
          <w:sz w:val="13"/>
        </w:rPr>
        <w:t>(4)</w:t>
      </w:r>
      <w:r>
        <w:rPr>
          <w:rFonts w:ascii="Times New Roman;serif" w:hAnsi="Times New Roman;serif"/>
          <w:b w:val="false"/>
          <w:color w:val="000000"/>
          <w:sz w:val="20"/>
        </w:rPr>
        <w:t>Adjustment for corporate items include:</w:t>
      </w:r>
    </w:p>
    <w:tbl>
      <w:tblPr>
        <w:tblW w:w="9237" w:type="dxa"/>
        <w:jc w:val="left"/>
        <w:tblInd w:w="0" w:type="dxa"/>
        <w:tblLayout w:type="fixed"/>
        <w:tblCellMar>
          <w:top w:w="28" w:type="dxa"/>
          <w:left w:w="28" w:type="dxa"/>
          <w:bottom w:w="28" w:type="dxa"/>
          <w:right w:w="28" w:type="dxa"/>
        </w:tblCellMar>
      </w:tblPr>
      <w:tblGrid>
        <w:gridCol w:w="2156"/>
        <w:gridCol w:w="1897"/>
        <w:gridCol w:w="1902"/>
        <w:gridCol w:w="241"/>
        <w:gridCol w:w="910"/>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2156"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 of cost of services (excludes depreciation and amortization)</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operating expenses</w:t>
            </w:r>
            <w:r>
              <w:rPr>
                <w:rFonts w:ascii="Times New Roman;serif" w:hAnsi="Times New Roman;serif"/>
                <w:b w:val="false"/>
                <w:color w:val="000000"/>
                <w:sz w:val="13"/>
              </w:rPr>
              <w:t>(2)</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(25,907)</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items</w:t>
            </w:r>
            <w:r>
              <w:rPr>
                <w:rFonts w:ascii="Times New Roman;serif" w:hAnsi="Times New Roman;serif"/>
                <w:b w:val="false"/>
                <w:color w:val="000000"/>
                <w:sz w:val="13"/>
              </w:rPr>
              <w:t>(5)</w:t>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(17,644)</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pPr>
      <w:r>
        <w:rPr>
          <w:rFonts w:ascii="Times New Roman;serif" w:hAnsi="Times New Roman;serif"/>
          <w:b w:val="false"/>
          <w:color w:val="000000"/>
          <w:sz w:val="13"/>
        </w:rPr>
        <w:t>(5)</w:t>
      </w:r>
      <w:r>
        <w:rPr>
          <w:rFonts w:ascii="Times New Roman;serif" w:hAnsi="Times New Roman;serif"/>
          <w:b w:val="false"/>
          <w:color w:val="000000"/>
          <w:sz w:val="20"/>
        </w:rPr>
        <w:t>Other items include other income net, stock-based compensation expense, and selling general and administrative (non-recurring expense).</w:t>
      </w:r>
    </w:p>
    <w:tbl>
      <w:tblPr>
        <w:tblW w:w="9076" w:type="dxa"/>
        <w:jc w:val="left"/>
        <w:tblInd w:w="0" w:type="dxa"/>
        <w:tblLayout w:type="fixed"/>
        <w:tblCellMar>
          <w:top w:w="28" w:type="dxa"/>
          <w:left w:w="28" w:type="dxa"/>
          <w:bottom w:w="28" w:type="dxa"/>
          <w:right w:w="28" w:type="dxa"/>
        </w:tblCellMar>
      </w:tblPr>
      <w:tblGrid>
        <w:gridCol w:w="939"/>
        <w:gridCol w:w="827"/>
        <w:gridCol w:w="829"/>
        <w:gridCol w:w="355"/>
        <w:gridCol w:w="1216"/>
        <w:gridCol w:w="183"/>
        <w:gridCol w:w="109"/>
        <w:gridCol w:w="109"/>
        <w:gridCol w:w="109"/>
        <w:gridCol w:w="211"/>
        <w:gridCol w:w="616"/>
        <w:gridCol w:w="109"/>
        <w:gridCol w:w="109"/>
        <w:gridCol w:w="109"/>
        <w:gridCol w:w="109"/>
        <w:gridCol w:w="389"/>
        <w:gridCol w:w="1135"/>
        <w:gridCol w:w="200"/>
        <w:gridCol w:w="109"/>
        <w:gridCol w:w="109"/>
        <w:gridCol w:w="109"/>
        <w:gridCol w:w="211"/>
        <w:gridCol w:w="721"/>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539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 specified segment disclosure</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5"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Merchant Solutions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Payables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Treasury Solutions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13,094 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5,297 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240"/>
        <w:jc w:val="left"/>
        <w:rPr/>
      </w:pPr>
      <w:r>
        <w:rPr/>
      </w:r>
    </w:p>
    <w:tbl>
      <w:tblPr>
        <w:tblW w:w="10205" w:type="dxa"/>
        <w:jc w:val="left"/>
        <w:tblInd w:w="0" w:type="dxa"/>
        <w:tblLayout w:type="fixed"/>
        <w:tblCellMar>
          <w:top w:w="28" w:type="dxa"/>
          <w:left w:w="28" w:type="dxa"/>
          <w:bottom w:w="28" w:type="dxa"/>
          <w:right w:w="28" w:type="dxa"/>
        </w:tblCellMar>
      </w:tblPr>
      <w:tblGrid>
        <w:gridCol w:w="1421"/>
        <w:gridCol w:w="1128"/>
        <w:gridCol w:w="1131"/>
        <w:gridCol w:w="109"/>
        <w:gridCol w:w="109"/>
        <w:gridCol w:w="109"/>
        <w:gridCol w:w="276"/>
        <w:gridCol w:w="1081"/>
        <w:gridCol w:w="142"/>
        <w:gridCol w:w="109"/>
        <w:gridCol w:w="109"/>
        <w:gridCol w:w="109"/>
        <w:gridCol w:w="211"/>
        <w:gridCol w:w="721"/>
        <w:gridCol w:w="109"/>
        <w:gridCol w:w="109"/>
        <w:gridCol w:w="109"/>
        <w:gridCol w:w="109"/>
        <w:gridCol w:w="272"/>
        <w:gridCol w:w="1069"/>
        <w:gridCol w:w="141"/>
        <w:gridCol w:w="109"/>
        <w:gridCol w:w="109"/>
        <w:gridCol w:w="109"/>
        <w:gridCol w:w="211"/>
        <w:gridCol w:w="826"/>
        <w:gridCol w:w="158"/>
      </w:tblGrid>
      <w:tr>
        <w:trPr/>
        <w:tc>
          <w:tcPr>
            <w:tcW w:w="1421"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r>
      <w:tr>
        <w:trPr/>
        <w:tc>
          <w:tcPr>
            <w:tcW w:w="3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Merchant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Payables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Treasury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external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334,286 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115,442 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511,814 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Intersegment revenue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337,564 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119,359 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519,794 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 of intersegment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511,814 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Less: Cost of revenue (excludes depreciation and amortization)</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(261,052)</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(12,928)</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Less: Other operating expenses</w:t>
            </w:r>
            <w:r>
              <w:rPr>
                <w:rFonts w:ascii="Times New Roman;serif" w:hAnsi="Times New Roman;serif"/>
                <w:b w:val="false"/>
                <w:color w:val="000000"/>
                <w:sz w:val="13"/>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(19,925)</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(12,772)</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Add: Other segment items</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58,627 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94,184 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161,375 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Segment Adjusted EBITDA to income before income taxes</w:t>
            </w:r>
          </w:p>
        </w:tc>
      </w:tr>
      <w:tr>
        <w:trPr/>
        <w:tc>
          <w:tcPr>
            <w:tcW w:w="3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161,375 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Adjustment for corporate items</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(35,906)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Intersegment revenue elimination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(38,508)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(42,067)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(non-recurring)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27,043</w:t>
            </w:r>
            <w:r>
              <w:rPr>
                <w:color w:val="000000"/>
              </w:rPr>
              <w:t>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 xml:space="preserve">The significant expense categories and amounts align with the segment level information regularly provided to the CODM. </w:t>
      </w:r>
    </w:p>
    <w:p>
      <w:pPr>
        <w:pStyle w:val="TextBody"/>
        <w:bidi w:val="0"/>
        <w:spacing w:lineRule="auto" w:line="288" w:before="0" w:after="120"/>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Other operating expenses including salary and employee benefits, and selling, general and administrative expenses.</w:t>
      </w:r>
    </w:p>
    <w:p>
      <w:pPr>
        <w:pStyle w:val="TextBody"/>
        <w:bidi w:val="0"/>
        <w:spacing w:lineRule="auto" w:line="288" w:before="0" w:after="120"/>
        <w:ind w:left="0" w:right="0" w:hanging="360"/>
        <w:jc w:val="left"/>
        <w:rPr/>
      </w:pPr>
      <w:r>
        <w:rPr>
          <w:rFonts w:ascii="Times New Roman;serif" w:hAnsi="Times New Roman;serif"/>
          <w:b w:val="false"/>
          <w:color w:val="000000"/>
          <w:sz w:val="13"/>
        </w:rPr>
        <w:t>(3)</w:t>
      </w:r>
      <w:r>
        <w:rPr>
          <w:rFonts w:ascii="Times New Roman;serif" w:hAnsi="Times New Roman;serif"/>
          <w:b w:val="false"/>
          <w:color w:val="000000"/>
          <w:sz w:val="20"/>
        </w:rPr>
        <w:t>Other segment items for each reportable segment include other income, net, and stock-based compensation expense.</w:t>
      </w:r>
    </w:p>
    <w:p>
      <w:pPr>
        <w:pStyle w:val="TextBody"/>
        <w:bidi w:val="0"/>
        <w:spacing w:lineRule="auto" w:line="288" w:before="0" w:after="120"/>
        <w:ind w:left="0" w:right="0" w:hanging="360"/>
        <w:jc w:val="left"/>
        <w:rPr/>
      </w:pPr>
      <w:r>
        <w:rPr>
          <w:rFonts w:ascii="Times New Roman;serif" w:hAnsi="Times New Roman;serif"/>
          <w:b w:val="false"/>
          <w:color w:val="000000"/>
          <w:sz w:val="13"/>
        </w:rPr>
        <w:t>(4)</w:t>
      </w:r>
      <w:r>
        <w:rPr>
          <w:rFonts w:ascii="Times New Roman;serif" w:hAnsi="Times New Roman;serif"/>
          <w:b w:val="false"/>
          <w:color w:val="000000"/>
          <w:sz w:val="20"/>
        </w:rPr>
        <w:t>Adjustment for corporate items include:</w:t>
      </w:r>
    </w:p>
    <w:tbl>
      <w:tblPr>
        <w:tblW w:w="9237" w:type="dxa"/>
        <w:jc w:val="left"/>
        <w:tblInd w:w="0" w:type="dxa"/>
        <w:tblLayout w:type="fixed"/>
        <w:tblCellMar>
          <w:top w:w="28" w:type="dxa"/>
          <w:left w:w="28" w:type="dxa"/>
          <w:bottom w:w="28" w:type="dxa"/>
          <w:right w:w="28" w:type="dxa"/>
        </w:tblCellMar>
      </w:tblPr>
      <w:tblGrid>
        <w:gridCol w:w="2156"/>
        <w:gridCol w:w="1897"/>
        <w:gridCol w:w="1902"/>
        <w:gridCol w:w="241"/>
        <w:gridCol w:w="910"/>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2156"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 of cost of services (excludes depreciation and amortization)</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operating expenses</w:t>
            </w:r>
            <w:r>
              <w:rPr>
                <w:rFonts w:ascii="Times New Roman;serif" w:hAnsi="Times New Roman;serif"/>
                <w:b w:val="false"/>
                <w:color w:val="000000"/>
                <w:sz w:val="13"/>
              </w:rPr>
              <w:t>(2)</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(53,754)</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items</w:t>
            </w:r>
            <w:r>
              <w:rPr>
                <w:rFonts w:ascii="Times New Roman;serif" w:hAnsi="Times New Roman;serif"/>
                <w:b w:val="false"/>
                <w:color w:val="000000"/>
                <w:sz w:val="13"/>
              </w:rPr>
              <w:t>(5)</w:t>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(35,906)</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pPr>
      <w:r>
        <w:rPr>
          <w:rFonts w:ascii="Times New Roman;serif" w:hAnsi="Times New Roman;serif"/>
          <w:b w:val="false"/>
          <w:color w:val="000000"/>
          <w:sz w:val="13"/>
        </w:rPr>
        <w:t>(5)</w:t>
      </w:r>
      <w:r>
        <w:rPr>
          <w:rFonts w:ascii="Times New Roman;serif" w:hAnsi="Times New Roman;serif"/>
          <w:b w:val="false"/>
          <w:color w:val="000000"/>
          <w:sz w:val="20"/>
        </w:rPr>
        <w:t>Other items include other income net, stock-based compensation expense, and selling general and administrative (non-recurring expense).</w:t>
      </w:r>
    </w:p>
    <w:tbl>
      <w:tblPr>
        <w:tblW w:w="9076" w:type="dxa"/>
        <w:jc w:val="left"/>
        <w:tblInd w:w="0" w:type="dxa"/>
        <w:tblLayout w:type="fixed"/>
        <w:tblCellMar>
          <w:top w:w="28" w:type="dxa"/>
          <w:left w:w="28" w:type="dxa"/>
          <w:bottom w:w="28" w:type="dxa"/>
          <w:right w:w="28" w:type="dxa"/>
        </w:tblCellMar>
      </w:tblPr>
      <w:tblGrid>
        <w:gridCol w:w="939"/>
        <w:gridCol w:w="827"/>
        <w:gridCol w:w="829"/>
        <w:gridCol w:w="355"/>
        <w:gridCol w:w="1216"/>
        <w:gridCol w:w="183"/>
        <w:gridCol w:w="109"/>
        <w:gridCol w:w="109"/>
        <w:gridCol w:w="109"/>
        <w:gridCol w:w="211"/>
        <w:gridCol w:w="616"/>
        <w:gridCol w:w="109"/>
        <w:gridCol w:w="109"/>
        <w:gridCol w:w="109"/>
        <w:gridCol w:w="109"/>
        <w:gridCol w:w="349"/>
        <w:gridCol w:w="1195"/>
        <w:gridCol w:w="180"/>
        <w:gridCol w:w="109"/>
        <w:gridCol w:w="109"/>
        <w:gridCol w:w="109"/>
        <w:gridCol w:w="211"/>
        <w:gridCol w:w="721"/>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539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 specified segment disclosure</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5"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Merchant Solutions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Payables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Treasury Solutions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23,011 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10,500 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240"/>
        <w:jc w:val="left"/>
        <w:rPr/>
      </w:pPr>
      <w:r>
        <w:rPr/>
      </w:r>
    </w:p>
    <w:tbl>
      <w:tblPr>
        <w:tblW w:w="10205" w:type="dxa"/>
        <w:jc w:val="left"/>
        <w:tblInd w:w="0" w:type="dxa"/>
        <w:tblLayout w:type="fixed"/>
        <w:tblCellMar>
          <w:top w:w="28" w:type="dxa"/>
          <w:left w:w="28" w:type="dxa"/>
          <w:bottom w:w="28" w:type="dxa"/>
          <w:right w:w="28" w:type="dxa"/>
        </w:tblCellMar>
      </w:tblPr>
      <w:tblGrid>
        <w:gridCol w:w="1432"/>
        <w:gridCol w:w="1140"/>
        <w:gridCol w:w="1143"/>
        <w:gridCol w:w="109"/>
        <w:gridCol w:w="109"/>
        <w:gridCol w:w="109"/>
        <w:gridCol w:w="277"/>
        <w:gridCol w:w="1085"/>
        <w:gridCol w:w="143"/>
        <w:gridCol w:w="109"/>
        <w:gridCol w:w="109"/>
        <w:gridCol w:w="109"/>
        <w:gridCol w:w="211"/>
        <w:gridCol w:w="721"/>
        <w:gridCol w:w="109"/>
        <w:gridCol w:w="109"/>
        <w:gridCol w:w="109"/>
        <w:gridCol w:w="109"/>
        <w:gridCol w:w="292"/>
        <w:gridCol w:w="1000"/>
        <w:gridCol w:w="150"/>
        <w:gridCol w:w="109"/>
        <w:gridCol w:w="109"/>
        <w:gridCol w:w="109"/>
        <w:gridCol w:w="211"/>
        <w:gridCol w:w="826"/>
        <w:gridCol w:w="157"/>
      </w:tblGrid>
      <w:tr>
        <w:trPr/>
        <w:tc>
          <w:tcPr>
            <w:tcW w:w="1432"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r>
      <w:tr>
        <w:trPr/>
        <w:tc>
          <w:tcPr>
            <w:tcW w:w="3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Merchant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Payables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Treasury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external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162,788 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52,356 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239,812 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163,230 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52,658 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240,921 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 of intersegment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239,812 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Less: Cost of revenue (excludes depreciation and amortization)</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(127,814)</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(2,939)</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Less: Other operating expenses</w:t>
            </w:r>
            <w:r>
              <w:rPr>
                <w:rFonts w:ascii="Times New Roman;serif" w:hAnsi="Times New Roman;serif"/>
                <w:b w:val="false"/>
                <w:color w:val="000000"/>
                <w:sz w:val="13"/>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(8,367)</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(4,457)</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Add: Other segment items</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27,749 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45,558 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77,077 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Segment Adjusted EBITDA to income before income taxes</w:t>
            </w:r>
          </w:p>
        </w:tc>
      </w:tr>
      <w:tr>
        <w:trPr/>
        <w:tc>
          <w:tcPr>
            <w:tcW w:w="3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77,077 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Adjustment for corporate items</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Intersegment revenue elimination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(23,054)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3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(non-recurring)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15,302</w:t>
            </w:r>
            <w:r>
              <w:rPr>
                <w:color w:val="000000"/>
              </w:rPr>
              <w:t>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 xml:space="preserve">The significant expense categories and amounts align with the segment level information regularly provided to the CODM. </w:t>
      </w:r>
    </w:p>
    <w:p>
      <w:pPr>
        <w:pStyle w:val="TextBody"/>
        <w:bidi w:val="0"/>
        <w:spacing w:lineRule="auto" w:line="288" w:before="0" w:after="120"/>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Other operating expenses including salary and employee benefits, and selling, general and administrative expenses.</w:t>
      </w:r>
    </w:p>
    <w:p>
      <w:pPr>
        <w:pStyle w:val="TextBody"/>
        <w:bidi w:val="0"/>
        <w:spacing w:lineRule="auto" w:line="288" w:before="0" w:after="120"/>
        <w:ind w:left="0" w:right="0" w:hanging="360"/>
        <w:jc w:val="left"/>
        <w:rPr/>
      </w:pPr>
      <w:r>
        <w:rPr>
          <w:rFonts w:ascii="Times New Roman;serif" w:hAnsi="Times New Roman;serif"/>
          <w:b w:val="false"/>
          <w:color w:val="000000"/>
          <w:sz w:val="13"/>
        </w:rPr>
        <w:t>(3)</w:t>
      </w:r>
      <w:r>
        <w:rPr>
          <w:rFonts w:ascii="Times New Roman;serif" w:hAnsi="Times New Roman;serif"/>
          <w:b w:val="false"/>
          <w:color w:val="000000"/>
          <w:sz w:val="20"/>
        </w:rPr>
        <w:t>Other segment items for each reportable segment include other income, net, and stock-based compensation expense.</w:t>
      </w:r>
    </w:p>
    <w:p>
      <w:pPr>
        <w:pStyle w:val="TextBody"/>
        <w:bidi w:val="0"/>
        <w:spacing w:lineRule="auto" w:line="288" w:before="0" w:after="120"/>
        <w:ind w:left="0" w:right="0" w:hanging="360"/>
        <w:jc w:val="left"/>
        <w:rPr/>
      </w:pPr>
      <w:r>
        <w:rPr>
          <w:rFonts w:ascii="Times New Roman;serif" w:hAnsi="Times New Roman;serif"/>
          <w:b w:val="false"/>
          <w:color w:val="000000"/>
          <w:sz w:val="13"/>
        </w:rPr>
        <w:t>(4)</w:t>
      </w:r>
      <w:r>
        <w:rPr>
          <w:rFonts w:ascii="Times New Roman;serif" w:hAnsi="Times New Roman;serif"/>
          <w:b w:val="false"/>
          <w:color w:val="000000"/>
          <w:sz w:val="20"/>
        </w:rPr>
        <w:t>Adjustment for corporate items include:</w:t>
      </w:r>
    </w:p>
    <w:tbl>
      <w:tblPr>
        <w:tblW w:w="9237" w:type="dxa"/>
        <w:jc w:val="left"/>
        <w:tblInd w:w="0" w:type="dxa"/>
        <w:tblLayout w:type="fixed"/>
        <w:tblCellMar>
          <w:top w:w="28" w:type="dxa"/>
          <w:left w:w="28" w:type="dxa"/>
          <w:bottom w:w="28" w:type="dxa"/>
          <w:right w:w="28" w:type="dxa"/>
        </w:tblCellMar>
      </w:tblPr>
      <w:tblGrid>
        <w:gridCol w:w="2156"/>
        <w:gridCol w:w="1897"/>
        <w:gridCol w:w="1902"/>
        <w:gridCol w:w="241"/>
        <w:gridCol w:w="910"/>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2156"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 of cost of services (excludes depreciation and amortization)</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operating expenses</w:t>
            </w:r>
            <w:r>
              <w:rPr>
                <w:rFonts w:ascii="Times New Roman;serif" w:hAnsi="Times New Roman;serif"/>
                <w:b w:val="false"/>
                <w:color w:val="000000"/>
                <w:sz w:val="13"/>
              </w:rPr>
              <w:t>(2)</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items</w:t>
            </w:r>
            <w:r>
              <w:rPr>
                <w:rFonts w:ascii="Times New Roman;serif" w:hAnsi="Times New Roman;serif"/>
                <w:b w:val="false"/>
                <w:color w:val="000000"/>
                <w:sz w:val="13"/>
              </w:rPr>
              <w:t>(5)</w:t>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(19,918)</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pPr>
      <w:r>
        <w:rPr>
          <w:rFonts w:ascii="Times New Roman;serif" w:hAnsi="Times New Roman;serif"/>
          <w:b w:val="false"/>
          <w:color w:val="000000"/>
          <w:sz w:val="13"/>
        </w:rPr>
        <w:t>(5)</w:t>
      </w:r>
      <w:r>
        <w:rPr>
          <w:rFonts w:ascii="Times New Roman;serif" w:hAnsi="Times New Roman;serif"/>
          <w:b w:val="false"/>
          <w:color w:val="000000"/>
          <w:sz w:val="20"/>
        </w:rPr>
        <w:t>Other items include other income net, stock-based compensation expense, and selling general and administrative (non-recurring expense).</w:t>
      </w:r>
    </w:p>
    <w:tbl>
      <w:tblPr>
        <w:tblW w:w="9076" w:type="dxa"/>
        <w:jc w:val="left"/>
        <w:tblInd w:w="0" w:type="dxa"/>
        <w:tblLayout w:type="fixed"/>
        <w:tblCellMar>
          <w:top w:w="28" w:type="dxa"/>
          <w:left w:w="28" w:type="dxa"/>
          <w:bottom w:w="28" w:type="dxa"/>
          <w:right w:w="28" w:type="dxa"/>
        </w:tblCellMar>
      </w:tblPr>
      <w:tblGrid>
        <w:gridCol w:w="939"/>
        <w:gridCol w:w="827"/>
        <w:gridCol w:w="829"/>
        <w:gridCol w:w="395"/>
        <w:gridCol w:w="1155"/>
        <w:gridCol w:w="204"/>
        <w:gridCol w:w="109"/>
        <w:gridCol w:w="109"/>
        <w:gridCol w:w="109"/>
        <w:gridCol w:w="211"/>
        <w:gridCol w:w="616"/>
        <w:gridCol w:w="109"/>
        <w:gridCol w:w="109"/>
        <w:gridCol w:w="109"/>
        <w:gridCol w:w="109"/>
        <w:gridCol w:w="389"/>
        <w:gridCol w:w="1135"/>
        <w:gridCol w:w="200"/>
        <w:gridCol w:w="109"/>
        <w:gridCol w:w="109"/>
        <w:gridCol w:w="109"/>
        <w:gridCol w:w="211"/>
        <w:gridCol w:w="721"/>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539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 specified segment disclosure</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5"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Merchant Solutions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Payables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Treasury Solutions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6,633 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4,941 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240"/>
        <w:jc w:val="left"/>
        <w:rPr/>
      </w:pPr>
      <w:r>
        <w:rPr/>
      </w:r>
    </w:p>
    <w:tbl>
      <w:tblPr>
        <w:tblW w:w="10205" w:type="dxa"/>
        <w:jc w:val="left"/>
        <w:tblInd w:w="0" w:type="dxa"/>
        <w:tblLayout w:type="fixed"/>
        <w:tblCellMar>
          <w:top w:w="28" w:type="dxa"/>
          <w:left w:w="28" w:type="dxa"/>
          <w:bottom w:w="28" w:type="dxa"/>
          <w:right w:w="28" w:type="dxa"/>
        </w:tblCellMar>
      </w:tblPr>
      <w:tblGrid>
        <w:gridCol w:w="1455"/>
        <w:gridCol w:w="1116"/>
        <w:gridCol w:w="1119"/>
        <w:gridCol w:w="109"/>
        <w:gridCol w:w="109"/>
        <w:gridCol w:w="109"/>
        <w:gridCol w:w="275"/>
        <w:gridCol w:w="1077"/>
        <w:gridCol w:w="142"/>
        <w:gridCol w:w="109"/>
        <w:gridCol w:w="109"/>
        <w:gridCol w:w="109"/>
        <w:gridCol w:w="211"/>
        <w:gridCol w:w="721"/>
        <w:gridCol w:w="109"/>
        <w:gridCol w:w="109"/>
        <w:gridCol w:w="109"/>
        <w:gridCol w:w="109"/>
        <w:gridCol w:w="271"/>
        <w:gridCol w:w="1065"/>
        <w:gridCol w:w="140"/>
        <w:gridCol w:w="109"/>
        <w:gridCol w:w="109"/>
        <w:gridCol w:w="109"/>
        <w:gridCol w:w="211"/>
        <w:gridCol w:w="826"/>
        <w:gridCol w:w="159"/>
      </w:tblGrid>
      <w:tr>
        <w:trPr/>
        <w:tc>
          <w:tcPr>
            <w:tcW w:w="1455"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Merchant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Payables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Treasury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external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314,029 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102,057 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464,442 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314,920 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102,746 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466,617 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 of intersegment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464,442 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Less: Cost of revenue (excludes depreciation and amortization)</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(246,386)</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(6,160)</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Less: Other operating expenses</w:t>
            </w:r>
            <w:r>
              <w:rPr>
                <w:rFonts w:ascii="Times New Roman;serif" w:hAnsi="Times New Roman;serif"/>
                <w:b w:val="false"/>
                <w:color w:val="000000"/>
                <w:sz w:val="13"/>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(16,580)</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(9,066)</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Add: Other segment items</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53,454 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88,001 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148,741 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Segment Adjusted EBITDA to income before income taxes</w:t>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148,741 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Adjustment for corporate items</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(39,222)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Intersegment revenue elimination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(46,230)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modification and extinguishment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(non-recurring)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25,820</w:t>
            </w:r>
            <w:r>
              <w:rPr>
                <w:color w:val="000000"/>
              </w:rPr>
              <w:t>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 xml:space="preserve">The significant expense categories and amounts align with the segment level information regularly provided to the CODM. </w:t>
      </w:r>
    </w:p>
    <w:p>
      <w:pPr>
        <w:pStyle w:val="TextBody"/>
        <w:bidi w:val="0"/>
        <w:spacing w:lineRule="auto" w:line="288" w:before="0" w:after="120"/>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Other operating expenses including salary and employee benefits, and selling, general and administrative expenses.</w:t>
      </w:r>
    </w:p>
    <w:p>
      <w:pPr>
        <w:pStyle w:val="TextBody"/>
        <w:bidi w:val="0"/>
        <w:spacing w:lineRule="auto" w:line="288" w:before="0" w:after="120"/>
        <w:ind w:left="0" w:right="0" w:hanging="360"/>
        <w:jc w:val="left"/>
        <w:rPr/>
      </w:pPr>
      <w:r>
        <w:rPr>
          <w:rFonts w:ascii="Times New Roman;serif" w:hAnsi="Times New Roman;serif"/>
          <w:b w:val="false"/>
          <w:color w:val="000000"/>
          <w:sz w:val="13"/>
        </w:rPr>
        <w:t>(3)</w:t>
      </w:r>
      <w:r>
        <w:rPr>
          <w:rFonts w:ascii="Times New Roman;serif" w:hAnsi="Times New Roman;serif"/>
          <w:b w:val="false"/>
          <w:color w:val="000000"/>
          <w:sz w:val="20"/>
        </w:rPr>
        <w:t>Other segment items for each reportable segment include other income, net, and stock-based compensation expense.</w:t>
      </w:r>
    </w:p>
    <w:p>
      <w:pPr>
        <w:pStyle w:val="TextBody"/>
        <w:bidi w:val="0"/>
        <w:spacing w:lineRule="auto" w:line="288" w:before="0" w:after="120"/>
        <w:ind w:left="0" w:right="0" w:hanging="360"/>
        <w:jc w:val="left"/>
        <w:rPr/>
      </w:pPr>
      <w:r>
        <w:rPr>
          <w:rFonts w:ascii="Times New Roman;serif" w:hAnsi="Times New Roman;serif"/>
          <w:b w:val="false"/>
          <w:color w:val="000000"/>
          <w:sz w:val="13"/>
        </w:rPr>
        <w:t>(4)</w:t>
      </w:r>
      <w:r>
        <w:rPr>
          <w:rFonts w:ascii="Times New Roman;serif" w:hAnsi="Times New Roman;serif"/>
          <w:b w:val="false"/>
          <w:color w:val="000000"/>
          <w:sz w:val="20"/>
        </w:rPr>
        <w:t>Adjustment for corporate items include:</w:t>
      </w:r>
    </w:p>
    <w:tbl>
      <w:tblPr>
        <w:tblW w:w="9237" w:type="dxa"/>
        <w:jc w:val="left"/>
        <w:tblInd w:w="0" w:type="dxa"/>
        <w:tblLayout w:type="fixed"/>
        <w:tblCellMar>
          <w:top w:w="28" w:type="dxa"/>
          <w:left w:w="28" w:type="dxa"/>
          <w:bottom w:w="28" w:type="dxa"/>
          <w:right w:w="28" w:type="dxa"/>
        </w:tblCellMar>
      </w:tblPr>
      <w:tblGrid>
        <w:gridCol w:w="2156"/>
        <w:gridCol w:w="1897"/>
        <w:gridCol w:w="1902"/>
        <w:gridCol w:w="241"/>
        <w:gridCol w:w="910"/>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2156"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 of cost of services (excludes depreciation and amortization)</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operating expenses</w:t>
            </w:r>
            <w:r>
              <w:rPr>
                <w:rFonts w:ascii="Times New Roman;serif" w:hAnsi="Times New Roman;serif"/>
                <w:b w:val="false"/>
                <w:color w:val="000000"/>
                <w:sz w:val="13"/>
              </w:rPr>
              <w:t>(2)</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(48,665)</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items</w:t>
            </w:r>
            <w:r>
              <w:rPr>
                <w:rFonts w:ascii="Times New Roman;serif" w:hAnsi="Times New Roman;serif"/>
                <w:b w:val="false"/>
                <w:color w:val="000000"/>
                <w:sz w:val="13"/>
              </w:rPr>
              <w:t>(5)</w:t>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(39,222)</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pPr>
      <w:r>
        <w:rPr>
          <w:rFonts w:ascii="Times New Roman;serif" w:hAnsi="Times New Roman;serif"/>
          <w:b w:val="false"/>
          <w:color w:val="000000"/>
          <w:sz w:val="13"/>
        </w:rPr>
        <w:t>(5)</w:t>
      </w:r>
      <w:r>
        <w:rPr>
          <w:rFonts w:ascii="Times New Roman;serif" w:hAnsi="Times New Roman;serif"/>
          <w:b w:val="false"/>
          <w:color w:val="000000"/>
          <w:sz w:val="20"/>
        </w:rPr>
        <w:t>Other items include other income net, stock-based compensation expense, and selling general and administrative (non-recurring expense).</w:t>
      </w:r>
    </w:p>
    <w:tbl>
      <w:tblPr>
        <w:tblW w:w="9076" w:type="dxa"/>
        <w:jc w:val="left"/>
        <w:tblInd w:w="0" w:type="dxa"/>
        <w:tblLayout w:type="fixed"/>
        <w:tblCellMar>
          <w:top w:w="28" w:type="dxa"/>
          <w:left w:w="28" w:type="dxa"/>
          <w:bottom w:w="28" w:type="dxa"/>
          <w:right w:w="28" w:type="dxa"/>
        </w:tblCellMar>
      </w:tblPr>
      <w:tblGrid>
        <w:gridCol w:w="939"/>
        <w:gridCol w:w="827"/>
        <w:gridCol w:w="829"/>
        <w:gridCol w:w="355"/>
        <w:gridCol w:w="1216"/>
        <w:gridCol w:w="183"/>
        <w:gridCol w:w="109"/>
        <w:gridCol w:w="109"/>
        <w:gridCol w:w="109"/>
        <w:gridCol w:w="211"/>
        <w:gridCol w:w="616"/>
        <w:gridCol w:w="109"/>
        <w:gridCol w:w="109"/>
        <w:gridCol w:w="109"/>
        <w:gridCol w:w="109"/>
        <w:gridCol w:w="389"/>
        <w:gridCol w:w="1135"/>
        <w:gridCol w:w="200"/>
        <w:gridCol w:w="109"/>
        <w:gridCol w:w="109"/>
        <w:gridCol w:w="109"/>
        <w:gridCol w:w="211"/>
        <w:gridCol w:w="721"/>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539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 specified segment disclosure</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5"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Merchant Solutions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Payables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Treasury Solutions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13,258 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9,583 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240"/>
        <w:jc w:val="left"/>
        <w:rPr/>
      </w:pPr>
      <w:r>
        <w:rPr/>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15.    Earnings per Common Share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tables set forth the computation of the Company's basic and diluted earnings per common share:</w:t>
      </w:r>
    </w:p>
    <w:tbl>
      <w:tblPr>
        <w:tblW w:w="9484" w:type="dxa"/>
        <w:jc w:val="left"/>
        <w:tblInd w:w="0" w:type="dxa"/>
        <w:tblLayout w:type="fixed"/>
        <w:tblCellMar>
          <w:top w:w="28" w:type="dxa"/>
          <w:left w:w="28" w:type="dxa"/>
          <w:bottom w:w="28" w:type="dxa"/>
          <w:right w:w="28" w:type="dxa"/>
        </w:tblCellMar>
      </w:tblPr>
      <w:tblGrid>
        <w:gridCol w:w="1477"/>
        <w:gridCol w:w="1299"/>
        <w:gridCol w:w="1304"/>
        <w:gridCol w:w="240"/>
        <w:gridCol w:w="702"/>
        <w:gridCol w:w="124"/>
        <w:gridCol w:w="124"/>
        <w:gridCol w:w="124"/>
        <w:gridCol w:w="124"/>
        <w:gridCol w:w="240"/>
        <w:gridCol w:w="821"/>
        <w:gridCol w:w="124"/>
        <w:gridCol w:w="109"/>
        <w:gridCol w:w="109"/>
        <w:gridCol w:w="109"/>
        <w:gridCol w:w="211"/>
        <w:gridCol w:w="721"/>
        <w:gridCol w:w="109"/>
        <w:gridCol w:w="109"/>
        <w:gridCol w:w="109"/>
        <w:gridCol w:w="109"/>
        <w:gridCol w:w="211"/>
        <w:gridCol w:w="721"/>
        <w:gridCol w:w="154"/>
      </w:tblGrid>
      <w:tr>
        <w:trPr/>
        <w:tc>
          <w:tcPr>
            <w:tcW w:w="1477"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 share amounts)</w:t>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stockholders</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81,549 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78,981 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potential common shares</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Weighted average shares outstanding</w:t>
            </w:r>
          </w:p>
        </w:tc>
        <w:tc>
          <w:tcPr>
            <w:tcW w:w="9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83,823 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79,837 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79,968 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common share</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common share</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Anti-dilutive securities that were excluded from the Company's earnings per common share are as follows: </w:t>
      </w:r>
    </w:p>
    <w:tbl>
      <w:tblPr>
        <w:tblW w:w="8764" w:type="dxa"/>
        <w:jc w:val="left"/>
        <w:tblInd w:w="0" w:type="dxa"/>
        <w:tblLayout w:type="fixed"/>
        <w:tblCellMar>
          <w:top w:w="28" w:type="dxa"/>
          <w:left w:w="28" w:type="dxa"/>
          <w:bottom w:w="28" w:type="dxa"/>
          <w:right w:w="28" w:type="dxa"/>
        </w:tblCellMar>
      </w:tblPr>
      <w:tblGrid>
        <w:gridCol w:w="1228"/>
        <w:gridCol w:w="1079"/>
        <w:gridCol w:w="1083"/>
        <w:gridCol w:w="291"/>
        <w:gridCol w:w="291"/>
        <w:gridCol w:w="291"/>
        <w:gridCol w:w="291"/>
        <w:gridCol w:w="291"/>
        <w:gridCol w:w="291"/>
        <w:gridCol w:w="291"/>
        <w:gridCol w:w="291"/>
        <w:gridCol w:w="291"/>
        <w:gridCol w:w="109"/>
        <w:gridCol w:w="109"/>
        <w:gridCol w:w="109"/>
        <w:gridCol w:w="258"/>
        <w:gridCol w:w="258"/>
        <w:gridCol w:w="258"/>
        <w:gridCol w:w="258"/>
        <w:gridCol w:w="258"/>
        <w:gridCol w:w="258"/>
        <w:gridCol w:w="258"/>
        <w:gridCol w:w="258"/>
        <w:gridCol w:w="364"/>
      </w:tblGrid>
      <w:tr>
        <w:trPr/>
        <w:tc>
          <w:tcPr>
            <w:tcW w:w="1228"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(number of shares, in thousands)</w:t>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8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7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Restricted stock awards</w:t>
            </w:r>
            <w:r>
              <w:rPr>
                <w:rFonts w:ascii="Times New Roman;serif" w:hAnsi="Times New Roman;serif"/>
                <w:b w:val="false"/>
                <w:color w:val="000000"/>
                <w:sz w:val="13"/>
              </w:rPr>
              <w:t>(1)</w:t>
            </w:r>
          </w:p>
        </w:tc>
        <w:tc>
          <w:tcPr>
            <w:tcW w:w="5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Liability-classified restricted stock units</w:t>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Outstanding stock option awards</w:t>
            </w:r>
            <w:r>
              <w:rPr>
                <w:rFonts w:ascii="Times New Roman;serif" w:hAnsi="Times New Roman;serif"/>
                <w:b w:val="false"/>
                <w:color w:val="000000"/>
                <w:sz w:val="13"/>
              </w:rPr>
              <w:t>(1)</w:t>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58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854</w:t>
            </w:r>
            <w:r>
              <w:rPr>
                <w:color w:val="000000"/>
              </w:rPr>
              <w:t> </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w:t>
            </w:r>
            <w:r>
              <w:rPr>
                <w:color w:val="000000"/>
              </w:rPr>
              <w:t> </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771</w:t>
            </w:r>
            <w:r>
              <w:rPr>
                <w:color w:val="000000"/>
              </w:rPr>
              <w:t> </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Granted under the 2018 Plan.</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16.    Subsequent Events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Company’s management evaluated subsequent events through the date of the issuance of the unaudited consolidated financial statements. There have been no subsequent events that occurred during such period that would require disclosure in, or would be required to be recognized in the unaudited consolidated financial statements as of and for the quarter ended June 30, 2026.</w: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operations should be read in conjunction with our Audited Consolidated Financial Statements and related Notes and the section entitled "Management's Discussion and Analysis of Financial Condition and Results of Operations," included in the Company's Annual Report on Form 10-K for the year ended December 31, 2025. Certain amounts in this section may not add mathematically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Some of the statements made in this Quarterly Report on Form 10-Q constitute forward-looking statements within the meaning of the federal securities laws. Such forward-looking statements include, but are not limited to, statements regarding our management's expectations, hopes, beliefs, intentions or strategies regarding the future. In addition, any statements that refer to projections, forecasts or other characterizations of future events or circumstances, such as statements about our future financial performance, including any underlying assumptions, are forward-looking statements. The words "anticipate," "believe," "continue," "could," "estimate," "expect," "future," "goal," "intend," "likely," "may," "might," "plan," "possible," "potential," "predict," "project," "seek," "should," "would," "will," "approximately," "shall" and similar expressions may identify forward-looking statements, but the absence of these words does not mean that a statement is not forward-looking. Forward-looking statements contained in this Quarterly Report on Form 10-Q include, but are not limited to, statements about: </w:t>
      </w:r>
    </w:p>
    <w:p>
      <w:pPr>
        <w:pStyle w:val="TextBody"/>
        <w:bidi w:val="0"/>
        <w:spacing w:lineRule="auto" w:line="288" w:before="0" w:after="240"/>
        <w:ind w:left="0" w:right="0" w:hanging="360"/>
        <w:jc w:val="left"/>
        <w:rPr/>
      </w:pPr>
      <w:r>
        <w:rPr>
          <w:strike/>
          <w:color w:val="000000"/>
        </w:rPr>
        <w:t>•</w:t>
      </w:r>
      <w:r>
        <w:rPr>
          <w:rFonts w:ascii="Times New Roman;serif" w:hAnsi="Times New Roman;serif"/>
          <w:b w:val="false"/>
          <w:color w:val="000000"/>
          <w:sz w:val="20"/>
        </w:rPr>
        <w:t>negative economic and political conditions that adversely affect the general economy, consumer confidence and consumer and commercial spending habits, which may, among other things, negatively impact our business, financial condition and results of operations;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competition in the payment processing industry;</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use of distribution partners;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any unauthorized disclosures of merchant or cardholder data, whether through breach of our computer systems, computer viruses or otherwise;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any breakdowns in our processing systems;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government regulation, including regulation of consumer information;</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use of third-party vendors;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any changes in card association and debit network fees or products;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any failure to comply with the rules established by payment networks or standards established by third-party processors;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any proposed acquisitions or dispositions or any risks associated with completed acquisitions or dispositions;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other risks and uncertainties set forth in the "</w:t>
      </w:r>
      <w:hyperlink w:anchor="i5564e7281e874bc598c371fdf8820f67_151">
        <w:r>
          <w:rPr>
            <w:rStyle w:val="InternetLink"/>
            <w:rFonts w:ascii="Times New Roman;serif" w:hAnsi="Times New Roman;serif"/>
            <w:b w:val="false"/>
            <w:color w:val="0000FF"/>
            <w:sz w:val="20"/>
            <w:u w:val="single"/>
          </w:rPr>
          <w:t>Item 1A - Risk Factors</w:t>
        </w:r>
      </w:hyperlink>
      <w:r>
        <w:rPr>
          <w:rFonts w:ascii="Times New Roman;serif" w:hAnsi="Times New Roman;serif"/>
          <w:b w:val="false"/>
          <w:color w:val="000000"/>
          <w:sz w:val="20"/>
        </w:rPr>
        <w:t>" section of this Quarterly Report on Form 10-Q or our Annual Report on Form 10-K.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caution you that the foregoing list may not contain all of the forward-looking statements made in this Quarterly Report on Form 10-Q. </w:t>
      </w:r>
    </w:p>
    <w:p>
      <w:pPr>
        <w:pStyle w:val="TextBody"/>
        <w:bidi w:val="0"/>
        <w:spacing w:lineRule="auto" w:line="288" w:before="0" w:after="240"/>
        <w:jc w:val="left"/>
        <w:rPr/>
      </w:pPr>
      <w:r>
        <w:rPr>
          <w:rFonts w:ascii="Times New Roman;serif" w:hAnsi="Times New Roman;serif"/>
          <w:b w:val="false"/>
          <w:color w:val="000000"/>
          <w:sz w:val="20"/>
        </w:rPr>
        <w:t>The forward-looking statements contained in this Quarterly Report on Form 10-Q are based on our current expectations and beliefs concerning future developments and their potential effects on us. You should not place undue reliance on these forward-looking statements in deciding whether to invest in our securities. We cannot assure you that future developments affecting us will be those that we have anticipated. These forward-looking statements involve a number of risks, uncertainties (some of which are beyond our control) or other assumptions, including the risk factors set forth in the "</w:t>
      </w:r>
      <w:hyperlink w:anchor="i5564e7281e874bc598c371fdf8820f67_151">
        <w:r>
          <w:rPr>
            <w:rStyle w:val="InternetLink"/>
            <w:rFonts w:ascii="Times New Roman;serif" w:hAnsi="Times New Roman;serif"/>
            <w:b w:val="false"/>
            <w:color w:val="0000FF"/>
            <w:sz w:val="20"/>
            <w:u w:val="single"/>
          </w:rPr>
          <w:t>Item 1A - Risk Factors</w:t>
        </w:r>
      </w:hyperlink>
      <w:r>
        <w:rPr>
          <w:rFonts w:ascii="Times New Roman;serif" w:hAnsi="Times New Roman;serif"/>
          <w:b w:val="false"/>
          <w:color w:val="000000"/>
          <w:sz w:val="20"/>
        </w:rPr>
        <w:t xml:space="preserve">" section of this Quarterly Report on Form 10-Q or our Annual Report on Form 10-K, that may cause our actual results or performance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be materially different from those expressed or implied by these forward-looking statements. Should one or more of these risks or uncertainties materialize, or should any of our assumptions prove incorrect, actual results may vary in material respects from those projected in these forward-looking statements.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You should read this Quarterly Report on Form 10-Q with the understanding that our actual future results, levels of activity, performance and achievements may be materially different from what we expect. We qualify all of our forward-looking statements by these cautionary statements.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Forward-looking statements speak only as of the date they were made. We undertake no obligation to update or revise any forward-looking statements, whether as a result of new information, future events or otherwise, except as may be required under applicable securities laws.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Terms Used in this Quarterly Report on Form 10-Q</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used in this Quarterly Report on Form 10-Q, unless the context otherwise requires, references to the terms "Company," "Priority Commerce," "we," "us" and "our" refer to Priority Technology Holdings, Inc. and its consolidated subsidiaries.</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This section includes certain components of our results of operations for the three and six months ended June 30, 2026, compared to the three and six months ended June 30, 2025. We have derived this data, except the key indicators, from our Unaudited Consolidated Financial Statements included elsewhere in this Quarterly Report on Form 10-Q and our Audited Consolidated Financial Statements included in our Annual Report on Form 10-K for the year ended December 31, 2025.</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June 30, 2026, our consolidated revenue of $262.3 million increased by $22.4 million, or 9.4%, from $239.8 million for the three months ended June 30, 2025. This overall increase was mainly driven by increase in total card processing dollar value which was partially offset by lower total card transaction count in our Merchant Solutions segment, increases in buyer funded card processing dollar value, and supplier funded issuing dollar value which was partially offset by lower ACH transactions count in our Payables Segment, and, an increase in number of billed clients and higher interest income which is partially offset by lower new enrollments in our Treasury Solutions segment.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our consolidated revenue of $511.8 million increased by $47.4 million, or 10.2%, from $464.4 million for the six months ended June 30, 2025. This overall increase was mainly driven by increase in total card processing dollar value in our Merchant Solutions segment, increases in buyer funded card processing dollar value, supplier funded issuing dollar value, incentive income, and ACH transactions count in our Payables Segment, and, an increase in number of billed clients and higher interest income which was partially offset by lower new enrollments in our Treasury Solutions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our revenues by type:</w:t>
      </w:r>
    </w:p>
    <w:tbl>
      <w:tblPr>
        <w:tblW w:w="10205" w:type="dxa"/>
        <w:jc w:val="left"/>
        <w:tblInd w:w="0" w:type="dxa"/>
        <w:tblLayout w:type="fixed"/>
        <w:tblCellMar>
          <w:top w:w="28" w:type="dxa"/>
          <w:left w:w="28" w:type="dxa"/>
          <w:bottom w:w="28" w:type="dxa"/>
          <w:right w:w="28" w:type="dxa"/>
        </w:tblCellMar>
      </w:tblPr>
      <w:tblGrid>
        <w:gridCol w:w="778"/>
        <w:gridCol w:w="587"/>
        <w:gridCol w:w="589"/>
        <w:gridCol w:w="285"/>
        <w:gridCol w:w="427"/>
        <w:gridCol w:w="354"/>
        <w:gridCol w:w="123"/>
        <w:gridCol w:w="123"/>
        <w:gridCol w:w="123"/>
        <w:gridCol w:w="285"/>
        <w:gridCol w:w="427"/>
        <w:gridCol w:w="354"/>
        <w:gridCol w:w="123"/>
        <w:gridCol w:w="123"/>
        <w:gridCol w:w="123"/>
        <w:gridCol w:w="443"/>
        <w:gridCol w:w="336"/>
        <w:gridCol w:w="340"/>
        <w:gridCol w:w="109"/>
        <w:gridCol w:w="109"/>
        <w:gridCol w:w="109"/>
        <w:gridCol w:w="258"/>
        <w:gridCol w:w="387"/>
        <w:gridCol w:w="394"/>
        <w:gridCol w:w="118"/>
        <w:gridCol w:w="118"/>
        <w:gridCol w:w="118"/>
        <w:gridCol w:w="258"/>
        <w:gridCol w:w="387"/>
        <w:gridCol w:w="394"/>
        <w:gridCol w:w="118"/>
        <w:gridCol w:w="118"/>
        <w:gridCol w:w="118"/>
        <w:gridCol w:w="421"/>
        <w:gridCol w:w="298"/>
        <w:gridCol w:w="430"/>
      </w:tblGrid>
      <w:tr>
        <w:trPr/>
        <w:tc>
          <w:tcPr>
            <w:tcW w:w="77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1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98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 Type:</w:t>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Merchant card fees</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199,093</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180,483</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385,026</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347,562</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37,464</w:t>
            </w:r>
          </w:p>
        </w:tc>
      </w:tr>
      <w:tr>
        <w:trPr/>
        <w:tc>
          <w:tcPr>
            <w:tcW w:w="1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transmission services</w:t>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41,989</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39,273</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83,737</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76,722</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7,015</w:t>
            </w:r>
          </w:p>
        </w:tc>
      </w:tr>
      <w:tr>
        <w:trPr/>
        <w:tc>
          <w:tcPr>
            <w:tcW w:w="1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Outsourced services and other services</w:t>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18,855</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16,853</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38,681</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33,855</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4,826</w:t>
            </w:r>
          </w:p>
        </w:tc>
      </w:tr>
      <w:tr>
        <w:trPr/>
        <w:tc>
          <w:tcPr>
            <w:tcW w:w="1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w:t>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2,319</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3,203</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4,370</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6,303</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w:t>
            </w:r>
          </w:p>
        </w:tc>
      </w:tr>
      <w:tr>
        <w:trPr/>
        <w:tc>
          <w:tcPr>
            <w:tcW w:w="1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262,256</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239,812</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511,814</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464,442</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47,372</w:t>
            </w:r>
          </w:p>
        </w:tc>
      </w:tr>
    </w:tbl>
    <w:p>
      <w:pPr>
        <w:pStyle w:val="TextBody"/>
        <w:bidi w:val="0"/>
        <w:spacing w:lineRule="auto" w:line="288" w:before="0" w:after="2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Merchant card fees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Merchant card fees revenue for the three months ended June 30, 2026, was $199.1 million an increase of $18.6 million or 10.3%, from $180.5 million for the three months ended June 30, 2025. The increase was primarily driven by an increase in total card dollar value which was partially offset by lower total card transaction count processed by the Company.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Merchant card fees revenue for the six months ended June 30, 2026, was $385.0 million an increase of $37.5 million or 10.8%, from $347.6 million for the six months ended June 30, 2025. The increase was primarily driven by an increase in total card dollar value.</w:t>
      </w:r>
    </w:p>
    <w:p>
      <w:pPr>
        <w:pStyle w:val="TextBody"/>
        <w:bidi w:val="0"/>
        <w:spacing w:lineRule="auto" w:line="288" w:before="0" w:after="2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Money transmission services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Money transmission services for the three months ended June 30, 2026, was $42.0 million, an increase of $2.7 million, or 6.9%, from $39.3 million for the three months ended June 30, 2025. This increase was primarily driven by an increase in average billed clients which was partially offset by lower new customer enrollments.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Money transmission services for the six months ended June 30, 2026, was $83.7 million, an increase of $7.0 million, or 9.1%, from $76.7 million for the six months ended June 30, 2025. This increase was primarily driven by an increase in average billed clients which was partially offset by lower new customer enrollments.</w:t>
      </w:r>
    </w:p>
    <w:p>
      <w:pPr>
        <w:pStyle w:val="TextBody"/>
        <w:bidi w:val="0"/>
        <w:spacing w:lineRule="auto" w:line="288" w:before="0" w:after="2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Outsourced services and other services revenue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Outsourced services and other services revenue of $18.9 million for the three months ended June 30, 2026, increased by $2.0 million, or 11.9%, from $16.9 million for the three months ended June 30, 2025, primarily due to growth in interest income from higher balances of permissible investments driven by higher account balances offset by reduction in interest rates.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Outsourced services and other services revenue of $38.7 million for the six months ended June 30, 2026, increased by $4.8 million, or 14.3%, from $33.9 million for the six months ended June 30, 2025, primarily due to growth in interest income from higher balances of permissible investments driven by higher account balances offset by reduction in interest rates. </w:t>
      </w:r>
    </w:p>
    <w:p>
      <w:pPr>
        <w:pStyle w:val="TextBody"/>
        <w:bidi w:val="0"/>
        <w:spacing w:lineRule="auto" w:line="288" w:before="0" w:after="2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Equipment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Equipment revenue of $2.3 million for the three months ended June 30, 2026, decreased by $0.9 million, or 27.6% from $3.2 million for the three months ended June 30, 2025. The decrease was primarily due to lower point-of-sale equipment sales caused by a decrease in demand from merchants.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Equipment revenue of $4.4 million for the six months ended June 30, 2026, decreased by $1.9 million, or 30.7% from $6.3 million for the six months ended June 30, 2025. The decrease was primarily due to lower point-of-sale equipment sales caused by a decrease in demand from merchants.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Operating expenses were as follows:</w:t>
      </w:r>
    </w:p>
    <w:tbl>
      <w:tblPr>
        <w:tblW w:w="10205" w:type="dxa"/>
        <w:jc w:val="left"/>
        <w:tblInd w:w="0" w:type="dxa"/>
        <w:tblLayout w:type="fixed"/>
        <w:tblCellMar>
          <w:top w:w="28" w:type="dxa"/>
          <w:left w:w="28" w:type="dxa"/>
          <w:bottom w:w="28" w:type="dxa"/>
          <w:right w:w="28" w:type="dxa"/>
        </w:tblCellMar>
      </w:tblPr>
      <w:tblGrid>
        <w:gridCol w:w="898"/>
        <w:gridCol w:w="560"/>
        <w:gridCol w:w="561"/>
        <w:gridCol w:w="285"/>
        <w:gridCol w:w="427"/>
        <w:gridCol w:w="354"/>
        <w:gridCol w:w="116"/>
        <w:gridCol w:w="116"/>
        <w:gridCol w:w="116"/>
        <w:gridCol w:w="285"/>
        <w:gridCol w:w="427"/>
        <w:gridCol w:w="354"/>
        <w:gridCol w:w="116"/>
        <w:gridCol w:w="116"/>
        <w:gridCol w:w="116"/>
        <w:gridCol w:w="443"/>
        <w:gridCol w:w="336"/>
        <w:gridCol w:w="340"/>
        <w:gridCol w:w="109"/>
        <w:gridCol w:w="109"/>
        <w:gridCol w:w="109"/>
        <w:gridCol w:w="258"/>
        <w:gridCol w:w="387"/>
        <w:gridCol w:w="394"/>
        <w:gridCol w:w="114"/>
        <w:gridCol w:w="114"/>
        <w:gridCol w:w="114"/>
        <w:gridCol w:w="258"/>
        <w:gridCol w:w="387"/>
        <w:gridCol w:w="394"/>
        <w:gridCol w:w="114"/>
        <w:gridCol w:w="114"/>
        <w:gridCol w:w="114"/>
        <w:gridCol w:w="421"/>
        <w:gridCol w:w="298"/>
        <w:gridCol w:w="431"/>
      </w:tblGrid>
      <w:tr>
        <w:trPr/>
        <w:tc>
          <w:tcPr>
            <w:tcW w:w="89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r>
      <w:tr>
        <w:trPr/>
        <w:tc>
          <w:tcPr>
            <w:tcW w:w="2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9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42424"/>
                <w:sz w:val="20"/>
              </w:rPr>
            </w:pPr>
            <w:r>
              <w:rPr>
                <w:rFonts w:ascii="Times New Roman;serif" w:hAnsi="Times New Roman;serif"/>
                <w:b/>
                <w:color w:val="242424"/>
                <w:sz w:val="20"/>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42424"/>
                <w:sz w:val="20"/>
              </w:rPr>
            </w:pPr>
            <w:r>
              <w:rPr>
                <w:rFonts w:ascii="Times New Roman;serif" w:hAnsi="Times New Roman;serif"/>
                <w:b/>
                <w:color w:val="242424"/>
                <w:sz w:val="20"/>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42424"/>
                <w:sz w:val="20"/>
              </w:rPr>
            </w:pPr>
            <w:r>
              <w:rPr>
                <w:rFonts w:ascii="Times New Roman;serif" w:hAnsi="Times New Roman;serif"/>
                <w:b/>
                <w:color w:val="242424"/>
                <w:sz w:val="20"/>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42424"/>
                <w:sz w:val="20"/>
              </w:rPr>
            </w:pPr>
            <w:r>
              <w:rPr>
                <w:rFonts w:ascii="Times New Roman;serif" w:hAnsi="Times New Roman;serif"/>
                <w:b/>
                <w:color w:val="242424"/>
                <w:sz w:val="20"/>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(excludes depreciation and amortization)</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162,358</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147,399</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313,145</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284,752</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28,393</w:t>
            </w:r>
          </w:p>
        </w:tc>
      </w:tr>
      <w:tr>
        <w:trPr/>
        <w:tc>
          <w:tcPr>
            <w:tcW w:w="2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Salary and employee benefits</w:t>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29,153</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27,060</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57,675</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52,835</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4,840</w:t>
            </w:r>
          </w:p>
        </w:tc>
      </w:tr>
      <w:tr>
        <w:trPr/>
        <w:tc>
          <w:tcPr>
            <w:tcW w:w="2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20,893</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14,093</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38,508</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27,870</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10,638</w:t>
            </w:r>
          </w:p>
        </w:tc>
      </w:tr>
      <w:tr>
        <w:trPr/>
        <w:tc>
          <w:tcPr>
            <w:tcW w:w="2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16,808</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13,910</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36,052</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29,010</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7,042</w:t>
            </w:r>
          </w:p>
        </w:tc>
      </w:tr>
      <w:tr>
        <w:trPr/>
        <w:tc>
          <w:tcPr>
            <w:tcW w:w="2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229,212</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202,462</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445,380</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394,467</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50,913</w:t>
            </w:r>
          </w:p>
        </w:tc>
      </w:tr>
    </w:tbl>
    <w:p>
      <w:pPr>
        <w:pStyle w:val="TextBody"/>
        <w:bidi w:val="0"/>
        <w:spacing w:lineRule="auto" w:line="288" w:before="0" w:after="2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Cost of revenue (excludes depreciation and amortization)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 (excludes depreciation and amortization) of $162.4 million for the three months ended June 30, 2026, increased by $15.0 million, or 10.1%, from $147.4 million for the three months ended June 30, 2025, primarily due to the corresponding increase in revenues.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Cost of revenue (excludes depreciation and amortization) of $313.1 million for the six months ended June 30, 2026, increased by $28.4 million, or 10.0%, from $284.8 million for the six months ended June 30, 2025, primarily due to the corresponding increase in revenues.                                                                                                                                                                                                                                                                                                                                                                                                                                                                                                                                                                                                                     </w:t>
      </w:r>
    </w:p>
    <w:p>
      <w:pPr>
        <w:pStyle w:val="TextBody"/>
        <w:bidi w:val="0"/>
        <w:spacing w:lineRule="auto" w:line="288" w:before="0" w:after="2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Salary and employee benefits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Salary and employee benefits expense of $29.2 million for the three months ended June 30, 2026, increased by $2.1 million, or 7.7%, from $27.1 million for the three months ended June 30, 2025, primarily due to merit increases, and increased headcount to support overall growth of the Company and from the acquisition related activity.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Salary and employee benefits expense of $57.7 million for the six months ended June 30, 2026, increased by $4.8 million, or 9.2%, from $52.8 million for the six months ended June 30, 2025, primarily due to merit increases, and increased headcount to support overall growth of the Company and from the acquisition related activity.</w:t>
      </w:r>
    </w:p>
    <w:p>
      <w:pPr>
        <w:pStyle w:val="TextBody"/>
        <w:bidi w:val="0"/>
        <w:spacing w:lineRule="auto" w:line="288" w:before="0" w:after="2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Depreciation and amortization expense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 of $20.9 million for the three months ended June 30, 2026, increased by $6.8 million, or 48.3%, from $14.1 million for the three months ended June 30, 2025, primarily due to the addition of intangible assets from the acquisition related activity and software capitalization.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 of $38.5 million for the six months ended June 30, 2026, increased by $10.6 million, or 38.2%, from $27.9 million for the six months ended June 30, 2025, primarily due to the addition of intangible assets from the acquisition related activity and software capitalization.</w:t>
      </w:r>
    </w:p>
    <w:p>
      <w:pPr>
        <w:pStyle w:val="TextBody"/>
        <w:bidi w:val="0"/>
        <w:spacing w:lineRule="auto" w:line="288" w:before="0" w:after="2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Selling, general and administrative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of $16.8 million for the three months ended June 30, 2026, increased by $2.9 million, or 20.8%, from $13.9 million for the three months ended June 30, 2025, primarily due to increase in legal fees related to the Company's on-going special committee process, and increased marketing, telecommunications and software expenses to support overall growth and cloud migration, which was partially offset by decreased accounting expenses.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expenses of $36.1 million for the six months ended June 30, 2026, increased by $7.0 million, or 24.3%, from $29.0 million for the six months ended June 30, 2025, primarily due to increase in professional and legal charges related to the Company's on-going special committee process, increased marketing, telecommunications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software expenses to support overall growth and cloud migration, expenses related to acquired businesses and assets, which was partially offset by decreased accounting expenses. </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Other Expense, net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Other expense, net were as follows:</w:t>
      </w:r>
    </w:p>
    <w:tbl>
      <w:tblPr>
        <w:tblW w:w="10205" w:type="dxa"/>
        <w:jc w:val="left"/>
        <w:tblInd w:w="0" w:type="dxa"/>
        <w:tblLayout w:type="fixed"/>
        <w:tblCellMar>
          <w:top w:w="28" w:type="dxa"/>
          <w:left w:w="28" w:type="dxa"/>
          <w:bottom w:w="28" w:type="dxa"/>
          <w:right w:w="28" w:type="dxa"/>
        </w:tblCellMar>
      </w:tblPr>
      <w:tblGrid>
        <w:gridCol w:w="825"/>
        <w:gridCol w:w="726"/>
        <w:gridCol w:w="710"/>
        <w:gridCol w:w="285"/>
        <w:gridCol w:w="414"/>
        <w:gridCol w:w="343"/>
        <w:gridCol w:w="123"/>
        <w:gridCol w:w="123"/>
        <w:gridCol w:w="123"/>
        <w:gridCol w:w="285"/>
        <w:gridCol w:w="414"/>
        <w:gridCol w:w="343"/>
        <w:gridCol w:w="123"/>
        <w:gridCol w:w="123"/>
        <w:gridCol w:w="123"/>
        <w:gridCol w:w="443"/>
        <w:gridCol w:w="284"/>
        <w:gridCol w:w="287"/>
        <w:gridCol w:w="109"/>
        <w:gridCol w:w="109"/>
        <w:gridCol w:w="109"/>
        <w:gridCol w:w="258"/>
        <w:gridCol w:w="375"/>
        <w:gridCol w:w="382"/>
        <w:gridCol w:w="117"/>
        <w:gridCol w:w="117"/>
        <w:gridCol w:w="117"/>
        <w:gridCol w:w="258"/>
        <w:gridCol w:w="375"/>
        <w:gridCol w:w="382"/>
        <w:gridCol w:w="117"/>
        <w:gridCol w:w="117"/>
        <w:gridCol w:w="117"/>
        <w:gridCol w:w="421"/>
        <w:gridCol w:w="254"/>
        <w:gridCol w:w="374"/>
      </w:tblGrid>
      <w:tr>
        <w:trPr/>
        <w:tc>
          <w:tcPr>
            <w:tcW w:w="8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83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42424"/>
                <w:sz w:val="20"/>
              </w:rPr>
            </w:pPr>
            <w:r>
              <w:rPr>
                <w:rFonts w:ascii="Times New Roman;serif" w:hAnsi="Times New Roman;serif"/>
                <w:b/>
                <w:color w:val="242424"/>
                <w:sz w:val="20"/>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42424"/>
                <w:sz w:val="20"/>
              </w:rPr>
            </w:pPr>
            <w:r>
              <w:rPr>
                <w:rFonts w:ascii="Times New Roman;serif" w:hAnsi="Times New Roman;serif"/>
                <w:b/>
                <w:color w:val="242424"/>
                <w:sz w:val="20"/>
              </w:rPr>
              <w:t>2025</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42424"/>
                <w:sz w:val="20"/>
              </w:rPr>
            </w:pPr>
            <w:r>
              <w:rPr>
                <w:rFonts w:ascii="Times New Roman;serif" w:hAnsi="Times New Roman;serif"/>
                <w:b/>
                <w:color w:val="242424"/>
                <w:sz w:val="20"/>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42424"/>
                <w:sz w:val="20"/>
              </w:rPr>
            </w:pPr>
            <w:r>
              <w:rPr>
                <w:rFonts w:ascii="Times New Roman;serif" w:hAnsi="Times New Roman;serif"/>
                <w:b/>
                <w:color w:val="242424"/>
                <w:sz w:val="20"/>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expense</w:t>
            </w:r>
          </w:p>
        </w:tc>
        <w:tc>
          <w:tcPr>
            <w:tcW w:w="10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(21,051)</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(23,054)</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(42,067)</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(46,230)</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4,163</w:t>
            </w:r>
          </w:p>
        </w:tc>
      </w:tr>
      <w:tr>
        <w:trPr/>
        <w:tc>
          <w:tcPr>
            <w:tcW w:w="2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extinguishment and modification costs</w:t>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r>
      <w:tr>
        <w:trPr/>
        <w:tc>
          <w:tcPr>
            <w:tcW w:w="2261"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2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2,676</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w:t>
            </w:r>
          </w:p>
        </w:tc>
      </w:tr>
      <w:tr>
        <w:trPr/>
        <w:tc>
          <w:tcPr>
            <w:tcW w:w="2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(19,407)</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(22,048)</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(39,391)</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(44,155)</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4,764</w:t>
            </w:r>
          </w:p>
        </w:tc>
      </w:tr>
    </w:tbl>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Interest expense of $21.1 million for the three months ended June 30, 2026, decreased by $2.0 million, or 8.7%, from $23.1 million for the three months ended June 30, 2025, due to decreased SOFR rates and beneficial changes in margin from the recent refinancing which was partially offset by increased outstanding balances of the 2024 Credit Agreement and the Residual Finance Credit Facility established during the quarter ended September 30, 2025.</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Interest expense of $42.1 million for the six months ended June 30, 2026, decreased by $4.2 million, or 9.0%, from $46.2 million for the six months ended June 30, 2025, due to decreased SOFR rates and beneficial changes in margin from the recent refinancing which was partially offset by increased outstanding balances of the 2024 Credit Agreement and the Residual Finance Credit Facility established during the quarter ended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r>
        <w:rPr>
          <w:rFonts w:ascii="Times New Roman;serif" w:hAnsi="Times New Roman;serif"/>
          <w:b/>
          <w:i/>
          <w:color w:val="000000"/>
          <w:sz w:val="20"/>
        </w:rPr>
        <w:t>Income tax expense</w:t>
      </w:r>
      <w:r>
        <w:rPr>
          <w:color w:val="000000"/>
        </w:rPr>
        <w:t xml:space="preserve">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Income tax expense was as follows:</w:t>
      </w:r>
    </w:p>
    <w:tbl>
      <w:tblPr>
        <w:tblW w:w="10205" w:type="dxa"/>
        <w:jc w:val="left"/>
        <w:tblInd w:w="0" w:type="dxa"/>
        <w:tblLayout w:type="fixed"/>
        <w:tblCellMar>
          <w:top w:w="28" w:type="dxa"/>
          <w:left w:w="28" w:type="dxa"/>
          <w:bottom w:w="28" w:type="dxa"/>
          <w:right w:w="28" w:type="dxa"/>
        </w:tblCellMar>
      </w:tblPr>
      <w:tblGrid>
        <w:gridCol w:w="648"/>
        <w:gridCol w:w="570"/>
        <w:gridCol w:w="572"/>
        <w:gridCol w:w="211"/>
        <w:gridCol w:w="721"/>
        <w:gridCol w:w="271"/>
        <w:gridCol w:w="109"/>
        <w:gridCol w:w="109"/>
        <w:gridCol w:w="109"/>
        <w:gridCol w:w="211"/>
        <w:gridCol w:w="721"/>
        <w:gridCol w:w="271"/>
        <w:gridCol w:w="109"/>
        <w:gridCol w:w="109"/>
        <w:gridCol w:w="109"/>
        <w:gridCol w:w="211"/>
        <w:gridCol w:w="665"/>
        <w:gridCol w:w="109"/>
        <w:gridCol w:w="109"/>
        <w:gridCol w:w="109"/>
        <w:gridCol w:w="109"/>
        <w:gridCol w:w="211"/>
        <w:gridCol w:w="721"/>
        <w:gridCol w:w="271"/>
        <w:gridCol w:w="109"/>
        <w:gridCol w:w="109"/>
        <w:gridCol w:w="109"/>
        <w:gridCol w:w="211"/>
        <w:gridCol w:w="721"/>
        <w:gridCol w:w="271"/>
        <w:gridCol w:w="109"/>
        <w:gridCol w:w="109"/>
        <w:gridCol w:w="109"/>
        <w:gridCol w:w="211"/>
        <w:gridCol w:w="616"/>
        <w:gridCol w:w="156"/>
      </w:tblGrid>
      <w:tr>
        <w:trPr/>
        <w:tc>
          <w:tcPr>
            <w:tcW w:w="64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404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42424"/>
                <w:sz w:val="20"/>
              </w:rPr>
            </w:pPr>
            <w:r>
              <w:rPr>
                <w:rFonts w:ascii="Times New Roman;serif" w:hAnsi="Times New Roman;serif"/>
                <w:b/>
                <w:color w:val="242424"/>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42424"/>
                <w:sz w:val="20"/>
              </w:rPr>
            </w:pPr>
            <w:r>
              <w:rPr>
                <w:rFonts w:ascii="Times New Roman;serif" w:hAnsi="Times New Roman;serif"/>
                <w:b/>
                <w:color w:val="242424"/>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42424"/>
                <w:sz w:val="20"/>
              </w:rPr>
            </w:pPr>
            <w:r>
              <w:rPr>
                <w:rFonts w:ascii="Times New Roman;serif" w:hAnsi="Times New Roman;serif"/>
                <w:b/>
                <w:color w:val="242424"/>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42424"/>
                <w:sz w:val="20"/>
              </w:rPr>
            </w:pPr>
            <w:r>
              <w:rPr>
                <w:rFonts w:ascii="Times New Roman;serif" w:hAnsi="Times New Roman;serif"/>
                <w:b/>
                <w:color w:val="242424"/>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27,043 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25,820 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compute our interim period income tax expense by using a forecasted EAETR and adjust for any discrete items arising during the interim period and any changes in our projected full-year business interest expense and taxable income. The EAETR for 2026 is 27.7% and includes the income tax provision on pre-tax income. The effective tax rate for 2026 changed primarily due to a year over year change in the discrete tax benefit associated with stock-based compensation vestings.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consolidated effective income tax rates differ from the statutory rate due to timing and permanent differences between amounts calculated under GAAP and the U.S. tax code. The consolidated effective income tax rate for 2026 may not be indicative of our effective tax rate for future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Segment Results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CODM's review of segment performance and allocation of resources are based on Adjusted EBITDA (a non-GAAP financial measure). Adjusted EBITDA at each segment level includes revenues of the segment, less costs of revenue (excluding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and operating expenses that are directly related those revenues. Operating overhead and shared costs are managed centrally and included in corporate segment.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This non-GAAP financial measure helps to illustrate the underlying financial and business trends relating to results of operations of the Company and therefore used as a measure of segment profit or loss for the purposes of evaluation of segment performance and allocation of resources.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Merchant Solutions</w:t>
      </w:r>
    </w:p>
    <w:tbl>
      <w:tblPr>
        <w:tblW w:w="10205" w:type="dxa"/>
        <w:jc w:val="left"/>
        <w:tblInd w:w="0" w:type="dxa"/>
        <w:tblLayout w:type="fixed"/>
        <w:tblCellMar>
          <w:top w:w="28" w:type="dxa"/>
          <w:left w:w="28" w:type="dxa"/>
          <w:bottom w:w="28" w:type="dxa"/>
          <w:right w:w="28" w:type="dxa"/>
        </w:tblCellMar>
      </w:tblPr>
      <w:tblGrid>
        <w:gridCol w:w="435"/>
        <w:gridCol w:w="332"/>
        <w:gridCol w:w="333"/>
        <w:gridCol w:w="211"/>
        <w:gridCol w:w="915"/>
        <w:gridCol w:w="121"/>
        <w:gridCol w:w="109"/>
        <w:gridCol w:w="109"/>
        <w:gridCol w:w="109"/>
        <w:gridCol w:w="211"/>
        <w:gridCol w:w="915"/>
        <w:gridCol w:w="121"/>
        <w:gridCol w:w="109"/>
        <w:gridCol w:w="109"/>
        <w:gridCol w:w="109"/>
        <w:gridCol w:w="369"/>
        <w:gridCol w:w="388"/>
        <w:gridCol w:w="393"/>
        <w:gridCol w:w="109"/>
        <w:gridCol w:w="109"/>
        <w:gridCol w:w="109"/>
        <w:gridCol w:w="211"/>
        <w:gridCol w:w="915"/>
        <w:gridCol w:w="121"/>
        <w:gridCol w:w="109"/>
        <w:gridCol w:w="109"/>
        <w:gridCol w:w="109"/>
        <w:gridCol w:w="211"/>
        <w:gridCol w:w="915"/>
        <w:gridCol w:w="121"/>
        <w:gridCol w:w="109"/>
        <w:gridCol w:w="109"/>
        <w:gridCol w:w="109"/>
        <w:gridCol w:w="354"/>
        <w:gridCol w:w="403"/>
        <w:gridCol w:w="575"/>
      </w:tblGrid>
      <w:tr>
        <w:trPr/>
        <w:tc>
          <w:tcPr>
            <w:tcW w:w="435"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429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42424"/>
                <w:sz w:val="20"/>
              </w:rPr>
            </w:pPr>
            <w:r>
              <w:rPr>
                <w:rFonts w:ascii="Times New Roman;serif" w:hAnsi="Times New Roman;serif"/>
                <w:b/>
                <w:color w:val="242424"/>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42424"/>
                <w:sz w:val="20"/>
              </w:rPr>
            </w:pPr>
            <w:r>
              <w:rPr>
                <w:rFonts w:ascii="Times New Roman;serif" w:hAnsi="Times New Roman;serif"/>
                <w:b/>
                <w:color w:val="242424"/>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42424"/>
                <w:sz w:val="20"/>
              </w:rPr>
            </w:pPr>
            <w:r>
              <w:rPr>
                <w:rFonts w:ascii="Times New Roman;serif" w:hAnsi="Times New Roman;serif"/>
                <w:b/>
                <w:color w:val="242424"/>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42424"/>
                <w:sz w:val="20"/>
              </w:rPr>
            </w:pPr>
            <w:r>
              <w:rPr>
                <w:rFonts w:ascii="Times New Roman;serif" w:hAnsi="Times New Roman;serif"/>
                <w:b/>
                <w:color w:val="242424"/>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1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175,778 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163,230 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337,564 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314,920 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22,644</w:t>
            </w:r>
          </w:p>
        </w:tc>
      </w:tr>
      <w:tr>
        <w:trPr/>
        <w:tc>
          <w:tcPr>
            <w:tcW w:w="1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30,887 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27,749 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58,627 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53,454 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5,173</w:t>
            </w:r>
          </w:p>
        </w:tc>
      </w:tr>
      <w:tr>
        <w:trPr/>
        <w:tc>
          <w:tcPr>
            <w:tcW w:w="1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Key Indicators:</w:t>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card processing dollar value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19,549,972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18,864,185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685,787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37,886,641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36,560,510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1,326,131</w:t>
            </w:r>
          </w:p>
        </w:tc>
      </w:tr>
      <w:tr>
        <w:trPr/>
        <w:tc>
          <w:tcPr>
            <w:tcW w:w="1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card transaction count</w:t>
            </w:r>
          </w:p>
        </w:tc>
        <w:tc>
          <w:tcPr>
            <w:tcW w:w="1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228,600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230,721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440,039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439,674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w:t>
            </w:r>
          </w:p>
        </w:tc>
      </w:tr>
    </w:tbl>
    <w:p>
      <w:pPr>
        <w:pStyle w:val="TextBody"/>
        <w:bidi w:val="0"/>
        <w:spacing w:lineRule="auto" w:line="288" w:before="0" w:after="2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Revenues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Revenue from our Merchant Solutions segment was $175.8 million for the three months ended June 30, 2026, compared to $163.2 million for the three months ended June 30, 2025. The increase of $12.5 million, or 7.7%, was primarily driven by acquisition related activity, an increase in merchant card fee rate, and increased total card processing dollar value which was partially offset by a decrease in total card transaction count. The Company's merchant card fee revenue from the Merchant Solutions segment ($171.9 million for three months ended June 30, 2026 and $158.8 million for the three months ended June 30, 2025) as a percentage of total card processing dollar value during the three months ended June 30, 2026 increased to 0.88% from 0.84% as compared to the three months ended June 30, 2025.</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Revenue from our Merchant Solutions segment was $337.6 million for the six months ended June 30, 2026, compared to $314.9 million for the six months ended June 30, 2025. The increase of $22.6 million, or 7.2%, was primarily driven by acquisition related activity, an increase in merchant card fee rate, and increased total card processing dollar value. The Company's merchant card fee revenue from the Merchant Solutions segment ($330.4 million for six months ended June 30, 2026 and $306.3 million for the six months ended June 30, 2025) as a percentage of total card processing dollar value during the six months ended June 30, 2026 increased to 0.87% from 0.84% as compared to the six months ended June 30, 2025. </w:t>
      </w:r>
    </w:p>
    <w:p>
      <w:pPr>
        <w:pStyle w:val="TextBody"/>
        <w:bidi w:val="0"/>
        <w:spacing w:lineRule="auto" w:line="268" w:before="0" w:after="2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Adjusted EBITDA</w:t>
      </w:r>
    </w:p>
    <w:p>
      <w:pPr>
        <w:pStyle w:val="TextBody"/>
        <w:bidi w:val="0"/>
        <w:spacing w:lineRule="auto" w:line="268" w:before="0" w:after="240"/>
        <w:jc w:val="left"/>
        <w:rPr>
          <w:rFonts w:ascii="Times New Roman;serif" w:hAnsi="Times New Roman;serif"/>
          <w:b w:val="false"/>
          <w:color w:val="000000"/>
          <w:sz w:val="20"/>
        </w:rPr>
      </w:pPr>
      <w:r>
        <w:rPr>
          <w:rFonts w:ascii="Times New Roman;serif" w:hAnsi="Times New Roman;serif"/>
          <w:b w:val="false"/>
          <w:color w:val="000000"/>
          <w:sz w:val="20"/>
        </w:rPr>
        <w:t>Adjusted EBITDA from our Merchant Solutions segment was $30.9 million for the three months ended June 30, 2026, compared to $27.7 million for the three months ended June 30, 2025. The increase of $3.1 million, or 11.3% was primarily driven by an increase in revenue and the Boom Commerce acquisition, which was partially offset by mix related margin compression, and increase in other operating expenses.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Adjusted EBITDA from our Merchant Solutions segment was $58.6 million for the six months ended June 30, 2026, compared to $53.5 million for the six months ended June 30, 2025. The increase of $5.2 million, or 9.7% was primarily driven by an increase in revenue and the Boom Commerce acquisition, which was partially offset by mix related margin compression, and increase in other operating expenses.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240"/>
        <w:jc w:val="left"/>
        <w:rPr/>
      </w:pPr>
      <w:r>
        <w:rPr/>
      </w:r>
    </w:p>
    <w:p>
      <w:pPr>
        <w:pStyle w:val="TextBody"/>
        <w:bidi w:val="0"/>
        <w:spacing w:lineRule="auto" w:line="268" w:before="0" w:after="240"/>
        <w:jc w:val="left"/>
        <w:rPr>
          <w:rFonts w:ascii="Times New Roman;serif" w:hAnsi="Times New Roman;serif"/>
          <w:b/>
          <w:i/>
          <w:color w:val="000000"/>
          <w:sz w:val="20"/>
        </w:rPr>
      </w:pPr>
      <w:r>
        <w:rPr>
          <w:rFonts w:ascii="Times New Roman;serif" w:hAnsi="Times New Roman;serif"/>
          <w:b/>
          <w:i/>
          <w:color w:val="000000"/>
          <w:sz w:val="20"/>
        </w:rPr>
        <w:t xml:space="preserve">Payables </w:t>
      </w:r>
    </w:p>
    <w:tbl>
      <w:tblPr>
        <w:tblW w:w="10205" w:type="dxa"/>
        <w:jc w:val="left"/>
        <w:tblInd w:w="0" w:type="dxa"/>
        <w:tblLayout w:type="fixed"/>
        <w:tblCellMar>
          <w:top w:w="28" w:type="dxa"/>
          <w:left w:w="28" w:type="dxa"/>
          <w:bottom w:w="28" w:type="dxa"/>
          <w:right w:w="28" w:type="dxa"/>
        </w:tblCellMar>
      </w:tblPr>
      <w:tblGrid>
        <w:gridCol w:w="521"/>
        <w:gridCol w:w="412"/>
        <w:gridCol w:w="414"/>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09"/>
        <w:gridCol w:w="109"/>
        <w:gridCol w:w="109"/>
        <w:gridCol w:w="109"/>
        <w:gridCol w:w="211"/>
        <w:gridCol w:w="826"/>
        <w:gridCol w:w="156"/>
      </w:tblGrid>
      <w:tr>
        <w:trPr/>
        <w:tc>
          <w:tcPr>
            <w:tcW w:w="52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3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40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42424"/>
                <w:sz w:val="20"/>
              </w:rPr>
            </w:pPr>
            <w:r>
              <w:rPr>
                <w:rFonts w:ascii="Times New Roman;serif" w:hAnsi="Times New Roman;serif"/>
                <w:b/>
                <w:color w:val="242424"/>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42424"/>
                <w:sz w:val="20"/>
              </w:rPr>
            </w:pPr>
            <w:r>
              <w:rPr>
                <w:rFonts w:ascii="Times New Roman;serif" w:hAnsi="Times New Roman;serif"/>
                <w:b/>
                <w:color w:val="242424"/>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42424"/>
                <w:sz w:val="20"/>
              </w:rPr>
            </w:pPr>
            <w:r>
              <w:rPr>
                <w:rFonts w:ascii="Times New Roman;serif" w:hAnsi="Times New Roman;serif"/>
                <w:b/>
                <w:color w:val="242424"/>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42424"/>
                <w:sz w:val="20"/>
              </w:rPr>
            </w:pPr>
            <w:r>
              <w:rPr>
                <w:rFonts w:ascii="Times New Roman;serif" w:hAnsi="Times New Roman;serif"/>
                <w:b/>
                <w:color w:val="242424"/>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1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13,920</w:t>
            </w:r>
          </w:p>
        </w:tc>
      </w:tr>
      <w:tr>
        <w:trPr/>
        <w:tc>
          <w:tcPr>
            <w:tcW w:w="1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w:t>
            </w:r>
          </w:p>
        </w:tc>
      </w:tr>
      <w:tr>
        <w:trPr/>
        <w:tc>
          <w:tcPr>
            <w:tcW w:w="13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143" w:type="dxa"/>
            <w:gridSpan w:val="12"/>
            <w:tcBorders/>
          </w:tcPr>
          <w:p>
            <w:pPr>
              <w:pStyle w:val="TableContents"/>
              <w:bidi w:val="0"/>
              <w:spacing w:before="0" w:after="283"/>
              <w:jc w:val="left"/>
              <w:rPr>
                <w:sz w:val="4"/>
                <w:szCs w:val="4"/>
              </w:rPr>
            </w:pPr>
            <w:r>
              <w:rPr>
                <w:sz w:val="4"/>
                <w:szCs w:val="4"/>
              </w:rPr>
            </w:r>
          </w:p>
        </w:tc>
      </w:tr>
      <w:tr>
        <w:trPr/>
        <w:tc>
          <w:tcPr>
            <w:tcW w:w="134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34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34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34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34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34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34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34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34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34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Key Indicators: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Buyer funded card processing dollar value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410,170 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Supplier funded issuing dollar value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ACH transaction count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Revenues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Revenue from our Payables segment was $30.4 million for the three months ended June 30, 2026, compared to $25.0 million for the three months ended June 30, 2025. The increase of $5.4 million, or 21.6% was primarily driven by increased buyer funded card processing dollar value, supplier funded issuing dollar value, and interest from higher account balances which was partially offset by a decrease in ACH transaction count.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Revenue from our Payables segment was $62.9 million for the six months ended June 30, 2026, compared to $49.0 million for the six months ended June 30, 2025. The increase of $13.9 million, or 28.4% was primarily driven by increased buyer funded card processing dollar value, certain incentive income, ACH transaction count, supplier funded issuing dollar value, and interest from higher account balances.</w:t>
      </w:r>
    </w:p>
    <w:p>
      <w:pPr>
        <w:pStyle w:val="TextBody"/>
        <w:bidi w:val="0"/>
        <w:spacing w:lineRule="auto" w:line="288" w:before="0" w:after="2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Adjusted EBITDA</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Adjusted EBITDA from our Payables segment was $3.1 million for the three months ended June 30, 2026, compared to $3.8 million for the three months ended June 30, 2025.The decrease in Adjusted EBITDA of $0.7 million or 17.5% was contributed by $0.8 million in the buyer funded business, driven by mix related margin compression, which was partially offset by increased processing volume. The decrease in Adjusted EBITDA was partially offset by a $0.1 million increase in the supplier funded business, driven by increase in operating income.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Adjusted EBITDA from our Payables segment was $8.6 million for the six months ended June 30, 2026, compared to $7.3 million for the six months ended June 30, 2025.The increase in Adjusted EBITDA of $1.3 million or 17.5% was contributed by $2.3 million in the supplier funded business, driven by increase in revenues and operating income, which was partially offset by a decrease of $1.0 million in the buyer funded business, driven by mix related margin compression partially offset by increased processing volume.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Treasury Solutions</w:t>
      </w:r>
    </w:p>
    <w:tbl>
      <w:tblPr>
        <w:tblW w:w="10205" w:type="dxa"/>
        <w:jc w:val="left"/>
        <w:tblInd w:w="0" w:type="dxa"/>
        <w:tblLayout w:type="fixed"/>
        <w:tblCellMar>
          <w:top w:w="28" w:type="dxa"/>
          <w:left w:w="28" w:type="dxa"/>
          <w:bottom w:w="28" w:type="dxa"/>
          <w:right w:w="28" w:type="dxa"/>
        </w:tblCellMar>
      </w:tblPr>
      <w:tblGrid>
        <w:gridCol w:w="658"/>
        <w:gridCol w:w="502"/>
        <w:gridCol w:w="503"/>
        <w:gridCol w:w="211"/>
        <w:gridCol w:w="808"/>
        <w:gridCol w:w="123"/>
        <w:gridCol w:w="109"/>
        <w:gridCol w:w="109"/>
        <w:gridCol w:w="109"/>
        <w:gridCol w:w="211"/>
        <w:gridCol w:w="808"/>
        <w:gridCol w:w="123"/>
        <w:gridCol w:w="109"/>
        <w:gridCol w:w="109"/>
        <w:gridCol w:w="109"/>
        <w:gridCol w:w="369"/>
        <w:gridCol w:w="388"/>
        <w:gridCol w:w="393"/>
        <w:gridCol w:w="109"/>
        <w:gridCol w:w="109"/>
        <w:gridCol w:w="109"/>
        <w:gridCol w:w="211"/>
        <w:gridCol w:w="826"/>
        <w:gridCol w:w="109"/>
        <w:gridCol w:w="109"/>
        <w:gridCol w:w="109"/>
        <w:gridCol w:w="109"/>
        <w:gridCol w:w="211"/>
        <w:gridCol w:w="826"/>
        <w:gridCol w:w="109"/>
        <w:gridCol w:w="109"/>
        <w:gridCol w:w="109"/>
        <w:gridCol w:w="109"/>
        <w:gridCol w:w="354"/>
        <w:gridCol w:w="341"/>
        <w:gridCol w:w="486"/>
      </w:tblGrid>
      <w:tr>
        <w:trPr/>
        <w:tc>
          <w:tcPr>
            <w:tcW w:w="658"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16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408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42424"/>
                <w:sz w:val="20"/>
              </w:rPr>
            </w:pPr>
            <w:r>
              <w:rPr>
                <w:rFonts w:ascii="Times New Roman;serif" w:hAnsi="Times New Roman;serif"/>
                <w:b/>
                <w:color w:val="242424"/>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42424"/>
                <w:sz w:val="20"/>
              </w:rPr>
            </w:pPr>
            <w:r>
              <w:rPr>
                <w:rFonts w:ascii="Times New Roman;serif" w:hAnsi="Times New Roman;serif"/>
                <w:b/>
                <w:color w:val="242424"/>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42424"/>
                <w:sz w:val="20"/>
              </w:rPr>
            </w:pPr>
            <w:r>
              <w:rPr>
                <w:rFonts w:ascii="Times New Roman;serif" w:hAnsi="Times New Roman;serif"/>
                <w:b/>
                <w:color w:val="242424"/>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42424"/>
                <w:sz w:val="20"/>
              </w:rPr>
            </w:pPr>
            <w:r>
              <w:rPr>
                <w:rFonts w:ascii="Times New Roman;serif" w:hAnsi="Times New Roman;serif"/>
                <w:b/>
                <w:color w:val="242424"/>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1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60,519 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52,658 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16,613</w:t>
            </w:r>
          </w:p>
        </w:tc>
      </w:tr>
      <w:tr>
        <w:trPr/>
        <w:tc>
          <w:tcPr>
            <w:tcW w:w="1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47,513 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45,558 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6,183</w:t>
            </w:r>
          </w:p>
        </w:tc>
      </w:tr>
      <w:tr>
        <w:trPr/>
        <w:tc>
          <w:tcPr>
            <w:tcW w:w="1663"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54" w:type="dxa"/>
            <w:gridSpan w:val="9"/>
            <w:tcBorders/>
          </w:tcPr>
          <w:p>
            <w:pPr>
              <w:pStyle w:val="TableContents"/>
              <w:bidi w:val="0"/>
              <w:spacing w:before="0" w:after="283"/>
              <w:jc w:val="left"/>
              <w:rPr>
                <w:sz w:val="4"/>
                <w:szCs w:val="4"/>
              </w:rPr>
            </w:pPr>
            <w:r>
              <w:rPr>
                <w:sz w:val="4"/>
                <w:szCs w:val="4"/>
              </w:rPr>
            </w:r>
          </w:p>
        </w:tc>
      </w:tr>
      <w:tr>
        <w:trPr/>
        <w:tc>
          <w:tcPr>
            <w:tcW w:w="1663"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1663"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1663"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1663"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1663"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1663"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1663"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1663"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1663"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1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Key Indicators:</w:t>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CFTPay billed clients</w:t>
            </w:r>
          </w:p>
        </w:tc>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1,142,908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992,279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1,135,922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966,371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169,551</w:t>
            </w:r>
          </w:p>
        </w:tc>
      </w:tr>
      <w:tr>
        <w:trPr/>
        <w:tc>
          <w:tcPr>
            <w:tcW w:w="1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CFTPay monthly enrollments</w:t>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(8,626)</w:t>
            </w:r>
          </w:p>
        </w:tc>
      </w:tr>
      <w:tr>
        <w:trPr/>
        <w:tc>
          <w:tcPr>
            <w:tcW w:w="16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Average total account balances</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1,475,537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1,145,715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329,822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1,447,412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1,093,530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353,882</w:t>
            </w:r>
          </w:p>
        </w:tc>
      </w:tr>
    </w:tbl>
    <w:p>
      <w:pPr>
        <w:pStyle w:val="TextBody"/>
        <w:bidi w:val="0"/>
        <w:spacing w:lineRule="auto" w:line="288" w:before="0" w:after="0"/>
        <w:ind w:left="0" w:right="0" w:hanging="36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3"/>
        </w:rPr>
        <w:t xml:space="preserve">This represents the average total account balance in the Treasury Solutions segment, and excludes the deposits maintained in the Merchant Solutions and Payables segments. The total account and deposit balances as of June 30, 2026 and 2025, were $1.8 billion and $1.4 billion, respectively. </w:t>
      </w:r>
    </w:p>
    <w:p>
      <w:pPr>
        <w:pStyle w:val="TextBody"/>
        <w:bidi w:val="0"/>
        <w:spacing w:before="0" w:after="24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Revenues</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Revenue from our Treasury Solutions segment was $60.5 million for the three months ended June 30, 2026, compared to $52.7 million for the three months ended June 30, 2025. The increase of $7.9 million, or 14.9%, was primarily driven by an increase in average billed clients and average total account balances, the acquisition of Sila, and growth in interest income due to higher balances of permissible investments offset by a reduction in interest rates and decreased average monthly enrollments.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Revenue from our Treasury Solutions segment was $119.4 million for the six months ended June 30, 2026, compared to $102.7 million for the six months ended June 30, 2025. The increase of $16.6 million, or 16.2%, was primarily driven by an increase in average billed clients and average total account balances, the acquisition of Sila, and growth in interest income due to higher balances of permissible investments offset by a reduction in interest rates and decreased average monthly enrollments.</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Adjusted EBITDA</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Adjusted EBITDA from our Treasury Solutions segment was $47.5 million for the three months ended June 30, 2026, compared to $45.6 million for the three months ended June 30, 2025. The increase of $2.0 million, or 4.3%, was primarily driven by increases in revenues.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Adjusted EBITDA from our Treasury Solutions segment was $94.2 million for the six months ended June 30, 2026, compared to $88.0 million for the six months ended June 30, 2025. The increase of $6.2 million, or 7.0%, was primarily driven by increases in revenues.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240"/>
        <w:jc w:val="left"/>
        <w:rPr/>
      </w:pPr>
      <w:r>
        <w:rPr/>
      </w:r>
    </w:p>
    <w:tbl>
      <w:tblPr>
        <w:tblW w:w="10205" w:type="dxa"/>
        <w:jc w:val="center"/>
        <w:tblInd w:w="0" w:type="dxa"/>
        <w:tblLayout w:type="fixed"/>
        <w:tblCellMar>
          <w:top w:w="28" w:type="dxa"/>
          <w:left w:w="28" w:type="dxa"/>
          <w:bottom w:w="28" w:type="dxa"/>
          <w:right w:w="28" w:type="dxa"/>
        </w:tblCellMar>
      </w:tblPr>
      <w:tblGrid>
        <w:gridCol w:w="1010"/>
        <w:gridCol w:w="712"/>
        <w:gridCol w:w="713"/>
        <w:gridCol w:w="109"/>
        <w:gridCol w:w="109"/>
        <w:gridCol w:w="109"/>
        <w:gridCol w:w="265"/>
        <w:gridCol w:w="925"/>
        <w:gridCol w:w="137"/>
        <w:gridCol w:w="109"/>
        <w:gridCol w:w="109"/>
        <w:gridCol w:w="109"/>
        <w:gridCol w:w="211"/>
        <w:gridCol w:w="631"/>
        <w:gridCol w:w="109"/>
        <w:gridCol w:w="109"/>
        <w:gridCol w:w="109"/>
        <w:gridCol w:w="109"/>
        <w:gridCol w:w="262"/>
        <w:gridCol w:w="917"/>
        <w:gridCol w:w="135"/>
        <w:gridCol w:w="109"/>
        <w:gridCol w:w="109"/>
        <w:gridCol w:w="109"/>
        <w:gridCol w:w="211"/>
        <w:gridCol w:w="759"/>
        <w:gridCol w:w="109"/>
        <w:gridCol w:w="109"/>
        <w:gridCol w:w="109"/>
        <w:gridCol w:w="109"/>
        <w:gridCol w:w="278"/>
        <w:gridCol w:w="974"/>
        <w:gridCol w:w="212"/>
      </w:tblGrid>
      <w:tr>
        <w:trPr/>
        <w:tc>
          <w:tcPr>
            <w:tcW w:w="1010"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r>
      <w:tr>
        <w:trPr/>
        <w:tc>
          <w:tcPr>
            <w:tcW w:w="2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Merchant Solutions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Payables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Treasury Solutions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Corporate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Consolidated</w:t>
            </w:r>
          </w:p>
        </w:tc>
      </w:tr>
      <w:tr>
        <w:trPr/>
        <w:tc>
          <w:tcPr>
            <w:tcW w:w="10205" w:type="dxa"/>
            <w:gridSpan w:val="3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Adjusted EBITDA to GAAP Measure:</w:t>
            </w:r>
          </w:p>
        </w:tc>
      </w:tr>
      <w:tr>
        <w:trPr/>
        <w:tc>
          <w:tcPr>
            <w:tcW w:w="2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30,887 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47,513 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59,395 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(21,051)</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(13,094)</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(5,297)</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(20,893)</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(non-recurring)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stock 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(2,283)</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before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16,646</w:t>
            </w:r>
            <w:r>
              <w:rPr>
                <w:color w:val="000000"/>
              </w:rPr>
              <w:t>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1,785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41,960</w:t>
            </w: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(46,754)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13,637</w:t>
            </w:r>
            <w:r>
              <w:rPr>
                <w:color w:val="000000"/>
              </w:rPr>
              <w:t>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(3,774)</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9,863</w:t>
            </w:r>
            <w:r>
              <w:rPr>
                <w:color w:val="000000"/>
              </w:rPr>
              <w:t>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010"/>
        <w:gridCol w:w="712"/>
        <w:gridCol w:w="713"/>
        <w:gridCol w:w="109"/>
        <w:gridCol w:w="109"/>
        <w:gridCol w:w="109"/>
        <w:gridCol w:w="265"/>
        <w:gridCol w:w="925"/>
        <w:gridCol w:w="137"/>
        <w:gridCol w:w="109"/>
        <w:gridCol w:w="109"/>
        <w:gridCol w:w="109"/>
        <w:gridCol w:w="211"/>
        <w:gridCol w:w="631"/>
        <w:gridCol w:w="109"/>
        <w:gridCol w:w="109"/>
        <w:gridCol w:w="109"/>
        <w:gridCol w:w="109"/>
        <w:gridCol w:w="262"/>
        <w:gridCol w:w="917"/>
        <w:gridCol w:w="135"/>
        <w:gridCol w:w="109"/>
        <w:gridCol w:w="109"/>
        <w:gridCol w:w="109"/>
        <w:gridCol w:w="211"/>
        <w:gridCol w:w="759"/>
        <w:gridCol w:w="109"/>
        <w:gridCol w:w="109"/>
        <w:gridCol w:w="109"/>
        <w:gridCol w:w="109"/>
        <w:gridCol w:w="278"/>
        <w:gridCol w:w="974"/>
        <w:gridCol w:w="212"/>
      </w:tblGrid>
      <w:tr>
        <w:trPr/>
        <w:tc>
          <w:tcPr>
            <w:tcW w:w="1010"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r>
      <w:tr>
        <w:trPr/>
        <w:tc>
          <w:tcPr>
            <w:tcW w:w="2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Merchant Solutions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Payables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Treasury Solutions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Corporate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Consolidated</w:t>
            </w:r>
          </w:p>
        </w:tc>
      </w:tr>
      <w:tr>
        <w:trPr/>
        <w:tc>
          <w:tcPr>
            <w:tcW w:w="10205" w:type="dxa"/>
            <w:gridSpan w:val="3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Adjusted EBITDA to GAAP Measure:</w:t>
            </w:r>
          </w:p>
        </w:tc>
      </w:tr>
      <w:tr>
        <w:trPr/>
        <w:tc>
          <w:tcPr>
            <w:tcW w:w="2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27,749 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45,558 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56,050 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(23,054)</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(6,633)</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(4,941)</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(14,093)</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(non-recurring)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stock 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(3,206)</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before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21,121</w:t>
            </w:r>
            <w:r>
              <w:rPr>
                <w:color w:val="000000"/>
              </w:rPr>
              <w:t>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1,634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40,341</w:t>
            </w: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(47,794)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15,302</w:t>
            </w:r>
            <w:r>
              <w:rPr>
                <w:color w:val="000000"/>
              </w:rPr>
              <w:t>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(4,423)</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10,879</w:t>
            </w:r>
            <w:r>
              <w:rPr>
                <w:color w:val="000000"/>
              </w:rPr>
              <w:t>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240"/>
        <w:jc w:val="left"/>
        <w:rPr/>
      </w:pPr>
      <w:r>
        <w:rPr/>
      </w:r>
    </w:p>
    <w:tbl>
      <w:tblPr>
        <w:tblW w:w="10205" w:type="dxa"/>
        <w:jc w:val="left"/>
        <w:tblInd w:w="0" w:type="dxa"/>
        <w:tblLayout w:type="fixed"/>
        <w:tblCellMar>
          <w:top w:w="28" w:type="dxa"/>
          <w:left w:w="28" w:type="dxa"/>
          <w:bottom w:w="28" w:type="dxa"/>
          <w:right w:w="28" w:type="dxa"/>
        </w:tblCellMar>
      </w:tblPr>
      <w:tblGrid>
        <w:gridCol w:w="1010"/>
        <w:gridCol w:w="711"/>
        <w:gridCol w:w="713"/>
        <w:gridCol w:w="109"/>
        <w:gridCol w:w="109"/>
        <w:gridCol w:w="109"/>
        <w:gridCol w:w="265"/>
        <w:gridCol w:w="925"/>
        <w:gridCol w:w="137"/>
        <w:gridCol w:w="109"/>
        <w:gridCol w:w="109"/>
        <w:gridCol w:w="109"/>
        <w:gridCol w:w="211"/>
        <w:gridCol w:w="631"/>
        <w:gridCol w:w="109"/>
        <w:gridCol w:w="109"/>
        <w:gridCol w:w="109"/>
        <w:gridCol w:w="109"/>
        <w:gridCol w:w="262"/>
        <w:gridCol w:w="917"/>
        <w:gridCol w:w="135"/>
        <w:gridCol w:w="109"/>
        <w:gridCol w:w="109"/>
        <w:gridCol w:w="109"/>
        <w:gridCol w:w="211"/>
        <w:gridCol w:w="759"/>
        <w:gridCol w:w="109"/>
        <w:gridCol w:w="109"/>
        <w:gridCol w:w="109"/>
        <w:gridCol w:w="109"/>
        <w:gridCol w:w="258"/>
        <w:gridCol w:w="1011"/>
        <w:gridCol w:w="196"/>
      </w:tblGrid>
      <w:tr>
        <w:trPr/>
        <w:tc>
          <w:tcPr>
            <w:tcW w:w="101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r>
      <w:tr>
        <w:trPr/>
        <w:tc>
          <w:tcPr>
            <w:tcW w:w="24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Merchant Solutions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Payables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Treasury Solutions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Corporate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Consolidated</w:t>
            </w:r>
          </w:p>
        </w:tc>
      </w:tr>
      <w:tr>
        <w:trPr/>
        <w:tc>
          <w:tcPr>
            <w:tcW w:w="10205" w:type="dxa"/>
            <w:gridSpan w:val="3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Adjusted EBITDA to GAAP Measure:</w:t>
            </w:r>
          </w:p>
        </w:tc>
      </w:tr>
      <w:tr>
        <w:trPr/>
        <w:tc>
          <w:tcPr>
            <w:tcW w:w="2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58,627 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94,184 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117,489 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(42,067)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(23,011)</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(10,500)</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(38,508)</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r>
      <w:tr>
        <w:trPr/>
        <w:tc>
          <w:tcPr>
            <w:tcW w:w="2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(non-recurring)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stock 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r>
      <w:tr>
        <w:trPr/>
        <w:tc>
          <w:tcPr>
            <w:tcW w:w="2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before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33,387</w:t>
            </w:r>
            <w:r>
              <w:rPr>
                <w:color w:val="000000"/>
              </w:rPr>
              <w:t>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5,915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83,014</w:t>
            </w: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(95,273)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27,043</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19,623</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64"/>
        <w:gridCol w:w="698"/>
        <w:gridCol w:w="699"/>
        <w:gridCol w:w="109"/>
        <w:gridCol w:w="109"/>
        <w:gridCol w:w="109"/>
        <w:gridCol w:w="263"/>
        <w:gridCol w:w="919"/>
        <w:gridCol w:w="136"/>
        <w:gridCol w:w="109"/>
        <w:gridCol w:w="109"/>
        <w:gridCol w:w="109"/>
        <w:gridCol w:w="211"/>
        <w:gridCol w:w="631"/>
        <w:gridCol w:w="109"/>
        <w:gridCol w:w="109"/>
        <w:gridCol w:w="109"/>
        <w:gridCol w:w="109"/>
        <w:gridCol w:w="261"/>
        <w:gridCol w:w="911"/>
        <w:gridCol w:w="134"/>
        <w:gridCol w:w="109"/>
        <w:gridCol w:w="109"/>
        <w:gridCol w:w="109"/>
        <w:gridCol w:w="211"/>
        <w:gridCol w:w="758"/>
        <w:gridCol w:w="109"/>
        <w:gridCol w:w="109"/>
        <w:gridCol w:w="109"/>
        <w:gridCol w:w="109"/>
        <w:gridCol w:w="256"/>
        <w:gridCol w:w="1006"/>
        <w:gridCol w:w="194"/>
      </w:tblGrid>
      <w:tr>
        <w:trPr/>
        <w:tc>
          <w:tcPr>
            <w:tcW w:w="1064"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r>
      <w:tr>
        <w:trPr/>
        <w:tc>
          <w:tcPr>
            <w:tcW w:w="2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Merchant Solutions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Payables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Treasury Solutions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Corporate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Consolidated</w:t>
            </w:r>
          </w:p>
        </w:tc>
      </w:tr>
      <w:tr>
        <w:trPr/>
        <w:tc>
          <w:tcPr>
            <w:tcW w:w="10205" w:type="dxa"/>
            <w:gridSpan w:val="3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Adjusted EBITDA to GAAP Measure:</w:t>
            </w:r>
          </w:p>
        </w:tc>
      </w:tr>
      <w:tr>
        <w:trPr/>
        <w:tc>
          <w:tcPr>
            <w:tcW w:w="2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53,454 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88,001 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107,344 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(46,230)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(13,258)</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(9,583)</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(27,870)</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modification and extinguishment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(non-recurring)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(2,594)</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stock 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(4,792)</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before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40,197</w:t>
            </w: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2,799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78,110</w:t>
            </w: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(95,286)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25,820</w:t>
            </w:r>
            <w:r>
              <w:rPr>
                <w:color w:val="000000"/>
              </w:rPr>
              <w:t>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(6,673)</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19,147</w:t>
            </w:r>
            <w:r>
              <w:rPr>
                <w:color w:val="000000"/>
              </w:rPr>
              <w:t>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r>
        <w:rPr>
          <w:rFonts w:ascii="Times New Roman;serif" w:hAnsi="Times New Roman;serif"/>
          <w:b/>
          <w:color w:val="000000"/>
          <w:sz w:val="20"/>
        </w:rPr>
        <w:t>Critical Accounting Policies and Estimates</w:t>
      </w:r>
      <w:r>
        <w:rPr>
          <w:color w:val="000000"/>
        </w:rPr>
        <w:t>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Unaudited Consolidated Financial Statements have been prepared in accordance with GAAP for interim periods, which often require the judgment of management in the selection and application of certain accounting principles and methods. Our critical accounting policies and estimates are discussed in "Management's Discussion and Analysis of Financial Condition and Results of Operations" in our Annual Report on Form 10-K for the year ended December 31, 2025. There have been no material changes to these critical accounting policies and estimates as of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Liquidity and capital resource management is a process focused on providing the funding we need to meet our short-term and long-term cash and working capital needs. We have used our funding sources to build our merchant portfolio, for technology solutions and to make acquisitions with the expectation that such investments will generate cash flows sufficient to cover our working capital and other anticipated needs, including our acquisition strategy. We anticipate that cash on hand, funds generated from operations and available borrowings under our revolving credit facility are sufficient to meet our working capital requirements for at least the next 12 months.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Our principal uses of cash are to fund business operations and administrative costs, and to service our debt.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pPr>
      <w:r>
        <w:rPr>
          <w:rFonts w:ascii="Times New Roman;serif" w:hAnsi="Times New Roman;serif"/>
          <w:b w:val="false"/>
          <w:color w:val="000000"/>
          <w:sz w:val="20"/>
        </w:rPr>
        <w:t>Our working capital, defined as current assets less current liabilities, was $151.8 million at June 30, 2026 and $76.7 million at June 30, 2025. As of June 30, 2026, we had cash totaling $120.3 million compared to $50.6 million at June 30, 2025. These cash balances do not include restricted cash of $17.4 million and $14.2 million at June 30, 2026 and June 30, 2025, respectively, which reflects cash accounts holding customer settlement funds, cash reserves for potential losses and other contractual restricted cash balances. The current portion of long-term debt included in current liabilities was $3.1 million and $4.3 million at June 30, 2026 and June 30, 2025, respectively.</w:t>
      </w:r>
      <w:r>
        <w:rPr>
          <w:color w:val="000000"/>
        </w:rPr>
        <w:t xml:space="preserve"> </w:t>
      </w:r>
      <w:r>
        <w:rPr>
          <w:rFonts w:ascii="Times New Roman;serif" w:hAnsi="Times New Roman;serif"/>
          <w:b w:val="false"/>
          <w:color w:val="000000"/>
          <w:sz w:val="20"/>
        </w:rPr>
        <w:t>At June 30, 2026, we had availability of approximately $100.0 million under our revolving credit facility.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and discussion reflect our changes in cash flows for the comparative six month periods.</w:t>
      </w:r>
    </w:p>
    <w:tbl>
      <w:tblPr>
        <w:tblW w:w="8731" w:type="dxa"/>
        <w:jc w:val="left"/>
        <w:tblInd w:w="0" w:type="dxa"/>
        <w:tblLayout w:type="fixed"/>
        <w:tblCellMar>
          <w:top w:w="28" w:type="dxa"/>
          <w:left w:w="28" w:type="dxa"/>
          <w:bottom w:w="28" w:type="dxa"/>
          <w:right w:w="28" w:type="dxa"/>
        </w:tblCellMar>
      </w:tblPr>
      <w:tblGrid>
        <w:gridCol w:w="2128"/>
        <w:gridCol w:w="1873"/>
        <w:gridCol w:w="1878"/>
        <w:gridCol w:w="211"/>
        <w:gridCol w:w="796"/>
        <w:gridCol w:w="109"/>
        <w:gridCol w:w="109"/>
        <w:gridCol w:w="109"/>
        <w:gridCol w:w="109"/>
        <w:gridCol w:w="211"/>
        <w:gridCol w:w="826"/>
        <w:gridCol w:w="109"/>
        <w:gridCol w:w="109"/>
        <w:gridCol w:w="154"/>
      </w:tblGrid>
      <w:tr>
        <w:trPr/>
        <w:tc>
          <w:tcPr>
            <w:tcW w:w="2128"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18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5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(decrease)/increase in cash and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(64,449)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Cash Provided by Operating Activities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was $55.3 million for the six months ended June 30, 2026 compared to $27.1 million for the six months ended June 30, 2025. The $28.2 million increase was driven by an increase in net income and favorable non-cash adjustments and changes in the operating assets and liabilities.</w:t>
      </w:r>
    </w:p>
    <w:p>
      <w:pPr>
        <w:pStyle w:val="TextBody"/>
        <w:bidi w:val="0"/>
        <w:spacing w:lineRule="auto" w:line="288" w:before="0" w:after="240"/>
        <w:jc w:val="left"/>
        <w:rPr/>
      </w:pPr>
      <w:r>
        <w:rPr>
          <w:rFonts w:ascii="Times New Roman;serif" w:hAnsi="Times New Roman;serif"/>
          <w:b w:val="false"/>
          <w:i/>
          <w:color w:val="000000"/>
          <w:sz w:val="20"/>
        </w:rPr>
        <w:t>Cash Used in Investing Activities</w:t>
      </w:r>
      <w:r>
        <w:rPr>
          <w:color w:val="000000"/>
        </w:rPr>
        <w:t>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was $203.0 million for the six months ended June 30, 2026, compared to $21.1 million of cash used in investing activities for the six months ended June 30, 2025. For the six months ended June 30, 2026, investing activities included the $12.6 million additions to property, equipment and software, $3.0 million related to net funding of new loans to ISOs and ISVs, $185.0 million net short-term investments of MTL funds, and $2.4 million related to residual purchases and investments in unconsolidated entities. For the six months ended June 30, 2025, net cash used in investing activities included additions to property, equipment and software of $13.0 million, $1.4 million related to net funding of new loans to ISOs and ISVs, $4.5 million related to the acquisition of a business and $2.3 million investments in unconsolidated entities.</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Cash Provided by Financing Activities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was $83.2 million and $178.1 million for the six months ended June 30, 2026 and 2025, respectively. The net cash provided by financing activities for the six months ended June 30, 2026, included borrowings under the Residual Finance credit facility of $7.7 million and changes in the net obligations for funds held on the behalf of customers of $77.4 million, offset by $0.2 million of cash used for the repayment of the Residual Finance credit facility, $1.5 million of cash used to purchase shares withheld for taxes, and $0.1 million for a deferred consideration payment. The net cash used in financing activities for the six months ended June 30, 2025, included changes in the net obligations for funds held on the behalf of customers of $190.9 million and proceeds from the exercise of stock options of $0.3 million offset by $10.0 million of cash used for the unscheduled repayment of the term loan principal, $2.3 million of cash used to purchase shares withheld for taxes and $0.8 million for payments of deferred consideration.</w:t>
      </w:r>
    </w:p>
    <w:p>
      <w:pPr>
        <w:pStyle w:val="TextBody"/>
        <w:bidi w:val="0"/>
        <w:spacing w:lineRule="auto" w:line="288" w:before="0" w:after="240"/>
        <w:jc w:val="left"/>
        <w:rPr/>
      </w:pPr>
      <w:r>
        <w:rPr>
          <w:rFonts w:ascii="Times New Roman;serif" w:hAnsi="Times New Roman;serif"/>
          <w:b w:val="false"/>
          <w:i/>
          <w:color w:val="000000"/>
          <w:sz w:val="20"/>
        </w:rPr>
        <w:t>Long-term Debt</w:t>
      </w:r>
      <w:r>
        <w:rPr>
          <w:color w:val="000000"/>
        </w:rPr>
        <w:t>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we had outstanding debt obligations, including the current portion and unamortized debt discount of $1,062.9 million, compared to $1,055.4 million at December 31, 2025, resulting in an increase due to net borrowings from the Residual Finance credit facility. The debt balance at June 30, 2026 consisted of $1,020.0 million outstanding under the 2024 Credit Agreement's (as amended) term facility and $42.9 million under the Residual Finance Credit Facility's term facility offset by $15.1 million of unamortized debt discounts and issuance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Minimum amortization of the 2024 Credit Agreement's term facility are equal quarterly installments in aggregate annual amounts equal to 1.0% of the original principal, with the balance paid upon maturity. The term facility matures on July 31, 2032 and the revolving credit facility matures on July 31, 2030.</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2024 Credit Agreement and Residual Finance credit facility both contain representations and warranties, financial and collateral requirements, mandatory payment events, events of default and affirmative and negative covenants, including without limitation, covenants that restrict among other things, the ability to create liens, pay dividends or distribute assets from the loan parties to the Company, merge or consolidate, dispose of assets, incur additional indebtedness, make certain investments or acquisitions, enter into certain transactions (including with affiliates) and to enter into certain leases.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Effect of New Accounting Pronouncements and Recently Issued Accounting Pronouncements Not Yet Adopted</w:t>
      </w:r>
    </w:p>
    <w:p>
      <w:pPr>
        <w:pStyle w:val="TextBody"/>
        <w:bidi w:val="0"/>
        <w:spacing w:lineRule="auto" w:line="288" w:before="0" w:after="240"/>
        <w:jc w:val="left"/>
        <w:rPr/>
      </w:pPr>
      <w:r>
        <w:rPr>
          <w:rFonts w:ascii="Times New Roman;serif" w:hAnsi="Times New Roman;serif"/>
          <w:b w:val="false"/>
          <w:color w:val="000000"/>
          <w:sz w:val="20"/>
        </w:rPr>
        <w:t xml:space="preserve">From time to time, new accounting pronouncements are issued by the FASB or other standards setting bodies that may affect our current and/or future consolidated financial statements. See </w:t>
      </w:r>
      <w:hyperlink w:anchor="i5564e7281e874bc598c371fdf8820f67_34">
        <w:r>
          <w:rPr>
            <w:rStyle w:val="InternetLink"/>
            <w:rFonts w:ascii="Times New Roman;serif" w:hAnsi="Times New Roman;serif"/>
            <w:b w:val="false"/>
            <w:color w:val="0000FF"/>
            <w:sz w:val="20"/>
            <w:u w:val="single"/>
          </w:rPr>
          <w:t>Note 1, Basis of Presentation and Significant Accounting Policies</w:t>
        </w:r>
      </w:hyperlink>
      <w:r>
        <w:rPr>
          <w:rFonts w:ascii="Times New Roman;serif" w:hAnsi="Times New Roman;serif"/>
          <w:b w:val="false"/>
          <w:color w:val="000000"/>
          <w:sz w:val="20"/>
        </w:rPr>
        <w:t>, to our Unaudited Consolidated Financial Statements included in Part I, Item 1 of this Quarterly Report on Form 10-Q, for a discussion of recently issued accounting pronouncements not yet adopted.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For quantitative and qualitative disclosures about market risk, see Item 7A, "Quantitative and Qualitative Disclosures About Market Risk," of our Annual Report on Form 10-K for the year ended December 31, 2025. Our exposures to market risk have not changed materially since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Evaluation of Disclosure Controls and Procedures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as defined in Rules 13a-15(e) and 15d-15(e) of the Exchange Act, designed to provide reasonable assurance that information required to be disclosed by the Company in reports that it files or submits under the Exchange Act is recorded, processed, summarized or reported within the time periods specified in SEC rules and regulations and that such information is accumulated and communicated to our management, including our principal executive officer (CEO), our principal financial officer (CFO) and, as appropriate, to allow timely decisions regarding required disclosures.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Management, with the participation of the CEO and CFO, has evaluated the effectiveness of the Company's disclosure controls and procedures as of June 30, 2026. Based on that evaluation, the Company's CEO and CFO concluded that the Company's disclosure controls and procedures were effective as of June 30, 2026.</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Changes in Internal Control over Financial Reporting</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There have been no changes in the Company's internal control over financial reporting during the three months ended June 30, 2026, that have materially affected, or are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are involved in certain legal proceedings and claims, which arise in the ordinary course of business. In the opinion of the Company, based on consultations with internal and external counsel, the results of any of these ordinary course matters, individually and in the aggregate, are not expected to have a material effect on our results of operations, financial condition, or cash flows. As more information becomes available and we determine that an unfavorable outcome is probable on a claim and that the amount of probable loss that we will incur on that claim is reasonably estimable, we will record an accrued expense for the claim in question. If and when we record such an accrual, it could be material and could adversely impact our results of operations, financial condition and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the other information set forth in this report, you should carefully consider the factors discussed in our Annual Report under Part I, Item 1A "Risk Factors" because these risk factors may affect our operations and financial results. The risks described in the Annual Report are not the only risks we face. Additional risks and uncertainties not currently known to us or that we currently deem to be immaterial may also materially adversely affect our business, financial condition and operating results.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 xml:space="preserve">Unregistered Sales of Equity Securities and Use of Proceeds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Company's purchases of its Common Stock during the three months ended June 30, 2026 were as follows:</w:t>
      </w:r>
    </w:p>
    <w:tbl>
      <w:tblPr>
        <w:tblW w:w="10205" w:type="dxa"/>
        <w:jc w:val="center"/>
        <w:tblInd w:w="0" w:type="dxa"/>
        <w:tblLayout w:type="fixed"/>
        <w:tblCellMar>
          <w:top w:w="28" w:type="dxa"/>
          <w:left w:w="28" w:type="dxa"/>
          <w:bottom w:w="28" w:type="dxa"/>
          <w:right w:w="28" w:type="dxa"/>
        </w:tblCellMar>
      </w:tblPr>
      <w:tblGrid>
        <w:gridCol w:w="318"/>
        <w:gridCol w:w="280"/>
        <w:gridCol w:w="281"/>
        <w:gridCol w:w="109"/>
        <w:gridCol w:w="109"/>
        <w:gridCol w:w="109"/>
        <w:gridCol w:w="545"/>
        <w:gridCol w:w="521"/>
        <w:gridCol w:w="523"/>
        <w:gridCol w:w="109"/>
        <w:gridCol w:w="109"/>
        <w:gridCol w:w="109"/>
        <w:gridCol w:w="321"/>
        <w:gridCol w:w="778"/>
        <w:gridCol w:w="166"/>
        <w:gridCol w:w="109"/>
        <w:gridCol w:w="109"/>
        <w:gridCol w:w="109"/>
        <w:gridCol w:w="855"/>
        <w:gridCol w:w="855"/>
        <w:gridCol w:w="857"/>
        <w:gridCol w:w="109"/>
        <w:gridCol w:w="109"/>
        <w:gridCol w:w="109"/>
        <w:gridCol w:w="758"/>
        <w:gridCol w:w="758"/>
        <w:gridCol w:w="1081"/>
      </w:tblGrid>
      <w:tr>
        <w:trPr/>
        <w:tc>
          <w:tcPr>
            <w:tcW w:w="31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8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Total Number of Shares Purchased</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 Number of Shares that May Yet Be Purchased Under the Plans or Programs</w:t>
            </w:r>
          </w:p>
        </w:tc>
      </w:tr>
      <w:tr>
        <w:trPr/>
        <w:tc>
          <w:tcPr>
            <w:tcW w:w="8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5,690,626</w:t>
            </w:r>
          </w:p>
        </w:tc>
      </w:tr>
      <w:tr>
        <w:trPr/>
        <w:tc>
          <w:tcPr>
            <w:tcW w:w="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3,484 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5,690,626</w:t>
            </w:r>
          </w:p>
        </w:tc>
      </w:tr>
      <w:tr>
        <w:trPr/>
        <w:tc>
          <w:tcPr>
            <w:tcW w:w="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5,690,626</w:t>
            </w:r>
          </w:p>
        </w:tc>
      </w:tr>
      <w:tr>
        <w:trPr/>
        <w:tc>
          <w:tcPr>
            <w:tcW w:w="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97,624 </w:t>
            </w:r>
          </w:p>
        </w:tc>
        <w:tc>
          <w:tcPr>
            <w:tcW w:w="5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8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Represents shares (in whole units) withheld to satisfy employees' tax withholding obligations related to the vesting of restricted stock awards, which was determined based on the fair market value on the day prior to the vesting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N/A</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Rule 10b5-1 Director and Officer Trading Arrangements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March 11, 2025, Sean Kiewiet, an officer of the Company as defined in Section 16 of the Exchange Act, adopted a Rule 10b5-1 trading arrangement as defined in Item 408(a) of the SEC's Regulation S-K.</w:t>
      </w:r>
    </w:p>
    <w:tbl>
      <w:tblPr>
        <w:tblW w:w="10205" w:type="dxa"/>
        <w:jc w:val="left"/>
        <w:tblInd w:w="0" w:type="dxa"/>
        <w:tblLayout w:type="fixed"/>
        <w:tblCellMar>
          <w:top w:w="28" w:type="dxa"/>
          <w:left w:w="28" w:type="dxa"/>
          <w:bottom w:w="28" w:type="dxa"/>
          <w:right w:w="28" w:type="dxa"/>
        </w:tblCellMar>
      </w:tblPr>
      <w:tblGrid>
        <w:gridCol w:w="853"/>
        <w:gridCol w:w="752"/>
        <w:gridCol w:w="755"/>
        <w:gridCol w:w="109"/>
        <w:gridCol w:w="109"/>
        <w:gridCol w:w="109"/>
        <w:gridCol w:w="269"/>
        <w:gridCol w:w="269"/>
        <w:gridCol w:w="273"/>
        <w:gridCol w:w="109"/>
        <w:gridCol w:w="109"/>
        <w:gridCol w:w="109"/>
        <w:gridCol w:w="326"/>
        <w:gridCol w:w="312"/>
        <w:gridCol w:w="313"/>
        <w:gridCol w:w="109"/>
        <w:gridCol w:w="109"/>
        <w:gridCol w:w="109"/>
        <w:gridCol w:w="381"/>
        <w:gridCol w:w="381"/>
        <w:gridCol w:w="388"/>
        <w:gridCol w:w="109"/>
        <w:gridCol w:w="109"/>
        <w:gridCol w:w="109"/>
        <w:gridCol w:w="642"/>
        <w:gridCol w:w="642"/>
        <w:gridCol w:w="644"/>
        <w:gridCol w:w="109"/>
        <w:gridCol w:w="109"/>
        <w:gridCol w:w="109"/>
        <w:gridCol w:w="399"/>
        <w:gridCol w:w="399"/>
        <w:gridCol w:w="572"/>
      </w:tblGrid>
      <w:tr>
        <w:trPr/>
        <w:tc>
          <w:tcPr>
            <w:tcW w:w="853"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23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Officer or Director Name and 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Plan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Shares to be sold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Expiration</w:t>
            </w:r>
          </w:p>
        </w:tc>
      </w:tr>
      <w:tr>
        <w:trPr/>
        <w:tc>
          <w:tcPr>
            <w:tcW w:w="23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Sean Kiewiet,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Strategy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Adopted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Rule 10b5-1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11,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31, 2026</w:t>
            </w:r>
          </w:p>
        </w:tc>
      </w:tr>
      <w:tr>
        <w:trPr/>
        <w:tc>
          <w:tcPr>
            <w:tcW w:w="2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r>
      <w:tr>
        <w:trPr/>
        <w:tc>
          <w:tcPr>
            <w:tcW w:w="2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r>
      <w:tr>
        <w:trPr/>
        <w:tc>
          <w:tcPr>
            <w:tcW w:w="2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6. Exhibits </w:t>
      </w:r>
    </w:p>
    <w:tbl>
      <w:tblPr>
        <w:tblW w:w="10205" w:type="dxa"/>
        <w:jc w:val="center"/>
        <w:tblInd w:w="0" w:type="dxa"/>
        <w:tblLayout w:type="fixed"/>
        <w:tblCellMar>
          <w:top w:w="28" w:type="dxa"/>
          <w:left w:w="28" w:type="dxa"/>
          <w:bottom w:w="28" w:type="dxa"/>
          <w:right w:w="28" w:type="dxa"/>
        </w:tblCellMar>
      </w:tblPr>
      <w:tblGrid>
        <w:gridCol w:w="273"/>
        <w:gridCol w:w="240"/>
        <w:gridCol w:w="241"/>
        <w:gridCol w:w="109"/>
        <w:gridCol w:w="109"/>
        <w:gridCol w:w="109"/>
        <w:gridCol w:w="2746"/>
        <w:gridCol w:w="2631"/>
        <w:gridCol w:w="3747"/>
      </w:tblGrid>
      <w:tr>
        <w:trPr/>
        <w:tc>
          <w:tcPr>
            <w:tcW w:w="27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c>
          <w:tcPr>
            <w:tcW w:w="2631" w:type="dxa"/>
            <w:tcBorders/>
            <w:vAlign w:val="center"/>
          </w:tcPr>
          <w:p>
            <w:pPr>
              <w:pStyle w:val="TableContents"/>
              <w:bidi w:val="0"/>
              <w:spacing w:before="0" w:after="283"/>
              <w:jc w:val="left"/>
              <w:rPr>
                <w:sz w:val="4"/>
                <w:szCs w:val="4"/>
              </w:rPr>
            </w:pPr>
            <w:r>
              <w:rPr>
                <w:sz w:val="4"/>
                <w:szCs w:val="4"/>
              </w:rPr>
            </w:r>
          </w:p>
        </w:tc>
        <w:tc>
          <w:tcPr>
            <w:tcW w:w="3747" w:type="dxa"/>
            <w:tcBorders/>
            <w:vAlign w:val="center"/>
          </w:tcPr>
          <w:p>
            <w:pPr>
              <w:pStyle w:val="TableContents"/>
              <w:bidi w:val="0"/>
              <w:spacing w:before="0" w:after="283"/>
              <w:jc w:val="left"/>
              <w:rPr>
                <w:sz w:val="4"/>
                <w:szCs w:val="4"/>
              </w:rPr>
            </w:pPr>
            <w:r>
              <w:rPr>
                <w:sz w:val="4"/>
                <w:szCs w:val="4"/>
              </w:rPr>
            </w:r>
          </w:p>
        </w:tc>
      </w:tr>
      <w:tr>
        <w:trPr/>
        <w:tc>
          <w:tcPr>
            <w:tcW w:w="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Exhibit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Description</w:t>
            </w:r>
          </w:p>
        </w:tc>
      </w:tr>
      <w:tr>
        <w:trPr/>
        <w:tc>
          <w:tcPr>
            <w:tcW w:w="7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erif" w:hAnsi="Times New Roman;serif"/>
                  <w:b w:val="false"/>
                  <w:color w:val="0000FF"/>
                  <w:sz w:val="20"/>
                </w:rPr>
                <w:t>2.1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erif" w:hAnsi="Times New Roman;serif"/>
                  <w:b w:val="false"/>
                  <w:color w:val="0000FF"/>
                  <w:sz w:val="20"/>
                </w:rPr>
                <w:t>Second Amended and Restated Contribution Agreement, dated as of April 17, 2018, by and among Priority Investment Holdings, Priority Incentive Equity Holdings, LLC and M I Acquisitions, Inc. (incorporated by reference to Annex A to the Company's Proxy Statement on Schedule 14(a), filed July 5, 2018).</w:t>
              </w:r>
            </w:hyperlink>
          </w:p>
        </w:tc>
      </w:tr>
      <w:tr>
        <w:trPr/>
        <w:tc>
          <w:tcPr>
            <w:tcW w:w="7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erif" w:hAnsi="Times New Roman;serif"/>
                  <w:b w:val="false"/>
                  <w:color w:val="0000FF"/>
                  <w:sz w:val="20"/>
                </w:rPr>
                <w:t>2.2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rPr>
                <w:t>Agreement and Plan of Merger, dated as of March 5, 2021, by and among the Company, Finxera, Merger Sub, and the Equityholder Representative.</w:t>
              </w:r>
            </w:hyperlink>
          </w:p>
        </w:tc>
      </w:tr>
      <w:tr>
        <w:trPr/>
        <w:tc>
          <w:tcPr>
            <w:tcW w:w="7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7">
              <w:r>
                <w:rPr>
                  <w:rStyle w:val="InternetLink"/>
                  <w:rFonts w:ascii="Times New Roman;serif" w:hAnsi="Times New Roman;serif"/>
                  <w:b w:val="false"/>
                  <w:color w:val="0000FF"/>
                  <w:sz w:val="20"/>
                </w:rPr>
                <w:t>2.3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8">
              <w:r>
                <w:rPr>
                  <w:rStyle w:val="InternetLink"/>
                  <w:rFonts w:ascii="Times New Roman;serif" w:hAnsi="Times New Roman;serif"/>
                  <w:b w:val="false"/>
                  <w:color w:val="0000FF"/>
                  <w:sz w:val="20"/>
                </w:rPr>
                <w:t>Certificate of Amendment to the Certificate of Incorporation of Priority Technology Holdings dated April 16, 2021, filed April 29, 2021</w:t>
              </w:r>
            </w:hyperlink>
          </w:p>
        </w:tc>
      </w:tr>
      <w:tr>
        <w:trPr/>
        <w:tc>
          <w:tcPr>
            <w:tcW w:w="7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9">
              <w:r>
                <w:rPr>
                  <w:rStyle w:val="InternetLink"/>
                  <w:rFonts w:ascii="Times New Roman;serif" w:hAnsi="Times New Roman;serif"/>
                  <w:b w:val="false"/>
                  <w:color w:val="0000FF"/>
                  <w:sz w:val="20"/>
                </w:rPr>
                <w:t>3.1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0">
              <w:r>
                <w:rPr>
                  <w:rStyle w:val="InternetLink"/>
                  <w:rFonts w:ascii="Times New Roman;serif" w:hAnsi="Times New Roman;serif"/>
                  <w:b w:val="false"/>
                  <w:color w:val="0000FF"/>
                  <w:sz w:val="20"/>
                </w:rPr>
                <w:t>Second Amended and Restated Certificate of Incorporation of Priority Technology Holdings, Inc. (incorporated by reference to Exhibit 3.1 to the Company's Current Report on Form 8-K, filed July 31, 2018).</w:t>
              </w:r>
            </w:hyperlink>
          </w:p>
        </w:tc>
      </w:tr>
      <w:tr>
        <w:trPr/>
        <w:tc>
          <w:tcPr>
            <w:tcW w:w="7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1">
              <w:r>
                <w:rPr>
                  <w:rStyle w:val="InternetLink"/>
                  <w:rFonts w:ascii="Times New Roman;serif" w:hAnsi="Times New Roman;serif"/>
                  <w:b w:val="false"/>
                  <w:color w:val="0000FF"/>
                  <w:sz w:val="20"/>
                </w:rPr>
                <w:t>3.2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2">
              <w:r>
                <w:rPr>
                  <w:rStyle w:val="InternetLink"/>
                  <w:rFonts w:ascii="Times New Roman;serif" w:hAnsi="Times New Roman;serif"/>
                  <w:b w:val="false"/>
                  <w:color w:val="0000FF"/>
                  <w:sz w:val="20"/>
                </w:rPr>
                <w:t>Amended and Restated Bylaws of Priority Technology Holdings, Inc. (incorporated by reference to Exhibit 3.2 to the Company's Current Report on Form 8-K, filed July 31, 2018).</w:t>
              </w:r>
            </w:hyperlink>
          </w:p>
        </w:tc>
      </w:tr>
      <w:tr>
        <w:trPr/>
        <w:tc>
          <w:tcPr>
            <w:tcW w:w="7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3">
              <w:r>
                <w:rPr>
                  <w:rStyle w:val="InternetLink"/>
                  <w:rFonts w:ascii="Times New Roman;serif" w:hAnsi="Times New Roman;serif"/>
                  <w:b w:val="false"/>
                  <w:color w:val="0000FF"/>
                  <w:sz w:val="20"/>
                </w:rPr>
                <w:t>10.1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4">
              <w:r>
                <w:rPr>
                  <w:rStyle w:val="InternetLink"/>
                  <w:rFonts w:ascii="Times New Roman;serif" w:hAnsi="Times New Roman;serif"/>
                  <w:b w:val="false"/>
                  <w:color w:val="0000FF"/>
                  <w:sz w:val="20"/>
                </w:rPr>
                <w:t>Registration Rights Agreement dated as of July 25, 2018 by and among M I Acquisitions, Inc. and the other parties thereto (incorporated by reference to Exhibit 10.1 to the Company's Current Report on Form 8-K, filed July 31, 2018).</w:t>
              </w:r>
            </w:hyperlink>
          </w:p>
        </w:tc>
      </w:tr>
      <w:tr>
        <w:trPr/>
        <w:tc>
          <w:tcPr>
            <w:tcW w:w="7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5">
              <w:r>
                <w:rPr>
                  <w:rStyle w:val="InternetLink"/>
                  <w:rFonts w:ascii="Times New Roman;serif" w:hAnsi="Times New Roman;serif"/>
                  <w:b w:val="false"/>
                  <w:color w:val="0000FF"/>
                  <w:sz w:val="20"/>
                </w:rPr>
                <w:t>10.2</w:t>
              </w:r>
            </w:hyperlink>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6">
              <w:r>
                <w:rPr>
                  <w:rStyle w:val="InternetLink"/>
                  <w:rFonts w:ascii="Times New Roman;serif" w:hAnsi="Times New Roman;serif"/>
                  <w:b w:val="false"/>
                  <w:color w:val="0000FF"/>
                  <w:sz w:val="20"/>
                </w:rPr>
                <w:t>Priority Technology Holdings, Inc. 2018 Equity Incentive Plan (incorporated by reference to Exhibit 10.2 to the Company's Current Report on Form 8-K, filed July 31, 2018).</w:t>
              </w:r>
            </w:hyperlink>
          </w:p>
        </w:tc>
      </w:tr>
      <w:tr>
        <w:trPr/>
        <w:tc>
          <w:tcPr>
            <w:tcW w:w="7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7">
              <w:r>
                <w:rPr>
                  <w:rStyle w:val="InternetLink"/>
                  <w:rFonts w:ascii="Times New Roman;serif" w:hAnsi="Times New Roman;serif"/>
                  <w:b w:val="false"/>
                  <w:color w:val="0000FF"/>
                  <w:sz w:val="20"/>
                </w:rPr>
                <w:t>10.2.1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8">
              <w:r>
                <w:rPr>
                  <w:rStyle w:val="InternetLink"/>
                  <w:rFonts w:ascii="Times New Roman;serif" w:hAnsi="Times New Roman;serif"/>
                  <w:b w:val="false"/>
                  <w:color w:val="0000FF"/>
                  <w:sz w:val="20"/>
                </w:rPr>
                <w:t xml:space="preserve">Amendment No. 1 to Priority Technology Holdings, Inc. 2018 Equity Incentive Plan (incorporated by reference to the Company's Form DEF14A, filed April 12, 2022). </w:t>
              </w:r>
            </w:hyperlink>
          </w:p>
        </w:tc>
      </w:tr>
      <w:tr>
        <w:trPr/>
        <w:tc>
          <w:tcPr>
            <w:tcW w:w="7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9">
              <w:r>
                <w:rPr>
                  <w:rStyle w:val="InternetLink"/>
                  <w:rFonts w:ascii="Times New Roman;serif" w:hAnsi="Times New Roman;serif"/>
                  <w:b w:val="false"/>
                  <w:color w:val="0000FF"/>
                  <w:sz w:val="20"/>
                </w:rPr>
                <w:t>10.2.2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0">
              <w:r>
                <w:rPr>
                  <w:rStyle w:val="InternetLink"/>
                  <w:rFonts w:ascii="Times New Roman;serif" w:hAnsi="Times New Roman;serif"/>
                  <w:b w:val="false"/>
                  <w:color w:val="000080"/>
                  <w:sz w:val="20"/>
                </w:rPr>
                <w:t>A</w:t>
              </w:r>
            </w:hyperlink>
            <w:hyperlink r:id="rId21">
              <w:r>
                <w:rPr>
                  <w:rStyle w:val="InternetLink"/>
                  <w:rFonts w:ascii="Times New Roman;serif" w:hAnsi="Times New Roman;serif"/>
                  <w:b w:val="false"/>
                  <w:color w:val="000080"/>
                  <w:sz w:val="20"/>
                </w:rPr>
                <w:t>mendment No. 2 to Priority Technology Holdings, Inc. 2018 Equity Incentive Plan (incorporated by reference to the Company's Form DEF1</w:t>
              </w:r>
            </w:hyperlink>
            <w:hyperlink r:id="rId22">
              <w:r>
                <w:rPr>
                  <w:rStyle w:val="InternetLink"/>
                  <w:rFonts w:ascii="Times New Roman;serif" w:hAnsi="Times New Roman;serif"/>
                  <w:b w:val="false"/>
                  <w:color w:val="000080"/>
                  <w:sz w:val="20"/>
                </w:rPr>
                <w:t>4A</w:t>
              </w:r>
            </w:hyperlink>
            <w:hyperlink r:id="rId23">
              <w:r>
                <w:rPr>
                  <w:rStyle w:val="InternetLink"/>
                  <w:rFonts w:ascii="Times New Roman;serif" w:hAnsi="Times New Roman;serif"/>
                  <w:b w:val="false"/>
                  <w:color w:val="000080"/>
                  <w:sz w:val="20"/>
                </w:rPr>
                <w:t>, filed April 28, 2026</w:t>
              </w:r>
            </w:hyperlink>
            <w:hyperlink r:id="rId24">
              <w:r>
                <w:rPr>
                  <w:rStyle w:val="InternetLink"/>
                  <w:rFonts w:ascii="Times New Roman;serif" w:hAnsi="Times New Roman;serif"/>
                  <w:b w:val="false"/>
                  <w:color w:val="000080"/>
                  <w:sz w:val="20"/>
                </w:rPr>
                <w:t xml:space="preserve">). </w:t>
              </w:r>
            </w:hyperlink>
          </w:p>
        </w:tc>
      </w:tr>
      <w:tr>
        <w:trPr/>
        <w:tc>
          <w:tcPr>
            <w:tcW w:w="7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25">
              <w:r>
                <w:rPr>
                  <w:rStyle w:val="InternetLink"/>
                  <w:rFonts w:ascii="Times New Roman;serif" w:hAnsi="Times New Roman;serif"/>
                  <w:b w:val="false"/>
                  <w:color w:val="0000FF"/>
                  <w:sz w:val="20"/>
                </w:rPr>
                <w:t>10.3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26">
              <w:r>
                <w:rPr>
                  <w:rStyle w:val="InternetLink"/>
                  <w:rFonts w:ascii="Times New Roman;serif" w:hAnsi="Times New Roman;serif"/>
                  <w:b w:val="false"/>
                  <w:color w:val="0000FF"/>
                  <w:sz w:val="20"/>
                </w:rPr>
                <w:t xml:space="preserve">Priority Technology Holdings, Inc. 2021 Employee Stock Purchase Plan </w:t>
              </w:r>
            </w:hyperlink>
          </w:p>
        </w:tc>
      </w:tr>
      <w:tr>
        <w:trPr/>
        <w:tc>
          <w:tcPr>
            <w:tcW w:w="7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7">
              <w:r>
                <w:rPr>
                  <w:rStyle w:val="InternetLink"/>
                  <w:rFonts w:ascii="Times New Roman;serif" w:hAnsi="Times New Roman;serif"/>
                  <w:b w:val="false"/>
                  <w:color w:val="0000FF"/>
                  <w:sz w:val="20"/>
                </w:rPr>
                <w:t>10.3.1</w:t>
              </w:r>
            </w:hyperlink>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8">
              <w:r>
                <w:rPr>
                  <w:rStyle w:val="InternetLink"/>
                  <w:rFonts w:ascii="Times New Roman;serif" w:hAnsi="Times New Roman;serif"/>
                  <w:b w:val="false"/>
                  <w:color w:val="0000FF"/>
                  <w:sz w:val="20"/>
                </w:rPr>
                <w:t>Amendment No. 1 to Priority Technology Holdings, Inc. 2021 Employee Stock Purchase Plan</w:t>
              </w:r>
            </w:hyperlink>
          </w:p>
        </w:tc>
      </w:tr>
      <w:tr>
        <w:trPr/>
        <w:tc>
          <w:tcPr>
            <w:tcW w:w="7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29">
              <w:r>
                <w:rPr>
                  <w:rStyle w:val="InternetLink"/>
                  <w:rFonts w:ascii="Times New Roman;serif" w:hAnsi="Times New Roman;serif"/>
                  <w:b w:val="false"/>
                  <w:color w:val="0000FF"/>
                  <w:sz w:val="20"/>
                </w:rPr>
                <w:t>10.3.2</w:t>
              </w:r>
            </w:hyperlink>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30">
              <w:r>
                <w:rPr>
                  <w:rStyle w:val="InternetLink"/>
                  <w:rFonts w:ascii="Times New Roman;serif" w:hAnsi="Times New Roman;serif"/>
                  <w:b w:val="false"/>
                  <w:color w:val="0000FF"/>
                  <w:sz w:val="20"/>
                </w:rPr>
                <w:t>Amendment No. 2 to Priority Technology Holdings, Inc. 2021 Employee Stock Purchase Plan</w:t>
              </w:r>
            </w:hyperlink>
          </w:p>
        </w:tc>
      </w:tr>
      <w:tr>
        <w:trPr/>
        <w:tc>
          <w:tcPr>
            <w:tcW w:w="7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1">
              <w:r>
                <w:rPr>
                  <w:rStyle w:val="InternetLink"/>
                  <w:rFonts w:ascii="Times New Roman;serif" w:hAnsi="Times New Roman;serif"/>
                  <w:b w:val="false"/>
                  <w:color w:val="0000FF"/>
                  <w:sz w:val="20"/>
                </w:rPr>
                <w:t>10.4</w:t>
              </w:r>
            </w:hyperlink>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2">
              <w:r>
                <w:rPr>
                  <w:rStyle w:val="InternetLink"/>
                  <w:rFonts w:ascii="Times New Roman;serif" w:hAnsi="Times New Roman;serif"/>
                  <w:b w:val="false"/>
                  <w:color w:val="0000FF"/>
                  <w:sz w:val="20"/>
                </w:rPr>
                <w:t>Director Agreement by and among Priority Holdings LLC, Pipeline Cynergy Holdings, LLC, Priority Payment Systems Holdings, LLC and Thomas C. Priore, dated May 21, 2014 (incorporated by reference to Exhibit 10.6 to the Company's Registration Statement on Form S-4/A, filed December 26, 2018).</w:t>
              </w:r>
            </w:hyperlink>
          </w:p>
        </w:tc>
      </w:tr>
      <w:tr>
        <w:trPr/>
        <w:tc>
          <w:tcPr>
            <w:tcW w:w="7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33">
              <w:r>
                <w:rPr>
                  <w:rStyle w:val="InternetLink"/>
                  <w:rFonts w:ascii="Times New Roman;serif" w:hAnsi="Times New Roman;serif"/>
                  <w:b w:val="false"/>
                  <w:color w:val="0000FF"/>
                  <w:sz w:val="20"/>
                </w:rPr>
                <w:t>10.5</w:t>
              </w:r>
            </w:hyperlink>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34">
              <w:r>
                <w:rPr>
                  <w:rStyle w:val="InternetLink"/>
                  <w:rFonts w:ascii="Times New Roman;serif" w:hAnsi="Times New Roman;serif"/>
                  <w:b w:val="false"/>
                  <w:color w:val="0000FF"/>
                  <w:sz w:val="20"/>
                </w:rPr>
                <w:t>Amendment No. 1 to Director Agreement by and among Priority Holdings LLC, Pipeline Cynergy Holdings, LLC, Priority Payment Systems Holdings, LLC and Thomas C. Priore, dated April 19, 2018 (incorporated by reference to Exhibit 10.7 to the Company's Registration Statement on Form S-4/A, filed December 26, 2018).</w:t>
              </w:r>
            </w:hyperlink>
          </w:p>
        </w:tc>
      </w:tr>
      <w:tr>
        <w:trPr/>
        <w:tc>
          <w:tcPr>
            <w:tcW w:w="7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5">
              <w:r>
                <w:rPr>
                  <w:rStyle w:val="InternetLink"/>
                  <w:rFonts w:ascii="Times New Roman;serif" w:hAnsi="Times New Roman;serif"/>
                  <w:b w:val="false"/>
                  <w:color w:val="0000FF"/>
                  <w:sz w:val="20"/>
                </w:rPr>
                <w:t>10.6</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6">
              <w:r>
                <w:rPr>
                  <w:rStyle w:val="InternetLink"/>
                  <w:rFonts w:ascii="Times New Roman;serif" w:hAnsi="Times New Roman;serif"/>
                  <w:b w:val="false"/>
                  <w:color w:val="0000FF"/>
                  <w:sz w:val="20"/>
                </w:rPr>
                <w:t>Form of Independent Director Agreement (incorporated by reference to Exhibit 10.19 to the Company's Annual Report on Form 10-K, filed March 29, 2019).</w:t>
              </w:r>
            </w:hyperlink>
          </w:p>
        </w:tc>
      </w:tr>
      <w:tr>
        <w:trPr/>
        <w:tc>
          <w:tcPr>
            <w:tcW w:w="7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37">
              <w:r>
                <w:rPr>
                  <w:rStyle w:val="InternetLink"/>
                  <w:rFonts w:ascii="Times New Roman;serif" w:hAnsi="Times New Roman;serif"/>
                  <w:b w:val="false"/>
                  <w:color w:val="0000FF"/>
                  <w:sz w:val="20"/>
                </w:rPr>
                <w:t>10.7</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38">
              <w:r>
                <w:rPr>
                  <w:rStyle w:val="InternetLink"/>
                  <w:rFonts w:ascii="Times New Roman;serif" w:hAnsi="Times New Roman;serif"/>
                  <w:b w:val="false"/>
                  <w:color w:val="0000FF"/>
                  <w:sz w:val="20"/>
                </w:rPr>
                <w:t>Asset Purchase Agreement by and between MRI Payments LLC, MRI Software LLC, and Priority Real Estate Technology LLC, dated August 31, 2020 (incorporated by reference to Exhibit 10.1 to the Company's Current Report on Form 8-K filed September 1, 2020).</w:t>
              </w:r>
            </w:hyperlink>
          </w:p>
        </w:tc>
      </w:tr>
      <w:tr>
        <w:trPr/>
        <w:tc>
          <w:tcPr>
            <w:tcW w:w="7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9">
              <w:r>
                <w:rPr>
                  <w:rStyle w:val="InternetLink"/>
                  <w:rFonts w:ascii="Times New Roman;serif" w:hAnsi="Times New Roman;serif"/>
                  <w:b w:val="false"/>
                  <w:color w:val="0000FF"/>
                  <w:sz w:val="20"/>
                </w:rPr>
                <w:t>10.17</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40">
              <w:r>
                <w:rPr>
                  <w:rStyle w:val="InternetLink"/>
                  <w:rFonts w:ascii="Times New Roman;serif" w:hAnsi="Times New Roman;serif"/>
                  <w:b w:val="false"/>
                  <w:color w:val="0000FF"/>
                  <w:sz w:val="20"/>
                </w:rPr>
                <w:t>Form Restricted Stock Unit Award Agreement.</w:t>
              </w:r>
            </w:hyperlink>
          </w:p>
        </w:tc>
      </w:tr>
      <w:tr>
        <w:trPr/>
        <w:tc>
          <w:tcPr>
            <w:tcW w:w="7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41">
              <w:r>
                <w:rPr>
                  <w:rStyle w:val="InternetLink"/>
                  <w:rFonts w:ascii="Times New Roman;serif" w:hAnsi="Times New Roman;serif"/>
                  <w:b w:val="false"/>
                  <w:color w:val="0000FF"/>
                  <w:sz w:val="20"/>
                </w:rPr>
                <w:t>10.18</w:t>
              </w:r>
            </w:hyperlink>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42">
              <w:r>
                <w:rPr>
                  <w:rStyle w:val="InternetLink"/>
                  <w:rFonts w:ascii="Times New Roman;serif" w:hAnsi="Times New Roman;serif"/>
                  <w:b w:val="false"/>
                  <w:color w:val="0000FF"/>
                  <w:sz w:val="20"/>
                </w:rPr>
                <w:t>Executive Employment Agreement between Priority Technology Holdings, Inc. and Tim O'Leary, dated September 19, 2022.</w:t>
              </w:r>
            </w:hyperlink>
          </w:p>
        </w:tc>
      </w:tr>
      <w:tr>
        <w:trPr/>
        <w:tc>
          <w:tcPr>
            <w:tcW w:w="7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43">
              <w:r>
                <w:rPr>
                  <w:rStyle w:val="InternetLink"/>
                  <w:rFonts w:ascii="Times New Roman;serif" w:hAnsi="Times New Roman;serif"/>
                  <w:b w:val="false"/>
                  <w:color w:val="0000FF"/>
                  <w:sz w:val="20"/>
                </w:rPr>
                <w:t>10.19</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44">
              <w:r>
                <w:rPr>
                  <w:rStyle w:val="InternetLink"/>
                  <w:rFonts w:ascii="Times New Roman;serif" w:hAnsi="Times New Roman;serif"/>
                  <w:b w:val="false"/>
                  <w:color w:val="0000FF"/>
                  <w:sz w:val="20"/>
                </w:rPr>
                <w:t>Priority Technology Holdings, Inc. Recoupment Policy adopted March 1, 2023</w:t>
              </w:r>
            </w:hyperlink>
          </w:p>
        </w:tc>
      </w:tr>
      <w:tr>
        <w:trPr/>
        <w:tc>
          <w:tcPr>
            <w:tcW w:w="7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45">
              <w:r>
                <w:rPr>
                  <w:rStyle w:val="InternetLink"/>
                  <w:rFonts w:ascii="Times New Roman;serif" w:hAnsi="Times New Roman;serif"/>
                  <w:b w:val="false"/>
                  <w:color w:val="0000FF"/>
                  <w:sz w:val="20"/>
                </w:rPr>
                <w:t>10.20</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6">
              <w:r>
                <w:rPr>
                  <w:rStyle w:val="InternetLink"/>
                  <w:rFonts w:ascii="Times New Roman;serif" w:hAnsi="Times New Roman;serif"/>
                  <w:b w:val="false"/>
                  <w:color w:val="0000FF"/>
                  <w:sz w:val="20"/>
                </w:rPr>
                <w:t>Amendment No. 1 to Equity and Asset Purchase Agreement, dated July 31, 2023, by and among Plastiq, Powered by Priority, LLC, Plastiq Inc., PLV Inc. and Nearside Business Corp.</w:t>
              </w:r>
            </w:hyperlink>
          </w:p>
        </w:tc>
      </w:tr>
      <w:tr>
        <w:trPr/>
        <w:tc>
          <w:tcPr>
            <w:tcW w:w="7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hibit1024seankiewiet10.htm">
              <w:r>
                <w:rPr>
                  <w:rStyle w:val="InternetLink"/>
                  <w:rFonts w:ascii="Times New Roman;serif" w:hAnsi="Times New Roman;serif"/>
                  <w:b w:val="false"/>
                  <w:color w:val="0000FF"/>
                  <w:sz w:val="20"/>
                </w:rPr>
                <w:t>10.24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hibit1024seankiewiet10.htm">
              <w:r>
                <w:rPr>
                  <w:rStyle w:val="InternetLink"/>
                  <w:rFonts w:ascii="Times New Roman;serif" w:hAnsi="Times New Roman;serif"/>
                  <w:b w:val="false"/>
                  <w:color w:val="0000FF"/>
                  <w:sz w:val="20"/>
                </w:rPr>
                <w:t>Rule 10b5-1 Sales Plan, dated March 11, 2025, by and between Sean Kiewiet and J.P. Morgan Securities LLC.</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240"/>
        <w:jc w:val="left"/>
        <w:rPr/>
      </w:pPr>
      <w:r>
        <w:rPr/>
      </w:r>
    </w:p>
    <w:tbl>
      <w:tblPr>
        <w:tblW w:w="10205" w:type="dxa"/>
        <w:jc w:val="center"/>
        <w:tblInd w:w="0" w:type="dxa"/>
        <w:tblLayout w:type="fixed"/>
        <w:tblCellMar>
          <w:top w:w="28" w:type="dxa"/>
          <w:left w:w="28" w:type="dxa"/>
          <w:bottom w:w="28" w:type="dxa"/>
          <w:right w:w="28" w:type="dxa"/>
        </w:tblCellMar>
      </w:tblPr>
      <w:tblGrid>
        <w:gridCol w:w="240"/>
        <w:gridCol w:w="211"/>
        <w:gridCol w:w="213"/>
        <w:gridCol w:w="109"/>
        <w:gridCol w:w="109"/>
        <w:gridCol w:w="109"/>
        <w:gridCol w:w="2732"/>
        <w:gridCol w:w="2683"/>
        <w:gridCol w:w="3799"/>
      </w:tblGrid>
      <w:tr>
        <w:trPr/>
        <w:tc>
          <w:tcPr>
            <w:tcW w:w="2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2" w:type="dxa"/>
            <w:tcBorders/>
            <w:vAlign w:val="center"/>
          </w:tcPr>
          <w:p>
            <w:pPr>
              <w:pStyle w:val="TableContents"/>
              <w:bidi w:val="0"/>
              <w:spacing w:before="0" w:after="283"/>
              <w:jc w:val="left"/>
              <w:rPr>
                <w:sz w:val="4"/>
                <w:szCs w:val="4"/>
              </w:rPr>
            </w:pPr>
            <w:r>
              <w:rPr>
                <w:sz w:val="4"/>
                <w:szCs w:val="4"/>
              </w:rPr>
            </w:r>
          </w:p>
        </w:tc>
        <w:tc>
          <w:tcPr>
            <w:tcW w:w="2683" w:type="dxa"/>
            <w:tcBorders/>
            <w:vAlign w:val="center"/>
          </w:tcPr>
          <w:p>
            <w:pPr>
              <w:pStyle w:val="TableContents"/>
              <w:bidi w:val="0"/>
              <w:spacing w:before="0" w:after="283"/>
              <w:jc w:val="left"/>
              <w:rPr>
                <w:sz w:val="4"/>
                <w:szCs w:val="4"/>
              </w:rPr>
            </w:pPr>
            <w:r>
              <w:rPr>
                <w:sz w:val="4"/>
                <w:szCs w:val="4"/>
              </w:rPr>
            </w:r>
          </w:p>
        </w:tc>
        <w:tc>
          <w:tcPr>
            <w:tcW w:w="3799" w:type="dxa"/>
            <w:tcBorders/>
            <w:vAlign w:val="center"/>
          </w:tcPr>
          <w:p>
            <w:pPr>
              <w:pStyle w:val="TableContents"/>
              <w:bidi w:val="0"/>
              <w:spacing w:before="0" w:after="283"/>
              <w:jc w:val="left"/>
              <w:rPr>
                <w:sz w:val="4"/>
                <w:szCs w:val="4"/>
              </w:rPr>
            </w:pPr>
            <w:r>
              <w:rPr>
                <w:sz w:val="4"/>
                <w:szCs w:val="4"/>
              </w:rPr>
            </w:r>
          </w:p>
        </w:tc>
      </w:tr>
      <w:tr>
        <w:trPr/>
        <w:tc>
          <w:tcPr>
            <w:tcW w:w="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47">
              <w:r>
                <w:rPr>
                  <w:rStyle w:val="InternetLink"/>
                  <w:rFonts w:ascii="Times New Roman;serif" w:hAnsi="Times New Roman;serif"/>
                  <w:b w:val="false"/>
                  <w:color w:val="0000FF"/>
                  <w:sz w:val="20"/>
                </w:rPr>
                <w:t>10.25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48">
              <w:r>
                <w:rPr>
                  <w:rStyle w:val="InternetLink"/>
                  <w:rFonts w:ascii="Times New Roman;serif" w:hAnsi="Times New Roman;serif"/>
                  <w:b w:val="false"/>
                  <w:color w:val="0000FF"/>
                  <w:sz w:val="20"/>
                </w:rPr>
                <w:t>Credit and Guaranty Agreement, dated as of May 16, 2024, by and among Priority Holdings, LLC, as the Initial Borrower, the Credit Parties party thereto, the Lenders party thereto and Truist Bank, as Administrative Agent and Collateral Agent.</w:t>
              </w:r>
            </w:hyperlink>
          </w:p>
        </w:tc>
      </w:tr>
      <w:tr>
        <w:trPr/>
        <w:tc>
          <w:tcPr>
            <w:tcW w:w="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49">
              <w:r>
                <w:rPr>
                  <w:rStyle w:val="InternetLink"/>
                  <w:rFonts w:ascii="Times New Roman;serif" w:hAnsi="Times New Roman;serif"/>
                  <w:b w:val="false"/>
                  <w:color w:val="0000FF"/>
                  <w:sz w:val="20"/>
                </w:rPr>
                <w:t>10.26</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50">
              <w:r>
                <w:rPr>
                  <w:rStyle w:val="InternetLink"/>
                  <w:rFonts w:ascii="Times New Roman;serif" w:hAnsi="Times New Roman;serif"/>
                  <w:b w:val="false"/>
                  <w:color w:val="0000FF"/>
                  <w:sz w:val="20"/>
                </w:rPr>
                <w:t>Amendment No. 1 to the Credit and Guaranty Agreement, dated as of November 21, 2024, by and among Priority Holdings, LLC, as the Initial Borrower, the Credit Parties party thereto, the 2024-1 Incremental Term Lenders and Truist Bank, as Administrative Agent and Collateral Agent.</w:t>
              </w:r>
            </w:hyperlink>
          </w:p>
        </w:tc>
      </w:tr>
      <w:tr>
        <w:trPr/>
        <w:tc>
          <w:tcPr>
            <w:tcW w:w="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exhibit1027letuspurchase.htm">
              <w:r>
                <w:rPr>
                  <w:rStyle w:val="InternetLink"/>
                  <w:rFonts w:ascii="Times New Roman;serif" w:hAnsi="Times New Roman;serif"/>
                  <w:b w:val="false"/>
                  <w:color w:val="0000FF"/>
                  <w:sz w:val="20"/>
                </w:rPr>
                <w:t>10.27</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exhibit1027letuspurchase.htm">
              <w:r>
                <w:rPr>
                  <w:rStyle w:val="InternetLink"/>
                  <w:rFonts w:ascii="Times New Roman;serif" w:hAnsi="Times New Roman;serif"/>
                  <w:b w:val="false"/>
                  <w:color w:val="0000FF"/>
                  <w:sz w:val="20"/>
                </w:rPr>
                <w:t>Share Purchase Agreement by and between Ayrshire Developments Corp., Priority Canada Acquisition Company, Inc., and Priority Technology Holdings, Inc., dated January 21, 2025.</w:t>
              </w:r>
            </w:hyperlink>
          </w:p>
        </w:tc>
      </w:tr>
      <w:tr>
        <w:trPr/>
        <w:tc>
          <w:tcPr>
            <w:tcW w:w="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51">
              <w:r>
                <w:rPr>
                  <w:rStyle w:val="InternetLink"/>
                  <w:rFonts w:ascii="Times New Roman;serif" w:hAnsi="Times New Roman;serif"/>
                  <w:b w:val="false"/>
                  <w:color w:val="0000FF"/>
                  <w:sz w:val="20"/>
                </w:rPr>
                <w:t>10.28</w:t>
              </w:r>
            </w:hyperlink>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52">
              <w:r>
                <w:rPr>
                  <w:rStyle w:val="InternetLink"/>
                  <w:rFonts w:ascii="Times New Roman;serif" w:hAnsi="Times New Roman;serif"/>
                  <w:b w:val="false"/>
                  <w:color w:val="0000FF"/>
                  <w:sz w:val="20"/>
                </w:rPr>
                <w:t>Amendment No. 2 to the Credit and Guaranty Agreement, dated as of July 31, 2025, by and among Priority Holdings, LLC, as the Borrower Representative, the Credit Parties party thereto, each of the Lenders party thereto, each 2025-1 Converting Lender party thereto, each 2025-1 Incremental Revolving Credit Lender party thereto, each New 2025-1 Refinancing Term Lender party thereto and Truist Bank, as administrative agent and collateral agent, as the Designated 2025 Fronting Lender and as the 2025-1 Incremental Term Lender.</w:t>
              </w:r>
            </w:hyperlink>
          </w:p>
        </w:tc>
      </w:tr>
      <w:tr>
        <w:trPr/>
        <w:tc>
          <w:tcPr>
            <w:tcW w:w="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53">
              <w:r>
                <w:rPr>
                  <w:rStyle w:val="InternetLink"/>
                  <w:rFonts w:ascii="Times New Roman;serif" w:hAnsi="Times New Roman;serif"/>
                  <w:b w:val="false"/>
                  <w:color w:val="0000FF"/>
                  <w:sz w:val="20"/>
                </w:rPr>
                <w:t>10.29</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54">
              <w:r>
                <w:rPr>
                  <w:rStyle w:val="InternetLink"/>
                  <w:rFonts w:ascii="Times New Roman;serif" w:hAnsi="Times New Roman;serif"/>
                  <w:b w:val="false"/>
                  <w:color w:val="0000FF"/>
                  <w:sz w:val="20"/>
                </w:rPr>
                <w:t>Credit Agreement, dated as of August 18, 2025, by and among Priority Finance SPV, LLC, as Borrower, Priority Residual Finance, LLC, as Holdings, Priority Holdings, LLC, as Servicer, the Lenders party thereto and VP Capital, L.P., as Administrative Agent and Collateral Agent.</w:t>
              </w:r>
            </w:hyperlink>
          </w:p>
        </w:tc>
      </w:tr>
      <w:tr>
        <w:trPr/>
        <w:tc>
          <w:tcPr>
            <w:tcW w:w="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55">
              <w:r>
                <w:rPr>
                  <w:rStyle w:val="InternetLink"/>
                  <w:rFonts w:ascii="Times New Roman;serif" w:hAnsi="Times New Roman;serif"/>
                  <w:b w:val="false"/>
                  <w:color w:val="0000FF"/>
                  <w:sz w:val="20"/>
                </w:rPr>
                <w:t>10.30</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56">
              <w:r>
                <w:rPr>
                  <w:rStyle w:val="InternetLink"/>
                  <w:rFonts w:ascii="Times New Roman;serif" w:hAnsi="Times New Roman;serif"/>
                  <w:b w:val="false"/>
                  <w:color w:val="0000FF"/>
                  <w:sz w:val="20"/>
                </w:rPr>
                <w:t>Sale Agreement, dated as of August 18, 2025, by and among Priority Holdings, LLC, as Priority Originator and Servicer, Priority Payment Systems LLC, as PPS Originator and Priority Finance SPV, LLC.</w:t>
              </w:r>
            </w:hyperlink>
          </w:p>
        </w:tc>
      </w:tr>
      <w:tr>
        <w:trPr/>
        <w:tc>
          <w:tcPr>
            <w:tcW w:w="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57">
              <w:r>
                <w:rPr>
                  <w:rStyle w:val="InternetLink"/>
                  <w:rFonts w:ascii="Times New Roman;serif" w:hAnsi="Times New Roman;serif"/>
                  <w:b w:val="false"/>
                  <w:color w:val="0000FF"/>
                  <w:sz w:val="20"/>
                </w:rPr>
                <w:t>10.31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58">
              <w:r>
                <w:rPr>
                  <w:rStyle w:val="InternetLink"/>
                  <w:rFonts w:ascii="Times New Roman;serif" w:hAnsi="Times New Roman;serif"/>
                  <w:b w:val="false"/>
                  <w:color w:val="0000FF"/>
                  <w:sz w:val="20"/>
                </w:rPr>
                <w:t>Servicing Agreement, dated as of August 18, 2025, by and between Priority Finance SPV, LLC, as Borrower and Priority Holdings, LLC, as Servicer.</w:t>
              </w:r>
            </w:hyperlink>
          </w:p>
        </w:tc>
      </w:tr>
      <w:tr>
        <w:trPr/>
        <w:tc>
          <w:tcPr>
            <w:tcW w:w="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59">
              <w:r>
                <w:rPr>
                  <w:rStyle w:val="InternetLink"/>
                  <w:rFonts w:ascii="Times New Roman;serif" w:hAnsi="Times New Roman;serif"/>
                  <w:b w:val="false"/>
                  <w:color w:val="0000FF"/>
                  <w:sz w:val="20"/>
                </w:rPr>
                <w:t>10.32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60">
              <w:r>
                <w:rPr>
                  <w:rStyle w:val="InternetLink"/>
                  <w:rFonts w:ascii="Times New Roman;serif" w:hAnsi="Times New Roman;serif"/>
                  <w:b w:val="false"/>
                  <w:color w:val="0000FF"/>
                  <w:sz w:val="20"/>
                </w:rPr>
                <w:t>Asset Purchase Agreement, dated as of August 18, 2025, by and between Priority Boom, LLC as buyer and Eventus Holdings, LLC, Riverside Management, LLC, and National Payment Systems, LLC, as sellers.</w:t>
              </w:r>
            </w:hyperlink>
          </w:p>
        </w:tc>
      </w:tr>
      <w:tr>
        <w:trPr/>
        <w:tc>
          <w:tcPr>
            <w:tcW w:w="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61">
              <w:r>
                <w:rPr>
                  <w:rStyle w:val="InternetLink"/>
                  <w:rFonts w:ascii="Times New Roman;serif" w:hAnsi="Times New Roman;serif"/>
                  <w:b w:val="false"/>
                  <w:color w:val="0000FF"/>
                  <w:sz w:val="20"/>
                </w:rPr>
                <w:t>10.33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62">
              <w:r>
                <w:rPr>
                  <w:rStyle w:val="InternetLink"/>
                  <w:rFonts w:ascii="Times New Roman;serif" w:hAnsi="Times New Roman;serif"/>
                  <w:b w:val="false"/>
                  <w:color w:val="0000FF"/>
                  <w:sz w:val="20"/>
                </w:rPr>
                <w:t>Asset Purchase Agreement, dated October 1, 2025, by and between Priority DMS, LLC as buyer and DMSJV, LLC as seller.</w:t>
              </w:r>
            </w:hyperlink>
          </w:p>
        </w:tc>
      </w:tr>
      <w:tr>
        <w:trPr/>
        <w:tc>
          <w:tcPr>
            <w:tcW w:w="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63">
              <w:r>
                <w:rPr>
                  <w:rStyle w:val="InternetLink"/>
                  <w:rFonts w:ascii="Times New Roman;serif" w:hAnsi="Times New Roman;serif"/>
                  <w:b w:val="false"/>
                  <w:color w:val="0000FF"/>
                  <w:sz w:val="20"/>
                </w:rPr>
                <w:t>10.34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64">
              <w:r>
                <w:rPr>
                  <w:rStyle w:val="InternetLink"/>
                  <w:rFonts w:ascii="Times New Roman;serif" w:hAnsi="Times New Roman;serif"/>
                  <w:b w:val="false"/>
                  <w:color w:val="0000FF"/>
                  <w:sz w:val="20"/>
                </w:rPr>
                <w:t xml:space="preserve">Amendment No. 3 to the Credit and Guaranty Agreement, dated as of October 1, 2025, by and among Priority Holdings, LLC, as the sole Borrower Representative under the Credit Agreement, the other Credit Parties thereto, the 2025-2 Incremental Term Lender and Truist Bank, as Administrative Agent and Collateral Agent. </w:t>
              </w:r>
            </w:hyperlink>
          </w:p>
        </w:tc>
      </w:tr>
      <w:tr>
        <w:trPr/>
        <w:tc>
          <w:tcPr>
            <w:tcW w:w="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65">
              <w:r>
                <w:rPr>
                  <w:rStyle w:val="InternetLink"/>
                  <w:rFonts w:ascii="Times New Roman;serif" w:hAnsi="Times New Roman;serif"/>
                  <w:b w:val="false"/>
                  <w:color w:val="0000FF"/>
                  <w:sz w:val="20"/>
                </w:rPr>
                <w:t xml:space="preserve">21.1 </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66">
              <w:r>
                <w:rPr>
                  <w:rStyle w:val="InternetLink"/>
                  <w:rFonts w:ascii="Times New Roman;serif" w:hAnsi="Times New Roman;serif"/>
                  <w:b w:val="false"/>
                  <w:color w:val="0000FF"/>
                  <w:sz w:val="20"/>
                </w:rPr>
                <w:t>Subsidiaries</w:t>
              </w:r>
            </w:hyperlink>
          </w:p>
        </w:tc>
      </w:tr>
      <w:tr>
        <w:trPr/>
        <w:tc>
          <w:tcPr>
            <w:tcW w:w="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311prioritytechnologyq22.htm">
              <w:r>
                <w:rPr>
                  <w:rStyle w:val="InternetLink"/>
                  <w:rFonts w:ascii="Times New Roman;serif" w:hAnsi="Times New Roman;serif"/>
                  <w:b w:val="false"/>
                  <w:color w:val="0000FF"/>
                  <w:sz w:val="20"/>
                </w:rPr>
                <w:t>31.1</w:t>
              </w:r>
            </w:hyperlink>
            <w:r>
              <w:rPr>
                <w:color w:val="000000"/>
              </w:rPr>
              <w:t xml:space="preserve"> </w:t>
            </w: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311prioritytechnologyq22.htm">
              <w:r>
                <w:rPr>
                  <w:rStyle w:val="InternetLink"/>
                  <w:rFonts w:ascii="Times New Roman;serif" w:hAnsi="Times New Roman;serif"/>
                  <w:b w:val="false"/>
                  <w:color w:val="0000FF"/>
                  <w:sz w:val="20"/>
                </w:rPr>
                <w:t>Certification of Chief Executive Officer pursuant to Rule 13a-14 and Rule 15d-14(a), promulgated under the Securities and Exchange Act of 1934, as amended.</w:t>
              </w:r>
            </w:hyperlink>
          </w:p>
        </w:tc>
      </w:tr>
      <w:tr>
        <w:trPr/>
        <w:tc>
          <w:tcPr>
            <w:tcW w:w="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ex312prioritytechnologyq22.htm">
              <w:r>
                <w:rPr>
                  <w:rStyle w:val="InternetLink"/>
                  <w:rFonts w:ascii="Times New Roman;serif" w:hAnsi="Times New Roman;serif"/>
                  <w:b w:val="false"/>
                  <w:color w:val="0000FF"/>
                  <w:sz w:val="20"/>
                </w:rPr>
                <w:t>31.2 *</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ex312prioritytechnologyq22.htm">
              <w:r>
                <w:rPr>
                  <w:rStyle w:val="InternetLink"/>
                  <w:rFonts w:ascii="Times New Roman;serif" w:hAnsi="Times New Roman;serif"/>
                  <w:b w:val="false"/>
                  <w:color w:val="0000FF"/>
                  <w:sz w:val="20"/>
                </w:rPr>
                <w:t>Certification of Chief Financial Officer pursuant to Rule 13a-14 and Rule 15d-14(a), promulgated under the Securities and Exchange Act of 1934, as amended.</w:t>
              </w:r>
            </w:hyperlink>
          </w:p>
        </w:tc>
      </w:tr>
      <w:tr>
        <w:trPr/>
        <w:tc>
          <w:tcPr>
            <w:tcW w:w="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32prioritytechnologyq220.htm">
              <w:r>
                <w:rPr>
                  <w:rStyle w:val="InternetLink"/>
                  <w:rFonts w:ascii="Times New Roman;serif" w:hAnsi="Times New Roman;serif"/>
                  <w:b w:val="false"/>
                  <w:color w:val="0000FF"/>
                  <w:sz w:val="20"/>
                </w:rPr>
                <w:t>32 **</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32prioritytechnologyq220.htm">
              <w:r>
                <w:rPr>
                  <w:rStyle w:val="InternetLink"/>
                  <w:rFonts w:ascii="Times New Roman;serif" w:hAnsi="Times New Roman;serif"/>
                  <w:b w:val="false"/>
                  <w:color w:val="0000FF"/>
                  <w:sz w:val="20"/>
                </w:rPr>
                <w:t>Certification of Chief Executive Officer and Chief Financial Officer pursuant to 18 U.S.C. Section 1350, as adopted pursuant to Section 906 of the Sarbanes-Oxley Act of 2002.</w:t>
              </w:r>
            </w:hyperlink>
          </w:p>
        </w:tc>
      </w:tr>
      <w:tr>
        <w:trPr/>
        <w:tc>
          <w:tcPr>
            <w:tcW w:w="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101.INS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r>
      <w:tr>
        <w:trPr/>
        <w:tc>
          <w:tcPr>
            <w:tcW w:w="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101.SCH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r>
      <w:tr>
        <w:trPr/>
        <w:tc>
          <w:tcPr>
            <w:tcW w:w="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101.CAL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r>
      <w:tr>
        <w:trPr/>
        <w:tc>
          <w:tcPr>
            <w:tcW w:w="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101.LAB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r>
      <w:tr>
        <w:trPr/>
        <w:tc>
          <w:tcPr>
            <w:tcW w:w="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101.PRE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r>
      <w:tr>
        <w:trPr/>
        <w:tc>
          <w:tcPr>
            <w:tcW w:w="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101.DEF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r>
      <w:tr>
        <w:trPr/>
        <w:tc>
          <w:tcPr>
            <w:tcW w:w="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Furnished herewith.</w:t>
      </w:r>
    </w:p>
    <w:p>
      <w:pPr>
        <w:pStyle w:val="TextBody"/>
        <w:bidi w:val="0"/>
        <w:spacing w:lineRule="auto" w:line="288" w:before="0" w:after="240"/>
        <w:jc w:val="both"/>
        <w:rPr/>
      </w:pPr>
      <w:r>
        <w:rPr>
          <w:color w:val="000000"/>
        </w:rPr>
        <w:t xml:space="preserve">† </w:t>
      </w:r>
      <w:r>
        <w:rPr>
          <w:rFonts w:ascii="Times New Roman;serif" w:hAnsi="Times New Roman;serif"/>
          <w:b w:val="false"/>
          <w:color w:val="000000"/>
          <w:sz w:val="20"/>
        </w:rPr>
        <w:t>Indicates exhibits that constitute management contracts or compensation plans or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240"/>
        <w:jc w:val="left"/>
        <w:rPr/>
      </w:pPr>
      <w:r>
        <w:rPr/>
      </w:r>
    </w:p>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240"/>
        <w:jc w:val="center"/>
        <w:rPr>
          <w:color w:val="000000"/>
        </w:rPr>
      </w:pPr>
      <w:r>
        <w:rPr>
          <w:color w:val="000000"/>
        </w:rPr>
        <w:t>                        </w:t>
      </w:r>
      <w:r>
        <w:rPr>
          <w:rFonts w:ascii="Times New Roman;serif" w:hAnsi="Times New Roman;serif"/>
          <w:b w:val="false"/>
          <w:color w:val="000000"/>
          <w:sz w:val="20"/>
        </w:rPr>
        <w:t>PRIORITY TECHNOLOGY HOLDINGS, INC.</w:t>
      </w:r>
    </w:p>
    <w:tbl>
      <w:tblPr>
        <w:tblW w:w="5520" w:type="dxa"/>
        <w:jc w:val="center"/>
        <w:tblInd w:w="0" w:type="dxa"/>
        <w:tblLayout w:type="fixed"/>
        <w:tblCellMar>
          <w:top w:w="28" w:type="dxa"/>
          <w:left w:w="28" w:type="dxa"/>
          <w:bottom w:w="28" w:type="dxa"/>
          <w:right w:w="28" w:type="dxa"/>
        </w:tblCellMar>
      </w:tblPr>
      <w:tblGrid>
        <w:gridCol w:w="493"/>
        <w:gridCol w:w="435"/>
        <w:gridCol w:w="437"/>
        <w:gridCol w:w="1216"/>
        <w:gridCol w:w="1216"/>
        <w:gridCol w:w="1723"/>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41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Thomas C. Priore</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Thomas C. Priore</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President, Chief Executive Officer and Chairman</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41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Timothy M. O'Leary</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Timothy M. O'Leary</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240"/>
        <w:jc w:val="center"/>
        <w:rPr/>
      </w:pPr>
      <w:r>
        <w:rPr/>
      </w:r>
    </w:p>
    <w:p>
      <w:pPr>
        <w:pStyle w:val="TextBody"/>
        <w:bidi w:val="0"/>
        <w:spacing w:before="0" w:after="240"/>
        <w:jc w:val="both"/>
        <w:rPr/>
      </w:pPr>
      <w:r>
        <w:rPr/>
      </w:r>
    </w:p>
    <w:p>
      <w:pPr>
        <w:pStyle w:val="TextBody"/>
        <w:bidi w:val="0"/>
        <w:spacing w:before="0" w:after="0"/>
        <w:jc w:val="center"/>
        <w:rPr/>
      </w:pPr>
      <w:bookmarkStart w:id="1" w:name="exhibit1024seankiewiet10.htm"/>
      <w:bookmarkStart w:id="2" w:name="ksexhibit1024seankiewiet10"/>
      <w:bookmarkEnd w:id="1"/>
      <w:bookmarkEnd w:id="2"/>
      <w:r>
        <w:rPr/>
        <w:drawing>
          <wp:inline distT="0" distB="0" distL="0" distR="0">
            <wp:extent cx="10048875" cy="13001625"/>
            <wp:effectExtent l="0" t="0" r="0" b="0"/>
            <wp:docPr id="5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46685"/>
                <wp:effectExtent l="0" t="0" r="0" b="0"/>
                <wp:wrapNone/>
                <wp:docPr id="51"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jc w:val="center"/>
        <w:rPr>
          <w:color w:val="FFFFFF"/>
          <w:sz w:val="2"/>
        </w:rPr>
      </w:pPr>
      <w:r>
        <w:rPr>
          <w:color w:val="FFFFFF"/>
          <w:sz w:val="2"/>
        </w:rPr>
        <w:t xml:space="preserve">1 Sales Plan Sales Plan, adopted _____________ (the “Sales Plan”, and such date the “Adoption Date”), between Sean Kiewiet (“Seller”) and J.P. Morgan Securities LLC (“JPMS”). The purpose of this Sales Plan is to achieve the investment objectives of broader diversification of investments, while reducing the risk of over concentration in a particular investment. RECITALS WHEREAS, the Seller desires to establish this Sales Plan to sell common shares (the “Stock”) of Priority Technology Holdings, Inc. (the “Issuer”); and WHEREAS, the Seller desires to sell shares of Stock pursuant to this Sales Plan in a total amount equal to “Total Plan Shares” as set forth in Schedule A; and WHEREAS, the Seller desires to engage JPMS to effect sales of shares of Stock in accordance with the Sales Plan; NOW, THEREFORE, the Seller and JPMS hereby agree as follows: A. IMPLEMENTATION OF THE SALES PLAN 1. JPMS shall effect sales (each a “Sale”) of shares of Stock only on days on which the Nasdaq Capital Market (the “Exchange”) is open and the Stock trades regular way on the Exchange (“Trading Day”), pursuant to the specific instructions specified on Schedule A. 2. Seller acknowledges and agrees that JPMS will handle the above order on a best efforts basis. In the event any limit prices of orders are away from the prevailing market prices at any time, there can be no assurance that such orders will be executed in whole or in part. Seller agrees that all orders may be partially executed and will not be treated as an all or none order. JPMS may effect sales of Stock which may coincide with sales of Stock by other accounts held with JPMS including, but not limited to, sales made pursuant to other sales plans with JPMS. In such instances, JPMS will make allocations in a manner believed by JPMS to be equitable to each client. JPMS may aggregate sales of Stock under the Sales Plan with sales of the Stock by other JPMS accounts. 3. Seller agrees to deposit the Total Plan Shares into the JPMorgan Chase Bank, N.A. Asset Custody Account or JPMS Margin Brokerage Account (“Account”). JPMS reserves the right to suspend or cancel this Sales Plan prior to the first Sale if the shares of Stock have not been deposited into an Account for any reason. JPMS shall withdraw Stock from the Seller’s Account in order to effect sales of Stock under this Sales Plan. If on any day that sales are to be made under this Sales Plan the number of shares of Stock in the Seller’s Account is less than the number of shares to be sold on such day, then Docusign Envelope ID: 7C29FE4C-E5A8-4A42-A4B7-E34C09D1BB46 03/11/25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3"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JPMS shall notify Seller promptly of such deficiency, and Seller agrees to promptly deposit into the Account the number of shares of Stock necessary to eliminate such deficiency. 4. Seller agrees not to remove or transfer shares of Stock out of the Account in any manner that would cause an alteration of, or deviation from, the terms of this Sales Plan. 5. To the extent that any Stock remains in the Seller’s Account upon termination of this Sales Plan, JPMS agrees to return any such Stock for which JPMS had restrictions removed for the purpose of this Sales Plan promptly to the Issuer’s transfer agent for relegending to the extent that such Stock would then be subject to transfer restrictions in the hands of the Seller. 6. JPMS will deduct its reasonable and customary commissions from the proceeds of sales of Stock under this Sales Plan, together with any other expenses incurred by JPMS in connection with such sales. 7. The Total Plan Shares, the shares to be sold on a particular day, and the limit prices, shall be adjusted automatically on a proportionate basis to take into account any stock split, reverse stock split or stock dividend with respect to the Stock or any change in capitalization with respect to the Issuer that occurs during the term of this Sales Plan. 8. Subject to Paragraph F.6, sales will commence under this Sales Plan on the Sales Commencement Date, as defined in Schedule A, and shall terminate on the earlier of (a) the close of business on the Sales End Date, as defined in Schedule A; (b) the date on which the Total Plan Shares have been sold; (c) the date this Sales Plan is terminated pursuant to Section E; (d) the date on which the unit of JPMS responsible for executing sales of Stock pursuant to this Sales Plan receives notice or otherwise becomes aware of (i) the closing of a tender or exchange offer with respect to the Stock or of a merger, acquisition, reorganization, recapitalization or comparable transaction affecting the securities of the Issuer as a result of which the Stock is to be exchanged or converted into shares of another company or for other consideration; (ii) if Seller is a natural person, the death or mental incapacity of the Seller; or (iii) the commencement or impending commencement of any proceedings in respect of or triggered by Seller’s bankruptcy or insolvency. Notwithstanding the above, this Sales Plan shall not be considered effective, but instead shall be considered null and void, if at least one of the accounts referenced in A.3 above has not been established in the name of Seller and open for the receipt of Stock by the Sales Commencement Date. Seller understands that such an account cannot be opened until JPMS, and its affiliates have performed customer due diligence and customer identification in accordance with internal policies and procedures and relevant federal laws including, but not limited to, the Bank Secrecy Act as amended by the USA PATRIOT Act and the regulations promulgated thereunder. Seller understands that there may be significant time delays during this process and that an account may not be open for the receipt of Stock by the Sales Commencement Date. Docusign Envelope ID: 7C29FE4C-E5A8-4A42-A4B7-E34C09D1BB46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9. Seller acknowledges and agrees that Seller does not have authority, influence, or control over any sales of Stock effected by JPMS pursuant to this Sales Plan, and will not attempt to exercise any authority, influence or control over such sales. JPMS agrees not to seek advice from Seller with respect to the manner in which it effects sales under this Sales Plan. JPMS shall execute the trades in such a way as to attempt to minimize the negative price impact on the market and to attempt to maximize the prices obtained for the shares sold. JPMS may use its discretion in how to work the order to attempt to achieve the best execution above the minimum price per share, but at no time will the Seller communicate to JPMS any instructions on how to execute the order. 10. Seller will be notified of all transactions pursuant to customary trade confirmations that are provided in the normal course of business. In addition, JPMS will use reasonable efforts to notify both the Issuer and the Seller via email of each transaction pursuant to this Sales Plan no later than one Trading Day after the trading date of such transaction. Such notifications shall be sent to the distribution list as indicated in Schedule A, or such other persons as Issuer may direct in writing from time to time. 11. Seller understands that JPMS may not be able to effect a sale due to a market disruption or a legal, regulatory or contractual restriction applicable to JPMS, an insufficient number of shares of Stock being in the Account, JPMS having received written confirmation from the Issuer that the Issuer has not complied with the reporting requirements of Section 13 or 15(d) of the Securities Exchange Act of 1934 (the “Exchange Act”) that are a condition to complying with Rule 144 or 145 under the Securities Act of 1933 (the “Securities Act”), or a pending sale under this Sales Plan causing Seller to exceed any applicable volume limitations of Rule 144 or 145 under the Securities Act. If any sale cannot be executed as required by Paragraph A.1 due to: (a) Issuer not complying with the reporting requirements of Section 13 or 15(d) of the Exchange Act that are a condition to complying with Rule 144 or 145 under the Securities Act, JPMS will carry over any unsold shares to be sold in whole or in increments pursuant to the terms of Schedule A as and when the Issuer has provided written confirmation to JPMS that the Issuer is currently compliant with such reporting requirements; (b) the applicable volume limitations of Rule 144 or 145 under the Securities Act, then JPMS will recalculate the volume limitations on a weekly basis and carry over any unsold shares to be sold in whole or in increments pursuant to the terms of Schedule A as and when the volume limitations permit; or (c) a market disruption, a legal, regulatory or contractual restriction applicable to JPMS or any other such event, such sale shall be cancelled and shall not be effected pursuant to this Sales Plan, and, notwithstanding any language to the contrary herein, there shall be no carryover associated with such cancelled sale other than as set forth in Schedule A. 12. It is the intent of the parties that this Sales Plan comply with the requirements of Rule 10b5-1(c)(1) under the Exchange Act and this Sales Plan shall be interpreted to comply with the requirements of Rule 10b5-1(c). Docusign Envelope ID: 7C29FE4C-E5A8-4A42-A4B7-E34C09D1BB46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13. In the event that it is necessary for JPMS to borrow or purchase shares of Stock in order to complete any sale on behalf of Seller pursuant to this Sales Plan, Seller authorizes JPMS to borrow or purchase such shares and agrees to be responsible for any expense or loss which JPMS may sustain relating to such borrowing or purchase, including any expense or loss JPMS may sustain as a result of its inability to borrow or purchase shares of Stock to complete its delivery obligation. B. RULES 144 AND 145 The following four paragraphs shall only apply to Sellers who are subject to Rules 144 and 145. 1. JPMS agrees to conduct all sales in accordance with the manner of sale requirement of Rule 144 or 145 under the Securities Act, and in no event shall JPMS effect any such sale if such sale would exceed the then applicable volume limitation under Rule 144, assuming JPMS’s sales under this Sales Plan and those notified to JPMS pursuant to Paragraph B.4 are the only sales subject to that limitation. JPMS will be responsible for completing and filing Form 144 on behalf of the Seller using (the information described in Paragraph B.3 below. Seller understands and agrees that JPMS shall make Form 144 filings as necessary to comply with Rule 144, the frequency of which will be at the discretion of JPMS after the initial filing is made no later than the date on which the first order to sell Stock is executed hereunder. 2. Each such Form 144 shall state that the sales thereunder are being made pursuant to a previously adopted plan intended to comply with Rule 10b5-1(c), shall include the date the Seller adopted this Sales Plan and shall indicate that the representation regarding the Seller’s knowledge of material information speaks as of the adoption date of this Sales Plan. 3. Seller confirms that at or prior to adopting this Sales Plan, Seller has provided JPMS with a signed Delegation and Grant of Authority form or similar written agreement with regard to Form 144 filings, and all information therein remains fully accurate and complete (including, for the avoidance of doubt, the agreements, representations, warranties, U.S. Securities and Exchange Commission central index key (CIK) and CIK confirmation code (CCC) contained therein. Seller further confirms to JPMS that the information contained in this Sales Plan (including, without limitation, the information in Schedules A and B) is fully accurate and complete for purposes of Form 144 filings and authorizes JPMS to include such information in such filing(s) on the undersigned’s behalf. 4. Seller agrees not to take any action that would cause the sales not to comply with Rule 144 or 145, and Seller agrees not to cause any person or entity with which Seller would be required to aggregate sales of Stock pursuant to paragraph (a)(2) or (e) of Rule 144 to take any action that would cause the sales not to comply with Rules 144 or 145. Seller will (a) promptly following the date hereof, provide notice to JPMS of any such transactions during the three months preceding the date hereof and (b) from the date Docusign Envelope ID: 7C29FE4C-E5A8-4A42-A4B7-E34C09D1BB46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6"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hereof until the expiration of this Sales Plan pursuant to Paragraph A.8 above, provide prompt notice to JPMS of Seller’s entry into any other selling program or transaction in Stock. Seller further agrees that JPMS, without independent inquiry, may reasonably (c) rely on Seller’s notices pursuant to this Paragraph B.4, and (d) conclude in the absence of such notices that the Seller has entered into no such transactions or outside selling programs. C. REPRESENTATIONS AND AGREEMENTS OF SELLER 1. Seller represents and warrants that as of the time of execution of, and entering into, this Sales Plan: (a) to the best of Seller’s knowledge there is no blackout period (as defined in 17 C.F.R. Section 245.100(b), a “Blackout Period”) in effect for Issuer, (b) the Seller is not aware of any material, nonpublic information with respect to the Issuer or any securities of the Issuer (including the Stock) or of the actual or approximate beginning or ending dates of a Blackout Period for Issuer, and (c) the Seller is entering into this Sales Plan, and the transactions contemplated herein, in good faith and not as part of a plan or scheme to evade the prohibitions of any applicable laws or regulations, such as Rule 10b5-1 under the Exchange Act. Seller further agrees to act in good faith with regard to this Sales Plan, including without limitation any suspension, termination and/or amendment. For the avoidance of doubt, to the extent Seller is a director or officer of Issuer (as defined in Rule 16a-1(f) under the Exchange Act, and regardless of whether Issuer is otherwise subject to Section 16 of the Exchange Act and the rules thereunder), Seller’s representations in clauses (b) and (c) of this Paragraph C.1 are intended as “certifying” representations for purposes of Rule 10b5-1(c)(1)(ii)(C) under the Exchange Act. 2. At the time of Seller’s execution of this Sales Plan, Seller has not (a) entered into or altered a corresponding or hedging transaction with respect to the Total Plan Shares, or (b) entered into or given any additional contract, instruction, or plan that would qualify for the affirmative defense under Rule 10b5-1(c)(1) under the Exchange Act. While this Sales Plan remains in effect, Seller agrees (c) not to enter into any such transaction described in clause (a); and (d) not to enter into or give any additional contract, instruction or plan described in clause (b) without the prior consent of JPMS. JPMS will require certain representations from Seller and acknowledgement of Issuer as a condition to granting such consent. 3. Seller agrees to make all filings, if any, required under and monitor Seller’s own compliance with Sections 13(d), 13(g) and 16 of the Exchange Act. 4. Except as provided in Paragraph B.1, Seller acknowledges and agrees that JPMS has no duty to (a) determine whether Seller has violated Rules 144 or 145 under the Securities Act, Sections 13(d), 13(g) or 16 of the Exchange Act or the rules adopted by the SEC thereunder, or any other laws or regulations applicable to the Seller in connection with this Sales Plan; or (b) ascertain or advise on any reporting or disclosure requirements that may apply to Issuer (including, without limitation, the obligations contained in the U.S. Securities and Exchange Commission’s December 2022 rulemaking Docusign Envelope ID: 7C29FE4C-E5A8-4A42-A4B7-E34C09D1BB46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7"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regarding Rule 10b5-1 under the Exchange Act and related matters (publicly available at 87 Federal Register 80362 (Dec. 29, 2022)). Seller understands that this Sales Plan in no way alters Seller’s obligations and responsibilities under Section 16, including those prohibitions against short swing profits. 5. Seller understands that the laws and regulations of U.S. states or non-United States jurisdictions (collectively, “State or Foreign Regulation”) may impose further restrictions or limitations on sales of shares of Stock by or on behalf of Seller. State or Foreign Regulation may include, without limitation, the European Union Market Abuse Regulation (Regulation (EU) No 596/2014 of the European Parliament and of the Council of 16 April 2014). Seller acknowledges and agrees that JPMS has no duty to determine whether any State or Foreign Regulation would impose restrictions or limitations on this Sales Plan. Seller understands that this Sales Plan in no way alters Seller’s obligations and responsibilities, or the obligations and responsibilities of the Issuer, under State or Foreign Regulation. For the avoidance of doubt, references in this Sales Plan to applicable laws, regulations and legal/regulatory restrictions shall be construed to include any applicable State and Foreign Regulation. 6. Seller acknowledges and agrees that JPMS has not provided Seller with any tax, accounting or legal advice. Seller understands that Seller should seek the advice of counsel regarding this Sales Plan and the various securities and tax law issues related thereto. 7. Seller agrees to notify JPMS immediately in the event of trading restrictions being imposed as the result of any applicable regulatory prohibition or lock up event restricting sales by or on behalf of affiliates, such as a stock offering or tender offer. 8. Seller represents and warrants that Seller is able to sell shares of Stock, as contemplated by this Sales Plan, in accordance with the Issuer’s insider trading policies and Seller has obtained the acknowledgement of the Issuer to enter into this Sales Plan. Seller further represents and warrants that the Stock is not subject to any liens, security interests or other impediments to transfer (except for limitations imposed by Rules 144 or 145, if applicable). 9. To the extent this Sales Plan constitutes a contract, instruction or plan described in Rule 10b5-1(c)(1)(ii)(E) (a “Single-Trade Plan”), Seller represents and warrants that it has not entered into, and will not enter into, another Single-Trade Plan within 12 months before or after the Adoption Date of this Sales Plan. D. INDEMNIFICATION AND LIMITATION ON LIABILITY 1. Seller agrees to indemnify and hold harmless JPMS and its directors, officers, employees and affiliates from and against all claims, losses, damages and liabilities (including without limitation, any legal or other expenses reasonably incurred in connection with defending or investigating any such action or claim) arising out of or attributable to JPMS’s actions taken or not taken in compliance with this Sales Plan or Docusign Envelope ID: 7C29FE4C-E5A8-4A42-A4B7-E34C09D1BB46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8"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arising out of or attributable to any breach by Seller of this Sales Plan (including Seller’s representations and warranties hereunder) or any violation by Seller of applicable laws or regulations. This indemnification shall survive termination of this Sales Plan. Notwithstanding the foregoing, Seller shall have no indemnification obligation to the extent any claims, losses, damages, or liabilities are due to the gross negligence, recklessness or willful misconduct of JPMS or any other indemnified person. 2. Notwithstanding any other provision hereof, JPMS shall not be liable to Seller for: (a) special, indirect, punitive, exemplary or consequential damages, or incidental losses or damages of any kind, even if advised of the possibility of such losses or damages or if such losses or damages could have been reasonably foreseen; or (b) any failure to perform or to cease performance or any delay in performance that results from a cause or circumstance that is beyond its reasonable control, including but not limited to failure of electronic or mechanical equipment, strikes, failure of common carrier or utility systems, severe weather, market disruptions or other causes commonly known as “acts of God”. E. SUSPENSION, TERMINATION AND AMENDMENT 1. This Sales Plan may be (a) suspended or terminated by Issuer at any time upon one Trading Day prior written notice or (b) terminated by Seller at any time upon one Trading Day prior written notice; provided however that JPMS may in its sole discretion decide to suspend or terminate on the same Trading Day that written notice is provided, if JPMS deems such action practicable. Any such suspension or termination shall be made in good faith and not as a part of a plan or scheme to evade the prohibitions of Rule 10b5-1 or other applicable securities laws. JPMS will require certain representations from Seller and acknowledgement of Issuer as a condition to such suspension or termination. 2. This Sales Plan shall be suspended, or at JPMS’s option, terminated, if JPMS receives notice, whether pursuant to Paragraph C.7 or otherwise, of (a) the occurrence of any legal, contractual or regulatory restriction applicable to Seller or its affiliates, including without limitation, any restriction related to a merger or acquisition, or (b) a stock offering requiring an affiliate lock-up, that would prohibit sales pursuant to this Sales Plan, or (c) if the Stock has been delisted from the Exchange, or becomes subject to the delisting procedure from the Exchange. 3. Seller may amend or modify the economic trading parameters of this Sales Plan (such as the number, size, price and timing of orders) only upon the written consent of JPMS. Any such amendment or modification shall be made in good faith and not as a part of a plan or scheme to evade the prohibitions of Rule 10b5-1 or other applicable securities laws. Seller agrees that Seller will not amend or modify this Sales Plan at any time: (a) that a Blackout Period is in effect for Issuer or (b) that Seller is aware of any material non-public information about the Issuer and/or the Stock or of the actual or approximate beginning or ending dates of a Blackout Period for Issuer. JPMS will Docusign Envelope ID: 7C29FE4C-E5A8-4A42-A4B7-E34C09D1BB46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9" descr=""/>
                    <pic:cNvPicPr>
                      <a:picLocks noChangeAspect="1" noChangeArrowheads="1"/>
                    </pic:cNvPicPr>
                  </pic:nvPicPr>
                  <pic:blipFill>
                    <a:blip r:embed="rId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require certain representations from Seller and acknowledgement of Issuer as a condition to such amendment or modification. F. GENERAL 1. This Sales Plan shall be governed by and construed in accordance with the laws of the State of New York without reference to choice of law principles. Except for modifications or amendments governed by Paragraph E.3, this Sales Plan may be modified or amended only by a writing signed by the parties hereto and acknowledged by the Issuer. 2. This Sales Plan shall be subject to all terms and conditions governing the Seller’s Account, including the General Terms for Accounts and Services, the Asset Account Agreement and the JPMS Brokerage Agreement, including such provisions dealing with binding arbitration and waiving the right to litigate. This Sales Plan, together with the terms and conditions referenced in the preceding sentence, as well as any amendments or modifications made pursuant to this Sales Plan and those terms and conditions, represent the complete agreement between the parties on these subjects. 3. For the avoidance of doubt, to the extent this Sales Plan requires Seller to comply with the internal policies or procedures of the Issuer, Seller acknowledges and agrees that JPMS may rely solely on Seller’s execution of this Sales Plan and has no duty to inquire independently as to Seller’s compliance with such Issuer policies or procedures. 4. All notices to JPMS under this Sales Plan shall be given to JPMS by email: jpm_10b5-1@jpmchase.com. 5. Seller’s rights and obligations under this Sales Plan may not be assigned or delegated without the written permission of JPMS. 6. This Sales Plan shall not be effective until executed by Seller and JPMS and acknowledged by Issuer. This Sales Plan may be signed in any number of counterparts, each of which shall be an original, with the same effect as if the signatures thereto were upon the same instrument. Docusign Envelope ID: 7C29FE4C-E5A8-4A42-A4B7-E34C09D1BB46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10" descr=""/>
                    <pic:cNvPicPr>
                      <a:picLocks noChangeAspect="1" noChangeArrowheads="1"/>
                    </pic:cNvPicPr>
                  </pic:nvPicPr>
                  <pic:blipFill>
                    <a:blip r:embed="rId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Signature(s): By: _____________________________ ____________ Name: Sean Kiewiet Date J.P. Morgan Securities LLC Signature: By: _____________________________ ____________ Name: Richelle Mackiewicz Date Title: Managing Director Acknowledged: Priority Technology Holdings, Inc. By: _____________________________ ____________ Name: Brad Miller Date Title: General Counsel and Chief Risk Officer Docusign Envelope ID: 7C29FE4C-E5A8-4A42-A4B7-E34C09D1BB46 03/11/25 03/11/25 03/11/25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0"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11" descr=""/>
                    <pic:cNvPicPr>
                      <a:picLocks noChangeAspect="1" noChangeArrowheads="1"/>
                    </pic:cNvPicPr>
                  </pic:nvPicPr>
                  <pic:blipFill>
                    <a:blip r:embed="rId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Schedule A Issuer: Priority Technology Holdings, Inc. Ticker: PRTH Seller: Sean Kiewiet Seller’s Affiliation Status (check all that apply): ____X__Affiliate under Rule 144 ____X__Insider under Section 16 of the Exchange Act1; ____X__Officer _______Director _______Large Shareholder (i.e. 10%+) _______Not an affiliate under Rule 144, but subject to Issuer’s trading windows _ Other Sales End Date: August 31, 2026 Distribution List: (i) sean@kiewiet.family (ii) laura.pfiester@prth.com (iii) brad.miller@prth.com (iv) d'angelo.charlton@prth.com On the first Trading Day of each Trading Period* as defined in the table below, JPMS will place an order(s) to sell shares of Priority Technology Holdings, Inc. in the amounts and with the limit prices also shown in the table below. Sales executed at a price higher than the Limit Price for multiple open Orders on a given Trading Day shall first be allocated to the open Order with the lowest Limit Price, and then to the open order with the next-lowest Limit Price, and so on. Each order will be good through the last Trading Day of the defined Trading Period. Docusign Envelope ID: 7C29FE4C-E5A8-4A42-A4B7-E34C09D1BB46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1"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12" descr=""/>
                    <pic:cNvPicPr>
                      <a:picLocks noChangeAspect="1" noChangeArrowheads="1"/>
                    </pic:cNvPicPr>
                  </pic:nvPicPr>
                  <pic:blipFill>
                    <a:blip r:embed="rId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Trading Period # Order # Trading Period* # of Shares to Sell Limit Price Entry Date End Date 1* 1 06/16/2025 (“Sales Commencement Date”) 08/31/2026 10,000 $10.00 1* 2 06/16/2025 08/31/2026 10,000 $15.00 1* 3 06/16/2025 08/31/2026 20,000 $20.00 2 4 07/01/2025 08/31/2026 10,000 $10.00 2 5 07/01/2025 08/31/2026 10,000 $15.00 2 6 07/01/2025 08/31/2026 20,000 $20.00 3 7 08/01/2025 08/31/2026 10,000 $10.00 3 8 08/01/2025 08/31/2026 10,000 $15.00 3 9 08/01/2025 08/31/2026 20,000 $20.00 4 10 09/02/2025 08/31/2026 10,000 $10.00 4 11 09/02/2025 08/31/2026 10,000 $15.00 4 12 09/02/2025 08/31/2026 20,000 $20.00 5 13 10/01/2025 08/31/2026 10,000 $10.00 5 14 10/01/2025 08/31/2026 10,000 $15.00 5 15 10/01/2025 08/31/2026 20,000 $20.00 6 16 11/03/2025 08/31/2026 10,000 $10.00 6 17 11/03/2025 08/31/2026 10,000 $15.00 1 This check box applies even if Issuer is a “foreign private issuer” exempt from the substantive requirements of section 16 of the Exchange Act. Docusign Envelope ID: 7C29FE4C-E5A8-4A42-A4B7-E34C09D1BB46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2"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13" descr=""/>
                    <pic:cNvPicPr>
                      <a:picLocks noChangeAspect="1" noChangeArrowheads="1"/>
                    </pic:cNvPicPr>
                  </pic:nvPicPr>
                  <pic:blipFill>
                    <a:blip r:embed="rId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6 18 11/03/2025 08/31/2026 20,000 $20.00 7 19 12/01/2025 08/31/2026 10,000 $10.00 7 20 12/01/2025 08/31/2026 10,000 $15.00 7 21 12/01/2025 08/31/2026 20,000 $20.00 8 22 01/02/2026 08/31/2026 10,000 $10.00 8 23 01/02/2026 08/31/2026 10,000 $15.00 8 24 01/02/2026 08/31/2026 20,000 $20.00 9 25 02/02/2026 08/31/2026 10,000 $10.00 9 26 02/02/2026 08/31/2026 10,000 $15.00 9 27 02/02/2026 08/31/2026 20,000 $20.00 10 28 03/02/2026 08/31/2026 10,000 $10.00 10 29 03/02/2026 08/31/2026 10,000 $15.00 10 30 03/02/2026 08/31/2026 20,000 $20.00 11 31 04/01/2026 08/31/2026 10,000 $10.00 11 32 04/01/2026 08/31/2026 10,000 $15.00 11 33 04/01/2026 08/31/2026 20,000 $20.00 12 34 05/01/2026 08/31/2026 10,000 $10.00 12 35 05/01/2026 08/31/2026 10,000 $15.00 12 36 05/01/2026 08/31/2026 20,000 $20.00 13 37 06/01/2026 08/31/2026 10,000 $10.00 Docusign Envelope ID: 7C29FE4C-E5A8-4A42-A4B7-E34C09D1BB46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3"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14" descr=""/>
                    <pic:cNvPicPr>
                      <a:picLocks noChangeAspect="1" noChangeArrowheads="1"/>
                    </pic:cNvPicPr>
                  </pic:nvPicPr>
                  <pic:blipFill>
                    <a:blip r:embed="rId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13 38 06/01/2026 08/31/2026 10,000 $15.00 13 39 06/01/2026 08/31/2026 20,000 $20.00 14 40 07/01/2026 08/31/2026 10,000 $10.00 14 41 07/01/2026 08/31/2026 10,000 $15.00 14 42 07/01/2026 08/31/2026 20,000 $20.00 15 43 08/03/2026 08/31/2026 10,000 $10.00 15 44 08/03/2026 08/31/2026 10,000 $15.00 15 45 08/03/2026 08/31/2026 20,000 $20.00 Total Plan Shares 600,000 **The actual first Trading Day of the Trading Period #1 (and thus the actual Sales Commencement Date) shall be the latest of (but no later than the 121st day following the adopted date): i. the date indicated above as the start of the Trading Period ii. the 91st day following the date on which the adopted date indicated in the first paragraph of this Sales Plan falls; and iii. the third Trading Day following the disclosure of the Issuer’s financial results on Form 10-Q or Form 10-K, or 20-F for the completed fiscal quarter in which the adopted date indicated in the first paragraph of this Sales Plan falls. JPMS’s obligation to place these orders is conditioned upon JPMS receiving confirmation from Issuer of the exact date as determined pursuant to the formula above. JPMS shall handle orders for such Trading Period on the best efforts basis described in Paragraph A.2 of this plan, which in some cases may mean handling such orders the business day following receipt of Issuer confirmation. Schedule B Long Shares to be used to execute the sales: Order # Number of Shares Nature of Acquisition Date Acquired Date of Payment Nature of Payment #1-#45 600,000 Founders Shares 07/25/2018 07/25/2018 N/A Docusign Envelope ID: 7C29FE4C-E5A8-4A42-A4B7-E34C09D1BB46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3" w:name="exhibit1027letuspurchase.htm"/>
      <w:bookmarkStart w:id="4" w:name="ksexhibit1027letuspurchase"/>
      <w:bookmarkEnd w:id="3"/>
      <w:bookmarkEnd w:id="4"/>
      <w:r>
        <w:rPr/>
        <w:drawing>
          <wp:inline distT="0" distB="0" distL="0" distR="0">
            <wp:extent cx="10048875" cy="13001625"/>
            <wp:effectExtent l="0" t="0" r="0" b="0"/>
            <wp:docPr id="64"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15" descr=""/>
                    <pic:cNvPicPr>
                      <a:picLocks noChangeAspect="1" noChangeArrowheads="1"/>
                    </pic:cNvPicPr>
                  </pic:nvPicPr>
                  <pic:blipFill>
                    <a:blip r:embed="rId80"/>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Execution Version 1390-1182-7473.14 THE PERSONS LISTED ON EXHIBIT A (as the Vendors) - and – AYRSHIRE DEVELOPMENTS (HIF II) CORP. (as the Vendors’ Representative) - and - PRIORITY CANADA ACQUISITION COMPANY, INC. (the “Purchaser”) - and – PRIORITY TECHNOLOGY HOLDINGS, INC. (the “Parent Guarantor”) SHARE PURCHASE AGREEMENT DATED: January 21st,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5"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16" descr=""/>
                    <pic:cNvPicPr>
                      <a:picLocks noChangeAspect="1" noChangeArrowheads="1"/>
                    </pic:cNvPicPr>
                  </pic:nvPicPr>
                  <pic:blipFill>
                    <a:blip r:embed="rId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TABLE OF CONTENTS Page 1390-1182-7473.14 -i- ARTICLE 1 INTERPRETATION 1.1 Definitions .....................................................................................................................1 1.2 Accounting Principles..................................................................................................20 1.3 Actions on Non-Business Days...................................................................................20 1.4 Currency and Payment Obligations ............................................................................20 1.5 Calculation of Interest .................................................................................................20 1.6 Calculation of Time .....................................................................................................20 1.7 Knowledge ..................................................................................................................20 1.8 Tender.........................................................................................................................21 1.9 Additional Rules of Interpretation. ...............................................................................21 (1) Gender and Number .........................................................................................21 (2) Headings and Table of Contents ......................................................................21 (3) Section References...........................................................................................21 (4) Words of Inclusion ............................................................................................21 (5) References to this Agreement ..........................................................................21 (6) Statute References ...........................................................................................21 (7) Document References ......................................................................................21 (8) Absence of Presumption...................................................................................21 1.10 Schedules and Exhibits...............................................................................................22 ARTICLE 2 PURCHASE OF SHARES 2.1 Purchase and Sale......................................................................................................23 2.2 Purchase Price............................................................................................................23 2.3 Delivery of Estimated Closing Statements ..................................................................23 2.4 Payment of Estimated Closing Indebtedness and Estimated .....................................24 2.5 RSU Payments............................................................................................................24 2.6 Payment of Purchase Price.........................................................................................24 2.7 Closing Adjustments. ..................................................................................................24 (1) Closing Statements...........................................................................................25 (3) Access to Records, etc .....................................................................................25 (4) Deemed Acceptance.........................................................................................25 (5) Dispute Settlement............................................................................................25 (6) Payment of Purchase Price Adjustment......................................................................26 2.8 Earnout........................................................................................................................26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6"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17" descr=""/>
                    <pic:cNvPicPr>
                      <a:picLocks noChangeAspect="1" noChangeArrowheads="1"/>
                    </pic:cNvPicPr>
                  </pic:nvPicPr>
                  <pic:blipFill>
                    <a:blip r:embed="rId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TABLE OF CONTENTS (continued) Page 1390-1182-7473.14 -ii- 1395-7075-4577, v. 5 (4) Operation of Business During Earnout Term. During the Earnout Term:....................28 2.9 Withholding Taxes.......................................................................................................29 2.10 Purchase Price Allocation ...........................................................................................29 2.11 Payment Matters .........................................................................................................29 ARTICLE 3 REPRESENTATIONS AND WARRANTIES 3.1 Representations and Warranties of the Vendors as to Themselves ...........................31 (1) Incorporation, Capacity and Status of Vendors ................................................31 (2) Authorization by Vendors..................................................................................32 (3) Enforceability of Vendors’ Obligations ..............................................................32 (4) Ownership of Shares. .......................................................................................32 (5) Tax Matters .......................................................................................................33 (6) Commissions ....................................................................................................33 (7) Approvals ..........................................................................................................33 3.2 Representations and Warranties of the Management Shareholder as to the Corporation and the Subsidiary...................................................................................33 (1) Organization of the Corporation and the Subsidiary .........................................33 (2) Takeover Bid Exemption...................................................................................34 (3) Qualification to do Business..............................................................................34 (4) Corporate Records............................................................................................34 (5) Bankruptcy, Insolvency and Reorganization.....................................................34 (6) Financial Statements ........................................................................................35 (7) Books and Records...........................................................................................35 (8) Title to and Sufficiency of Assets ......................................................................35 (9) Real Property ....................................................................................................36 (10) Personal Property .............................................................................................36 (11) Personal Property Leases.................................................................................36 (12) Contracts...........................................................................................................36 (13) Receivables ......................................................................................................37 (14) Intellectual Property ..........................................................................................37 (15) Licences and Compliance with Applicable Law ................................................39 (17) Compliance with Anti-Corruption Laws .............................................................40 (18) Undisclosed Liabilities.......................................................................................40 (19) Banking Information ..........................................................................................40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7"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18" descr=""/>
                    <pic:cNvPicPr>
                      <a:picLocks noChangeAspect="1" noChangeArrowheads="1"/>
                    </pic:cNvPicPr>
                  </pic:nvPicPr>
                  <pic:blipFill>
                    <a:blip r:embed="rId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TABLE OF CONTENTS (continued) Page 1390-1182-7473.14 -iii- 1395-7075-4577, v. 5 (20) Regulatory Approvals........................................................................................40 (21) Absence of Conflicting Agreements..................................................................41 (22) Legal Proceedings and Orders .........................................................................41 (23) Employment Matters .........................................................................................41 (24) Employee Plans ................................................................................................43 (25) Customers, Suppliers and Referral Partners ....................................................45 (26) Transactions with Affiliates et al........................................................................46 (27) Insurance ..........................................................................................................46 (28) Tax Matters .......................................................................................................46 (29) Privacy and Data Security.................................................................................49 (30) IT Systems ........................................................................................................50 (31) Anti-Spam Laws................................................................................................51 (32) No Material Adverse Change............................................................................51 (33) Absence of Certain Changes or Events............................................................51 3.3 Representations and Warranties of the Purchaser .....................................................52 (1) Incorporation and Corporate Power..................................................................53 (2) Authorization by Purchaser...............................................................................53 (3) Enforceability of Obligations .............................................................................53 (4) Commissions ....................................................................................................53 3.4 No Waiver ...................................................................................................................54 ARTICLE 4 CLOSING ARRANGEMENTS 4.1 Closing ........................................................................................................................55 4.2 Vendors’ Closing Deliveries ........................................................................................55 4.3 Purchaser’s Closing Deliveries ...................................................................................56 ARTICLE 5 INDEMNIFICATION 5.1 Survival .......................................................................................................................57 5.2 Indemnity by the Vendors ...........................................................................................57 5.3 Indemnity by the Purchaser ........................................................................................58 5.4 Claim Notice................................................................................................................58 5.5 Time Limits for Claim Notice .......................................................................................59 (1) Notice by the Purchaser....................................................................................59 (2) Notice by the Vendors’ Representative.............................................................60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8"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19" descr=""/>
                    <pic:cNvPicPr>
                      <a:picLocks noChangeAspect="1" noChangeArrowheads="1"/>
                    </pic:cNvPicPr>
                  </pic:nvPicPr>
                  <pic:blipFill>
                    <a:blip r:embed="rId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TABLE OF CONTENTS (continued) Page 1390-1182-7473.14 -iv- 1395-7075-4577, v. 5 5.6 Apportionment of Liability; Limitation on Damages .....................................................60 (1) Apportionment of Liability..................................................................................60 (2) Damages from Vendors ....................................................................................60 (3) Damages from Purchaser .................................................................................61 5.7 Sources of Recovery...................................................................................................61 5.8 Limitation Periods........................................................................................................61 (1) Limitation Periods for Representations and Warranties....................................61 (2) Limitation Periods for Covenants and Other Matters ........................................61 5.9 Calculation of Damages ..............................................................................................61 5.10 Agency for Non-Parties ...............................................................................................62 5.11 Direct Claims...............................................................................................................62 5.12 Third Party Claims.......................................................................................................63 (1) Rights of Indemnifying Party .............................................................................63 (2) Respective Rights on Indemnifying Party’s Assumption of Control ..................63 (3) Lack of Reasonable Diligence ..........................................................................63 (4) Joint Control for Certain Tax Claims .................................................................64 (5) Compulsory Payments Prior to Settlement. ......................................................64 (6) Other Rights of Indemnified Party.....................................................................64 5.13 Set-off..........................................................................................................................64 5.14 Cooperation.................................................................................................................64 5.15 Characterization of Indemnity Payments ....................................................................65 5.16 Exclusive Remedies. T...............................................................................................65 ARTICLE 6 COVENANTS 6.1 Confidentiality..............................................................................................................66 (1) Information to be Confidential ...........................................................................66 (2) Use of Confidential Information.........................................................................66 (3) Required Disclosure..........................................................................................66 6.2 Preparation of Tax Returns .........................................................................................67 6.3 Cooperation Respecting Tax Matters..........................................................................68 6.4 Tax Elections...............................................................................................................69 6.5 Reportable Transactions .............................................................................................69 6.6 2024 SRED Claims .....................................................................................................69 6.7 Restrictive Covenants .................................................................................................70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9"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20" descr=""/>
                    <pic:cNvPicPr>
                      <a:picLocks noChangeAspect="1" noChangeArrowheads="1"/>
                    </pic:cNvPicPr>
                  </pic:nvPicPr>
                  <pic:blipFill>
                    <a:blip r:embed="rId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TABLE OF CONTENTS (continued) Page 1390-1182-7473.14 -v- 1395-7075-4577, v. 5 (1) Non-Competition ...............................................................................................70 (2) Non-Solicitation.................................................................................................71 (3) Non-Disparagement..........................................................................................71 (4) Acknowledgements. The...................................................................................71 (5) Breach of Restrictions.......................................................................................72 (6) Severability .......................................................................................................72 (7) Proceeds...........................................................................................................72 6.8 Releases .....................................................................................................................72 6.9 Purchaser’s Guarantee ...............................................................................................73 ARTICLE 7 GENERAL 7.1 Appointment of Vendors’ Representative....................................................................74 7.2 Expenses ....................................................................................................................76 7.3 Public Announcements ...............................................................................................76 7.4 Notices. .......................................................................................................................76 (1) Mode of Giving Notice.......................................................................................76 (2) Deemed Delivery of Notice ...............................................................................77 (3) Change of Address ...........................................................................................77 7.5 Time of Essence .........................................................................................................77 7.6 Further Assurances.....................................................................................................77 7.7 Entire Agreement ........................................................................................................77 7.8 Amendment.................................................................................................................77 7.9 Waiver .........................................................................................................................77 7.10 Severability..................................................................................................................78 7.11 Remedies Cumulative .................................................................................................78 7.12 Attornment...................................................................................................................78 7.13 Governing Law ............................................................................................................78 7.14 Successors and Assigns; Assignment ........................................................................78 7.15 Third Party Beneficiaries .............................................................................................78 7.16 Independent Legal Advice...........................................................................................78 7.17 Counterparts ...............................................................................................................79 7.18 Language ....................................................................................................................79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0"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21" descr=""/>
                    <pic:cNvPicPr>
                      <a:picLocks noChangeAspect="1" noChangeArrowheads="1"/>
                    </pic:cNvPicPr>
                  </pic:nvPicPr>
                  <pic:blipFill>
                    <a:blip r:embed="rId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1390-1182-7473.14 SHARE PURCHASE AGREEMENT This Share Purchase Agreement dated January 21st, 2025 is made B E T W E E N The Persons listed on Exhibit A (the “Vendors”) - and – AYRSHIRE DEVELOPMENTS (HIF II) CORP. (the “Vendors’ Representative”) - and - PRIORITY CANADA ACQUISITION COMPANY, INC. (the “Purchaser”) - and – PRIORTY TECHNOLOGY HOLDINGS, INC. (the “Parent Guarantor”) RECITALS A. The Vendors are, collectively, the registered and beneficial owners of the Shares. B. The Corporation is the registered and beneficial owner of all of the shares of the Subsidiary. C. The Purchaser is willing to purchase, and the Vendors are willing to sell, the Shares on and subject to the terms and conditions contained in this Agreement. D. The Parent Guarantor is prepared to guarantee the obligations of the Purchaser hereunder to induce the Vendors to enter into this Agreement. E. For good and valuable consideration, the receipt and adequacy of which are hereby acknowledged by each Party, the Parties agree as follows: ARTICLE 1 INTERPRETATION 1.1 Definitions. In this Agreement: “2024 SRED Claim” has the meaning set out in Section 6.6(1);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1"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22" descr=""/>
                    <pic:cNvPicPr>
                      <a:picLocks noChangeAspect="1" noChangeArrowheads="1"/>
                    </pic:cNvPicPr>
                  </pic:nvPicPr>
                  <pic:blipFill>
                    <a:blip r:embed="rId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- 2 - 1390-1182-7473.14 “2024 SRED Claim Refund” has the meaning set out in Section 6.6(1); “Adjustment Date” means the third Business Day after the Purchase Price is finally determined in accordance with Section 2.7. “Affiliate” means, with respect to any Person, any other Person who directly or indirectly controls, is controlled by, or is under direct or indirect common control with, such Person, and includes any Person in like relation to an Affiliate. A Person shall be deemed to “control” another Person if such Person possesses, directly or indirectly, the power to direct or cause the direction of the management and policies of such other Person, whether through the ownership of voting securities, by contract or otherwise; and the term “controlled” shall have a similar meaning. “Aggregate Claim Threshold” has the meaning set out in Section 5.6(2)(a). “Agreement” means this Share Purchase Agreement and all the Exhibits and the Schedules attached hereto. “Allocable Portion” means, in respect of each Vendor, the percentage set forth beside such Vendor’s name in Exhibit A. “Annual Financial Statements” means the annual consolidated financial statements of the Corporation and the Subsidiary for the fiscal years ended December 31, 2023 and December 31, 2022, true and complete copies of which are attached as Schedule 3.2(6). “Applicable Law” means, with respect to any Person, property, transaction, event or other matter, (a) any foreign or domestic constitution, treaty, law, statute, regulation, code, ordinance, principle of common law or equity, rule, municipal by-law, Order or other requirement having the force of law and (b) any policy, practice, protocol, standard or guideline of any Governmental Authority which, although not necessarily having the force of law, is regarded by such Governmental Authority as requiring compliance as if it had the force of law (collectively in the foregoing clauses (a) and (b), “Law”), in each case relating or applicable to such Person, property, transaction, event or other matter and also includes, where appropriate, any interpretation of Law (or any part thereof) by any Person having jurisdiction over it, or charged with its administration or interpretation. “Appointment” has the meaning set out in Section 7.1(1). “Base Purchase Price” has the meaning set out in Section 2.2(a). “Books and Records” means the Financial Records and all other books, records, files and papers of the Corporation and the Subsidiary including manuals and Data, sales and advertising materials, sales and purchase correspondence, trade association files, research and development records, lists of present and former customers and suppliers, marketing lists and marketing consent records, personnel, employment and other records, and the minute and share certificate books of the Corporation and the Subsidiary and all records, Data and information stored electronically, digitally or on computer-related media. “Business” means the business carried on by the Corporation and the Subsidiary which involves the operation of a rental payment platform and the provision of property management tools, including lease application and tenant screening services.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2"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23" descr=""/>
                    <pic:cNvPicPr>
                      <a:picLocks noChangeAspect="1" noChangeArrowheads="1"/>
                    </pic:cNvPicPr>
                  </pic:nvPicPr>
                  <pic:blipFill>
                    <a:blip r:embed="rId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- 3 - 1390-1182-7473.14 “Business Day” means any day except Saturday, Sunday or any day on which banks are generally not open for business in the City of Toronto or Atlanta, Georgia. “Canadian Dollars” or “CAD” or “C$” means the lawful currency of Canada. “Cash” means, as of any time, the aggregate amount (which may be negative) of cash, cash equivalents and marketable securities (to the extent such cash equivalents and marketable securities are convertible to cash in 30 days) of the Corporation and the Subsidiary as of such time; provided that Cash will be (a) increased by deposits in transit as of such time, (b) decreased by any outstanding cheques, wires or drafts that have been issued but not yet cleared as of such time, and (c) decreased by any cash restricted in use in the Ordinary Course of Business by Contract, Law or otherwise (including all cash posted to support letters of credit, performance bonds, security deposits or other obligations, but excluding cash posted to support credit cards). “CASL” means An Act to promote the efficiency and adaptability of the Canadian economy by regulating certain activities that discourage reliance on electronic means of carrying out commercial activities, and to amend the Canadian Radio-television and Telecommunications Commission Act, the Competition Act, the Personal Information Protection and Electronic Documents Act and the Telecommunications Act, S.C. 2010, c. 23 and any comparable Applicable Law. “Claim Notice” has the meaning set out in Section 5.4. “Claims” has the meaning set out in section 6.8(1). “Closing” means the completion of the purchase and sale of the Shares in accordance with the provisions of this Agreement. “Closing Adjustment Amount” has the meaning set out in Section 2.7(2). “Closing Balance Sheet” means the consolidated balance sheet of the Corporation as of the Measurement Time, prepared in accordance with generally accepted accounting principles, consistently applied with those principles used in the preparation of the Financial Statements, as finally determined in accordance with the provisions of Section 2.7. “Closing Cash” means the amount equal to the total of the Corporation’s consolidated Cash as of the Measurement Time provided that Closing Cash shall be reduced by any amount used to repay any Closing Indebtedness or Corporation Transaction Expenses between the Measurement Time and immediately prior to the Closing Time. “Closing Date” means the date hereof. “Closing Indebtedness” means the amount equal to the total of the Corporation’s consolidated Indebtedness as of immediately prior to the Closing Time provided that Closing Indebtedness shall not include any amounts loaned by the Purchaser pursuant to Sections 2.4. “Closing Statement” has the meaning set out in Section 2.7(1). “Closing Time” means the time of Closing on the Closing Date provided for in Section 4.1.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3"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24" descr=""/>
                    <pic:cNvPicPr>
                      <a:picLocks noChangeAspect="1" noChangeArrowheads="1"/>
                    </pic:cNvPicPr>
                  </pic:nvPicPr>
                  <pic:blipFill>
                    <a:blip r:embed="rId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- 4 - 1390-1182-7473.14 “Closing Working Capital” means the amount, whether positive or negative, equal to the total of the Corporation’s consolidated current assets (excluding cash, cash equivalents and marketable securities to the extent included in the Closing Cash) minus the total of its consolidated current liabilities (excluding any Closing Indebtedness and Corporation Transaction Expenses) as of the Measurement Time and, for these purposes, “consolidated current assets” and “consolidated current liabilities” shall consist of assets and liabilities so classified on the Closing Balance Sheet, excluding (i) cash, cash equivalents and marketable securities to the extent included in the Closing Cash, (ii) any accrued assets in respect of the 2024 SRED Claim and (iii) all current or deferred Tax assets or liabilities. An illustrative calculation of Closing Working Capital is set forth in Exhibit C. “Competing Business” has the meaning set out in Section 6.7(1). “Competition Act” means the Competition Act, R.S.C. 1985, c. C-34, and the regulations thereunder. “Confidential Information” means, in relation to the Corporation, a Subsidiary or a Party (the “Discloser”): (a) all information, in whatever form communicated or maintained, whether orally, in writing, electronically, in computer readable form or otherwise, that the Discloser discloses to, or that is gathered by inspection by a Party (the “Recipient”) or any of the Recipient’s Representatives in the course of the Recipient’s review of the transactions contemplated by this Agreement, whether provided before or after the date of this Agreement, including information that contains or otherwise reflects information concerning the Discloser or its businesses, affairs, financial condition, assets, liabilities, operations, prospects or activities, and specifically includes financial information, budgets, business plans, ways of doing business, business results, prospects, customer lists, forecasts, engineering reports, environmental reports, evaluations, legal opinions, names of venture partners and contractual parties, and any information provided to the Discloser by third parties under circumstances in which the Discloser has an obligation to protect the confidentiality of such information; (b) all plans, proposals, reports, analyses, notes, studies, forecasts, compilations or other information, in any form, that are based on, contain or reflect any Confidential Information regardless of the identity of the Person preparing the same (“Notes”); (c) the existence and terms of this Agreement; (d) the fact that information has been disclosed or made available to the Recipient or the Recipient’s Representatives; and (e) the fact that discussions or negotiations are or may be taking place with respect to a possible transaction, the proposed terms of any such transaction and the status of any discussions or negotiations under this Agreement; but does not include any information that: (f) is at the time of disclosure to the Recipient or thereafter becomes generally available to the public, other than as a result of a disclosure by the Recipient or any of the Recipient’s Representatives in breach of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4"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25" descr=""/>
                    <pic:cNvPicPr>
                      <a:picLocks noChangeAspect="1" noChangeArrowheads="1"/>
                    </pic:cNvPicPr>
                  </pic:nvPicPr>
                  <pic:blipFill>
                    <a:blip r:embed="rId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- 5 - 1390-1182-7473.14 (g) is or was received by the Recipient on a non-confidential basis from a source other than the Discloser or its Representatives if such source is not prohibited from disclosing the information to the Recipient by a confidentiality agreement with, or a contractual, fiduciary or other legal confidentiality obligation to, the Discloser; or (h) was known by the Recipient prior to disclosure in connection with the transactions contemplated by this Agreement and was not subject to any contractual, fiduciary or other legal confidentiality obligation on the part of the Recipient. “Consent” means any consent, approval, permit, waiver, ruling, exemption or acknowledgement from any Person (other than the Corporation or a Subsidiary) which is provided for or required: (a) in respect of or pursuant to the terms of any Contract; or (b) under any Applicable Law, in either case in connection with the sale of the Shares to the Purchaser on the terms contemplated in this Agreement, to permit the Corporation to carry on the Business after Closing or which is otherwise necessary to permit the Parties to perform their obligations under this Agreement, but does not include a Regulatory Approval. “Contracts” means all pending and executory contracts, agreements, leases, understandings and arrangements (whether oral or written) to which the Corporation or a Subsidiary is a party or by which the Corporation or a Subsidiary or any of their respective properties or assets or the Business is bound or under which the Corporation or a Subsidiary has rights or obligations, including Permitted Liens. “Copyright” means all rights, titles, interests and benefits in and to (a) all copyright and neighbouring rights in the Works, (b) all registrations for copyright and neighbouring rights, pending applications for registrations of copyright and neighbouring rights, and rights to file applications for registrations of copyright and neighbouring rights for the Works, and (c) all sui generis rights in the Databases. “Corporation” means Payslate Inc., a corporation incorporated under the federal laws of Canada. “Corporation Policies” has the meaning set out in Section 3.2(27)(a). “Corporation Transaction Expenses” means the total of all amounts payable or reimbursable by the Corporation or any Subsidiary in connection with the transactions contemplated by this Agreement that are not paid in full immediately prior to the Closing Time, together with any Taxes payable thereon, including (a) change of control, special bonuses or any other similar payments owed to Employees, consultants, directors or officers of the Corporation or any Subsidiary, conditional on, or payable pursuant to, the Closing, and any payroll related Taxes, including Canada Pension Plan contributions, provincial pension plan contributions, employment insurance premiums and employer health taxes required to be paid by the Corporation or any Subsidiary in connection with (i) any such payments, and (ii) payments to RSU Holders pursuant to this Agreement; (b) fees and expenses payable to all lawyers, accountants, and other professionals, and bankers’, brokers’ or finders’ fees conditional on, or payable pursuant to, the Closing and (c) any amounts payable to the RSU Holders pursuant to this Agreement; but for greater certainty, excluding any Vendors’ Transaction Expenses. “Damages” means, whether or not involving a Third Party Claim, any loss, cost, liability, claim, interest, fine, penalty, assessment, Taxes, damages available at law or in equity, expense (including consultant’s and expert’s fees and expenses and reasonable costs, fees and expenses of legal counsel on a full indemnity basis, without reduction for tariff rates or similar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5"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26" descr=""/>
                    <pic:cNvPicPr>
                      <a:picLocks noChangeAspect="1" noChangeArrowheads="1"/>
                    </pic:cNvPicPr>
                  </pic:nvPicPr>
                  <pic:blipFill>
                    <a:blip r:embed="rId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- 6 - 1390-1182-7473.14 reductions and reasonable costs, fees and expenses of investigation, defence or settlement); provided that Damages shall not include punitive, exemplary, incidental, consequential, special or indirect damages other than to the extent that same are awarded pursuant to a Third Party Claim. “Data” means any information or data, including any information or data collected or received by, processed by, or output from the Software (including reports, analytics, and alerts), and any other information or data related to the Business, including information and data contained in any Databases. “Databases” has the meaning set out in the definition of Works. “Data Privacy Requirements” has the meaning set out in Section 3.2(29)(a). “Designs” means all industrial designs, owned, used or held for use by the Corporation or a Subsidiary, including (a) all features of shape, configuration, pattern or ornament and combinations thereof in articles, and (b) all derivatives, modifications and improvements of the foregoing. “Direct Claim” has the meaning set out in Section 5.4. “Disabling Code” means any back door, trap door, time bomb, drop dead device, software lock or other software routine designed to disable software, hardware or data collection automatically with the passage of time or under the positive control of a Person or program other than the user of the software, hardware or data collection. “Discloser” has the meaning set out in the definition of Confidential Information. “Domain Names” means all registered domain names owned, used or held for use by the Corporation or a Subsidiary, including those registered on behalf of the Corporation or a Subsidiary in the name of an agent or proxy. “Earnout Amount” has the meaning set forth in 2.8(1). “Earnout Calculation” has the meaning set forth in 2.8(2). “Earnout Calculation Statement” has the meaning set forth in 2.8(2). “Earnout Period” has the meaning set forth in 2.8(1). “Earnout Term” has the meaning set forth in 2.8(1). “Earnout Term Commencement Date” means the date that is six months following the Closing Date. “Earnout Term End Date” means the earlier of (i) the date that is five years following the Closing Date and (ii) the date on which the Fixed Earnout Amount has been paid in full. “Employee” means an individual who is employed by the Corporation or a Subsidiary. “Employee Plans” has the meaning set out in Section 3.2(24)(a). “Equity Plan” means the Payslate Inc. 2023 Equity Incentive Plan.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6"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27" descr=""/>
                    <pic:cNvPicPr>
                      <a:picLocks noChangeAspect="1" noChangeArrowheads="1"/>
                    </pic:cNvPicPr>
                  </pic:nvPicPr>
                  <pic:blipFill>
                    <a:blip r:embed="rId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- 7 - 1390-1182-7473.14 “Estimated Closing Cash” has the meaning set out in Section 2.3(b). “Estimated Closing Indebtedness” has the meaning set out in Section 2.3(b). "Estimated Closing Statements" has the meaning set out in Section 2.3. "Estimated Closing Working Capital" has the meaning set out in Section 2.3(b). “Estimated Corporation Transaction Expenses” has the meaning set out in Section 2.3(b). “Estimated Purchase Price” has the meaning set out in Section 2.3(d). “Final Compulsory Payment Amount” has the meaning set out in Section 5.12(5)(b). “Final Compulsory Payment Indemnification Event” means a Final Determination having been made regarding a liability requiring payment under Applicable Law or any Order or a written agreement among the applicable Indemnified Parties and Indemnifying Parties as to the indemnification obligations of the Indemnifying Party. “Final Determination” means a determination made by a Governmental Authority (including pursuant to a settlement) where all rights to object to or appeal from the determination (including any right to obtain relief under a competent authority or similar process) have been exhausted or have expired. “Financial Records” means all books of account and other financial Data and information of the Corporation and the Subsidiary, and includes all such records, Data and information stored electronically, digitally or on computer-related media. “Financial Statements” means, collectively, the Annual Financial Statements and the Interim Financial Statements. “Fixed Earnout Amount” means US$6,500,000 less the amount of all claims for indemnification by the Purchaser pursuant to Section 5.2 (but subject to Sections 5.5, 5.6, and 5.7) that have been the subject of a Final Determination, or agreement by the applicable Indemnifying Party. “Fundamental Representations of the Purchaser” means the representations and warranties set forth in Sections 3.3(1) (Incorporation and Corporate Power), 3.3(2) (Authorization by Purchaser), 3.3(3) (Enforceability of Obligations), 3.3(4) (Commissions) and 3.3(5)(b) (No Conflicts; Consents). “Fundamental Representations of the Vendors” means the representations and warranties set forth in Sections 3.1(1) (Incorporation, Capacity and Status of Vendors), 3.1(2) (Authorization by Vendors), 3.1(3) (Enforceability of Vendors’ Obligations), 3.1(4) (Ownership of Shares), 3.1(6) (Commissions), 3.1(8)(a), 3.1(8)(c) and 3.1(8)(d)(No Conflicts; Consents), 3.2(1) (Organization of the Corporation and Subsidiaries), 3.2(2) (Takeover Bid Exemption), 3.2(3) (Qualification to do Business), 3.2(8) (Title to and Sufficiency of Assets), and 3.2(21)(a)(i), (c) and (d) (Absence of Conflicting Agreements; Organizational Documents and Applicable Law). “Governmental Authority” means: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7"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28" descr=""/>
                    <pic:cNvPicPr>
                      <a:picLocks noChangeAspect="1" noChangeArrowheads="1"/>
                    </pic:cNvPicPr>
                  </pic:nvPicPr>
                  <pic:blipFill>
                    <a:blip r:embed="rId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- 8 - 1390-1182-7473.14 (a) any domestic or foreign government, whether national, federal, provincial, state, territorial, municipal or local (whether administrative, legislative, executive or otherwise); (b) any agency, authority, ministry, department, regulatory body, court, central bank, bureau, board or other instrumentality having legislative, judicial, taxing, regulatory, prosecutorial or administrative powers or functions of, or pertaining to, government; (c) any court, tribunal, commission, individual, arbitrator, arbitration panel or other body having adjudicative, regulatory, judicial, quasi-judicial, administrative or similar functions; and (d) any other body or entity created under the authority of or otherwise subject to the jurisdiction of any of the foregoing, including any stock or other securities exchange or professional association. “Gross Profit” means, in respect of any particular period, (i) the consolidated revenue of the Business for such period, minus (ii) interchange fees, dues and assessments, card brand fees, residual and commission-related expenses associated with sales, equipment costs, any referral or other fees or amounts paid to Ayrshire or its Affiliates and any other costs of revenue (but not including customer support and hosting expenses or any other administrative or operating costs) of the Business, in each case determined (to the extent applicable) in accordance with a manner consistent with the determination of such fees and other income in the most recent Annual Financial Statements. An illustrative calculation of Gross Profit is set forth in Exhibit D. “GST/HST” means all goods and services tax and harmonized sales tax imposed under Part IX of the Excise Tax Act (Canada). “Indebtedness” of any Person means, without duplication: (a) all obligations of such Person for borrowed money or with respect to deposits or advances of any kind; (b) all obligations of such Person evidenced by bonds, debentures, notes or similar instruments; (c) all obligations of such Person in respect of the deferred purchase price payments (including earnouts and capital leases); (d) all capital lease obligations of such Person; (e) all obligations under any interest rate cap agreements, interest rate swap agreements, foreign currency exchange agreements or other derivative or hedging contracts (in each case, valued at the termination cost thereof); (f) all obligations, contingent or otherwise, of such Person as an account party in respect of letters of credit and letters of guarantee (other than letters of credit and letters of guarantee issued in support of current accounts payable incurred in the ordinary course of business); (g) all obligations of such Person under conditional sale or other title retention agreements relating to property acquired by such Person (even though the rights and remedies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8"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29" descr=""/>
                    <pic:cNvPicPr>
                      <a:picLocks noChangeAspect="1" noChangeArrowheads="1"/>
                    </pic:cNvPicPr>
                  </pic:nvPicPr>
                  <pic:blipFill>
                    <a:blip r:embed="rId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- 9 - 1390-1182-7473.14 the seller or lender under such agreement in the event of default are limited to repossession or sale of such property); (h) all obligations in the nature of guarantees of any of the types of items set forth in clauses (a) through (g) above, in each case, determined to the extent applicable thereto in accordance with GAAP; and (i) the outstanding amount of accrued and unpaid interest on, and other payment obligations (including any prepayment premiums, “breakage costs”, redemption fees, out-of-pocket costs and expenses, penalties and other obligations payable in connection therewith with respect to any of the types of items set forth in clauses (a) through (h) above); and (j) any amendment, supplement, modification, deferral, renewal, extension, refunding or refinancing of any Indebtedness of the types referred to above; (k) all obligations of such Person upon which interest charges are customarily paid; (l) all Indebtedness of others secured by (or for which the holder of such Indebtedness has an existing right, contingent or otherwise, to be secured by) any Lien on property owned or acquired by such Person, whether or not the Indebtedness secured thereby has been assumed; (m) all obligations of such Person to purchase, redeem, retire, defease or otherwise acquire for value (other than for other equity securities) any equity securities of such Person, valued, in the case of redeemable equity securities, at the greater of voluntary or involuntary redemption price, plus accrued and unpaid dividends; (n) all liabilities of such Person for income Taxes that are due and payable; (o) amounts owing to Payoff Creditors listed in Schedule 2.4(1), provided, however, that “Indebtedness” specifically excludes (i) trade payables, (ii) credit card debt incurred in the Ordinary Course of Business, (iii) undrawn amounts under surety bonds, letters of credit, banker’s acceptances, performance letters, comfort letters and other arrangements similar to the foregoing, (iv) any Indebtedness put in place by Purchaser, (v) long-term and short-term deferred revenue, (vi) any other liabilities included in the calculation of Closing Working Capital, and (vii) any other liabilities included in the calculation of Corporation Transaction Expenses. “Indemnified Party” means a Person whom a Vendor or the Purchaser, as the case may be, is required to indemnify under Article 5. “Indemnified Taxes” has the meaning set out in Section 5.2(2)(c). “Indemnifying Party” means, in relation to an Indemnified Party, the Party that is required to indemnify such Indemnified Party under Article 5. “Indemnity Cap” has the meaning set out in Section 5.6(2)(b). “Independent Accountant” has the meaning set out in Section 2.7(5).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9"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30" descr=""/>
                    <pic:cNvPicPr>
                      <a:picLocks noChangeAspect="1" noChangeArrowheads="1"/>
                    </pic:cNvPicPr>
                  </pic:nvPicPr>
                  <pic:blipFill>
                    <a:blip r:embed="rId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- 10 - 1390-1182-7473.14 “Intellectual Property” means all intellectual property and related rights owned, used or held for use by the Corporation or a Subsidiary, throughout the world, whether or not registrable, patentable or otherwise formally protectable, and whether or not registered, patented, otherwise formally protected or the subject of a pending application for registration, patent or any other formal protection, including: (a) all rights, titles, interests and benefits in and to the Trade-Marks, including (i) all common law rights in the Trade-Marks, (ii) all registrations, pending applications for registration and rights to file applications for the Trade-Marks, and (iii) all rights of priority and all extensions of the foregoing applications and registrations for the Trade- Marks; (b) all rights, titles, interests and benefits in and to the Inventions, including the Patent Rights; (c) all rights, titles, interests and benefits in and to the Works, including the Copyright and the moral rights and all waivers of moral rights in the Works; (d) all rights, titles, interests and benefits in and to the Designs, including (i) all design patents, industrial design registrations, pending design patent applications, pending applications for industrial design registrations and rights to file applications for the Designs, and (ii) all rights of priority and all rights in provisionals, continuations, continuations-in-part, divisionals, re-examinations, reissues, extensions, and other derivative applications, patents and registrations of the foregoing patents, registrations and applications for the Designs; (e) all rights, titles, interests and benefits in and to the Know-How; (f) all rights, titles, interests and benefits in and to (i) the Telephone Numbers and the accounts therefor, (ii) the Social Media Identities and the accounts therefor, and (iii) the Domain Names, the accounts therefor and the registrations thereof; (g) all rights, titles, interests and benefits in and to all licences, consents, permissions, covenants not to sue and other contractual rights in respect of, or relating to, the items set out in (a) through (f) above; (h) all rights, titles, interests and benefits in and to revenues and proceeds in respect of the Intellectual Property and the rights, titles, interests and benefits set out in (a) through (f) above; and (i) all rights, titles, interests and benefits to enforce all rights and to obtain all remedies, including damages, accountings of profits, other compensation, and interim, temporary, interlocutory and permanent injunctions, for the infringement and other violations of the rights, titles, interests and benefits set out in (a) through (f) above. “Interim Financial Statements” means the unaudited consolidated financial statements of the Corporation for the 11-month period ended November 30, 2024, true and complete copies of which are attached as Schedule 3.2(6). “Inventions” means all inventions owned, used or held for use by the Corporation or a Subsidiary in the Business, including all improvements to the foregoing. “ITA” means the Income Tax Act, R.S.C. 1985, c. 1 (5th Supplement).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0"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31" descr=""/>
                    <pic:cNvPicPr>
                      <a:picLocks noChangeAspect="1" noChangeArrowheads="1"/>
                    </pic:cNvPicPr>
                  </pic:nvPicPr>
                  <pic:blipFill>
                    <a:blip r:embed="rId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- 11 - 1390-1182-7473.14 “IT Systems” means all computer hardware, devices, peripheral equipment, Software and firmware, Data and Databases, network and telecommunications equipment, technology infrastructure and other information technology systems and services that are used by or accessible to the Corporation or a Subsidiary to operate the Business, including to receive, store, process or transmit Data. “Know-How” means all know-how, trade secrets, proprietary information, confidential information and information of a sensitive nature owned, used or held for use by the Corporation or a Subsidiary, in whatever form communicated, maintained or stored, including (a) all formulae, algorithms, business methods, technical processes, specifications, manuals, corporate plans, management systems and techniques, (b) all information relating to the research, development, manufacture, marketing, sales or post-sales activities of any past, present or future goods or services, including engineering documentation, manufacturing documentation, costing information, advertising plans, pricing information, customer names, customer lists and other details of customers, supplier names, supplier lists and other details of suppliers, sales targets, sales statistics, market share information, market research and survey information. “Law” has the meaning set out in the definition of “Applicable Law”. “Legal Proceeding” means any litigation, action, application, suit, investigation, hearing, claim, complaint, deemed complaint, grievance, civil, administrative, regulatory or criminal, arbitration proceeding or other similar proceeding, before or by any Governmental Authority, and includes any appeal or review thereof and any application for leave for appeal or review. “Licence” means any licence, permit, authorization, approval, registration or other evidence of authority issued or granted to, conferred upon, or otherwise created for, the Corporation or a Subsidiary by any Governmental Authority. “Licensed-In Intellectual Property” means all Intellectual Property (a) which is not Owned Intellectual Property, and (b) in which the Corporation or a Subsidiary has a right, interest, benefit, licence or permission to access, use, practice or otherwise enjoy or exploit, including pursuant to a Contract, covenant not to sue, custom or practice, Order or Applicable Law. “Licensed-Out Intellectual Property” means all Owned Intellectual Property which the Corporation or a Subsidiary permits or licences another Person, other than the Corporation or a Subsidiary, to access, use, practice or otherwise enjoy or exploit, including pursuant to a Contract, covenant not to sue, custom or practice, Order or Applicable Law. “Lien” means any lien, mortgage, charge, hypothec, pledge, security interest, prior assignment, option, warrant, lease, sublease, right to possession, encumbrance, claim, right or restriction which affects, by way of a conflicting ownership interest or otherwise, the right, title or interest in or to any particular property. “Limitations Act” has the meaning set out in Section 5.8(1). “Management Shareholder” means the Vendors’ Representative. “Material Adverse Change” means any event, circumstance, occurrence, fact, condition or change that is, or could reasonably be expected to become, individually or in the aggregate, materially adverse to: (a) the business, assets, results of operations, or condition (financial or otherwise) of the Corporation or any Subsidiary; or (b) the ability of the Vendors to consummate the transactions contemplated hereby on a timely basis; provided that “Material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1"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32" descr=""/>
                    <pic:cNvPicPr>
                      <a:picLocks noChangeAspect="1" noChangeArrowheads="1"/>
                    </pic:cNvPicPr>
                  </pic:nvPicPr>
                  <pic:blipFill>
                    <a:blip r:embed="rId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- 12 - 1390-1182-7473.14 Adverse Change” shall not include any event, occurrence, fact, condition or change, directly or indirectly, arising out of or attributable to: (a) general economic or political conditions; (b) conditions generally affecting the industries in which the Corporation or any Subsidiary operates; (c) any changes in financial or securities markets in general; (d) acts of war (whether or not declared), armed hostilities or terrorism, or the escalation or worsening thereof; (e) any changes in Applicable Laws or accounting rules or principles, including GAAP; (f) any action required by this Agreement or any action taken (or omitted to be taken) with the written consent of or at the written request of the Purchaser; (g) any natural or man-made disaster or acts of God or general outbreaks of illness; or (h) the public announcement, pendency or completion of the transactions contemplated by this Agreement; provided that any event, occurrence, fact, condition or change referred to in clauses (a) through (e) shall be taken into account in determining whether a Material Adverse Change has occurred or could reasonably be expected to occur to the extent that such event, occurrence, fact, condition or change has a disproportionate effect on the Corporation or any Subsidiary compared to other participants in the industries in which the Corporation or the Subsidiary conducts its businesses. “Material Contract” means: (a) a Contract which involves or may reasonably be expected to involve the payment to or by the Corporation or a Subsidiary of more than C$50,000 annually, other than any employment Contract entered into in the Ordinary Course of Business; (b) any Contract with a Material Customer, Material Supplier or Material Referral Partner; (c) any Contract to make a capital expenditure or to purchase a capital asset in excess of C$50,000 by or on behalf of the Corporation or a Subsidiary; (d) a Contract or commitment relating to Indebtedness or borrowed money or to the direct or indirect guarantee or assumption of the obligations of any other Person for borrowed money; (e) any Contract (w) containing a covenant of the Corporation or a Subsidiary not to compete in any line of business or with any Person in any geographical area, (x) containing any exclusivity or exclusive dealing provisions, or (y) limiting the Corporation’s or a Subsidiary’s freedom to operate in any line of business, including any Contracts containing non-competition or non-solicitation clauses, or (z) containing any other provision that materially restricts the freedom of the Corporation or a Subsidiary to carry on the Business in any way;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2"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33" descr=""/>
                    <pic:cNvPicPr>
                      <a:picLocks noChangeAspect="1" noChangeArrowheads="1"/>
                    </pic:cNvPicPr>
                  </pic:nvPicPr>
                  <pic:blipFill>
                    <a:blip r:embed="rId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- 13 - 1390-1182-7473.14 (f) a Contract with an unexpired term of more than one year; (g) any lease pursuant to which the Corporation or a Subsidiary leases any tangible property, in each case for an annual amount in excess of C$25,000; (h) any Contract entered into within the past six years relating to the acquisition or disposition by the Corporation or a Subsidiary of any business, material assets or capital stock or other equity interests of any other Person constituting a product line, service offering, line of business or ongoing business, whether by way of merger, amalgamation, consolidation, business combination or similar transaction; (i) any collective bargaining agreement and other Contract with any labor union, works council, labor organization or other employee representative of a group of employees; (j) any Contract under which the Corporation or a Subsidiary is a licensor or licensee of Intellectual Property (other than non-exclusive end user licenses of commercially available Software, with a total replacement cost of less than C$5,000); (k) any Contract relating to the development of Intellectual Property for the benefit of the Corporation or a Subsidiary; (l) any Contract with “most favoured nation” provisions (or similar provisions in which pricing, discounts or benefits are based on those provided to another Person); (m) any joint venture or partnership Contract; (n) any Contract with a Vendor, or an Affiliate, manager, director or executive officer of the Corporation or a Subsidiary; (o) any Contract that cannot be terminated by the Corporation or a Subsidiary upon 90 days’ notice or less without the payment of any material penalty or material termination fee; (p) any Contract for the employment of or provision of individual services by any officer, member, manager, Employee, agent, independent contractor or other Person on a full time, part time or non-Employee or consulting basis (i) providing for compensation in excess of C$50,000 per annum, (ii) providing for loans to such Persons, other than advances in the Ordinary Course of Business, and/or (iii) providing for termination or severance entitlements in excess of those required by Applicable Law; (q) any Contract under which any amounts are payable by the Corporation or a Subsidiary to any Person in connection with, or conditioned in whole or in part upon, the consummation of the transactions contemplated by this Agreement, including change of control payments, commissions, retention incentives, success fees, deferred compensation, bonuses, termination pay, severance or other compensation payments or benefits; (r) any Contract that grants any rights of first or last refusal, rights of first or last offer, or similar rights to any Person with respect to any material asset of the Corporation or a Subsidiary;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3"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34" descr=""/>
                    <pic:cNvPicPr>
                      <a:picLocks noChangeAspect="1" noChangeArrowheads="1"/>
                    </pic:cNvPicPr>
                  </pic:nvPicPr>
                  <pic:blipFill>
                    <a:blip r:embed="rId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- 14 - 1390-1182-7473.14 (s) any agreement involving the settlement of any Legal Proceeding, pursuant to which any unpaid accounts payable following Closing or future obligations or liabilities remain; (t) any equity purchase, incentive equity, option, phantom stock, equity appreciation or similar plan or arrangement relating to the Shares entered into following the RVO Date; or (u) any amendment, supplement or modification in respect of any of the foregoing. “Material Customer” has the meaning set out in Section 3.2(25). “Material Referral Partner has the meaning set out in Section 3.2(25). “Material Supplier” has the meaning set out in Section 3.2(25). “Measurement Time” means 12:01 a.m. Toronto time on the Closing Date or such other time as may be agreed to in writing by the Purchaser and the Vendors’ Representative.cl “Monthly Earnout Amount” means 40% of the Gross Profit of the applicable Earnout Period. “Multi-Employer Plan” means an Employee Plan that applies to or permits participation by employers that are not Affiliates of the Corporation, including any “multi-employer pension plan” as that term is defined in subsection 1(1) of the Pension Benefits Act (Ontario) or an equivalent plan under pension standards legislation of another applicable Canadian jurisdiction and any “multi-employer plan” as that term is defined in subsection 8500(1) of the Income Tax Regulations (Canada). “NOI Proceedings” means the Notice of Intention to Make a Proposal proceedings commenced by the Corporation on December 5, 2022 by filing a Notice of Intention to Make a Proposal pursuant to the Bankruptcy and Insolvency Act (Canada). “Notes” has the meaning set out in paragraph (b) of the definition of Confidential Information. “OFAC” means the Office of Foreign Assets Control of the U.S. Department of the Treasury. “Order” means any order, directive, judgment, decree, injunction, decision, ruling, award or writ of any Governmental Authority. “Ordinary Course of Business” when used in relation to the taking of any action by the Corporation or any Subsidiary means that the action: (a) is consistent in nature, scope and magnitude with the past practices of the Corporation or the Subsidiary and is taken in the ordinary course of normal day-to-day operations of the Corporation or the Subsidiary; (b) is similar in nature, scope and magnitude to actions customarily taken in the ordinary course of the normal day-to-day operations of other Persons that are in the same line of Business as the Corporation or the Subsidiary; and (c) does not require the authorization of the shareholders of the Corporation or the Subsidiary or any other separate or special authorization of any nature.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4"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35" descr=""/>
                    <pic:cNvPicPr>
                      <a:picLocks noChangeAspect="1" noChangeArrowheads="1"/>
                    </pic:cNvPicPr>
                  </pic:nvPicPr>
                  <pic:blipFill>
                    <a:blip r:embed="rId1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- 15 - 1390-1182-7473.14 “Owned Intellectual Property” means all Intellectual Property in which the Corporation or a Subsidiary owns title. “Owned Software” has the meaning set out in Section 3.2(30)(b). “Parent Guarantor” has the meaning set out in the preamble hereto. “Party” means a party to this Agreement and any reference to a Party includes its successors and permitted assigns and “Parties” means every Party. “Patent Rights” means all rights, titles, interests and benefits in and to the Inventions, including (a) all utility patents, pending utility patent applications and rights to file utility patent applications for the Inventions, (b) all rights of priority and all rights in provisionals, continuations, continuations-in-part, divisionals, re-examinations, reissues, extensions and other derivative applications and patents of the foregoing patents and patent applications for the Inventions, and (c) all inventors’ certificates, utility models, applications for utility models and rights to file utility models for the Inventions. “Payoff Creditors” means the creditors of the Indebtedness listed in Schedule 2.4(1). “Payoff Letter” means, with respect to any Payoff Creditor, a letter or other instrument in form and substance satisfactory to the Purchaser addressed by such Payoff Creditor to the Corporation or a Subsidiary, as applicable, setting out the amount of Indebtedness owed to such Payoff Creditor and containing an undertaking from such Payoff Creditor or other arrangement acceptable to the Purchaser, acting reasonably, to release and discharge all Liens securing such Indebtedness simultaneously with or following the Closing, subject to receipt of payment of such Indebtedness. “Permitted Liens” means: (a) Liens for Taxes and utilities that in each case are not yet due or are not in arrears; (b) construction, mechanics’, carriers’, workers’, repairers’, storers’ or other similar Liens (inchoate or otherwise) if individually or in the aggregate: (i) they are not material; (ii) they arose or were incurred in the Ordinary Course of Business; (iii) they have not been filed, recorded or registered in accordance with Applicable Law; (iv) notice of them has not been given to the Corporation or a Subsidiary; and (v) the debt secured by them is not in arrears; (c) minor title defects or irregularities, minor unregistered easements or rights of way and other minor unregistered restrictions affecting the use of real property if such title defects, irregularities or restrictions are complied with and do not, in the aggregate, materially adversely affect: (i) the operation of the Business or the continued use of the real property to which they relate after the Closing on substantially the same basis as the Business is currently being operated and such real property is currently being used; or (ii) the marketability of such real property; (d) easements, covenants, rights of way and other restrictions if registered provided that they are complied with and do not, in the aggregate, materially adversely affect: (i) the operation of the Business or the continued use of the real property to which they relate after the Closing on substantially the same basis as the Business is currently being operated and such real property is currently being used; or (ii) the marketability of such real property;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5"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36" descr=""/>
                    <pic:cNvPicPr>
                      <a:picLocks noChangeAspect="1" noChangeArrowheads="1"/>
                    </pic:cNvPicPr>
                  </pic:nvPicPr>
                  <pic:blipFill>
                    <a:blip r:embed="rId1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- 16 - 1390-1182-7473.14 (e) registered agreements with municipalities or public utilities if they: (i) have been complied with or adequate security has been furnished to secure compliance; and (ii) do not, in the aggregate, materially adversely affect (A) the operation of the Business or the continued use of the real property to which they relate after the Closing on substantially the same basis as the Business is currently being operated and such real property is currently being used, or (B) the marketability of such real property; and (f) the Liens listed in Schedule 1.1(b). “Person” is to be broadly interpreted and includes an individual, a corporation, a partnership, a trust, an unincorporated organization, a Governmental Authority, and the executors, administrators or other legal representatives of an individual in such capacity. “Personal Information” means information about an identifiable individual and includes any information that alone or in combination with other information could be used to identify, located or profile an individual or household. “Personal Property” means all machinery, equipment, furniture, motor vehicles and other chattels owned or leased by the Corporation or a Subsidiary (including those in possession of suppliers, customers and other third parties). “Personal Property Lease” means a chattel lease, equipment lease, conditional sales contract and other similar agreement to which the Corporation or a Subsidiary is a party or under which it has rights to use Personal Property. “Pre-Closing Tax Period” means a taxation year or other fiscal period that ends on or before the Closing Time. “Preliminary Compulsory Payment Amount” has the meaning set out in Section 5.12(5)(a). “Privacy Law” means all Laws governing the collection, use, disclosure, protection, or other processing of Personal Information, or the reporting of privacy breaches or incidents, including, without limitation, the Personal Information Protection and Electronic Documents Act (Canada), the Personal Information Protection Act (British Columbia), the Personal Information Protection Act (Alberta), the Act respecting the protection of personal information in the private sector (Quebec) and the Act to establish a legal framework for information technology (Quebec). “Purchase Price” has the meaning set out in Section 2.2. “Purchaser” has the meaning set out in the preamble hereto. “Purchaser Change of Control” means (i) a sale of over 50% of the assets of the Purchaser or the Corporation to any Person that is not an Affiliate of the Purchaser, (ii) a sale of over 50% of the issued and outstanding voting shares of the Purchaser or the Corporation to any Person that is not an Affiliate of the Purchaser, or (iii) any other transaction or series of transactions that results in any Person other than the Parent Guarantor or any of its Affiliates having direct or indirect control of the Corporation. “Purchaser Guaranteed Obligations” has the meaning set out in Section 6.9. “Purchaser’s Counsel” means Blake, Cassels &amp; Graydon LLP.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6"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37" descr=""/>
                    <pic:cNvPicPr>
                      <a:picLocks noChangeAspect="1" noChangeArrowheads="1"/>
                    </pic:cNvPicPr>
                  </pic:nvPicPr>
                  <pic:blipFill>
                    <a:blip r:embed="rId10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- 17 - 1390-1182-7473.14 “Purchaser’s Indemnified Parties” means the Purchaser, the Purchaser’s Affiliates, the Parent Guarantor, the Corporation, the Subsidiary and their respective Representatives. “Receivables” means all accounts receivable, bills receivable, trade accounts, book debts and insurance claims of the Corporation and the Subsidiary together with any unpaid interest accrued on such items and any security or collateral for such items, including recoverable deposits. “Recipient” has the meaning set out in the definition of Confidential Information. “Regulatory Approval” means any approval, consent, ruling, authorization, notice, permit, waiver or acknowledgement that may be required from any Person pursuant to Applicable Law or under the terms of any Licence or the conditions of any Order (a) in connection with the transactions contemplated by this Agreement, (b) to permit the Corporation and the Subsidiary to carry on the Business after Closing, or (c) which is otherwise necessary to permit the Parties to perform their obligations under this Agreement. “Representative” when used with respect to a Person means each director, officer, employee, consultant, financial adviser, legal counsel, accountant and other agent, adviser or representative of that Person. “RVO” means the Approval and Reverse Vesting Order granted by the Supreme Court of British Columbia on the RVO Date as amended and restated by the Supreme Court of British Columbia pursuant to an Amended and Restated Approval and Reverse Vesting Order granted on October 25, 2023. “RVO Date” means May 10, 2023. “RSU Holder” has the meaning set out in Section 2.5. “RSUs” means all of the outstanding, unexpired, unexercised restricted share units, whether or not then vested or exercisable, granted under the Equity Plan granted on or prior to the date of this Agreement. “RSU Termination Agreement” means that certain RSU Termination Agreement by and between the Corporation and the RSU Holder party thereto, substantially in the form attached as Exhibit B. “Sanctioned Country” means a country or territory or government thereof that is the subject or target of comprehensive Sanctions Laws. “Sanctioned Person” means a Person that is: (a) the subject or target of any Sanctions Laws; (b) in the aggregate, 50 percent or greater owned, directly or indirectly, or otherwise controlled (as defined under Sanctions Laws) by a Person or Persons described in clause (a); or (c) located, organized or resident in a Sanctioned Country. “Sanctions Laws” means U.S. sanctions, including those administered by OFAC, any Canadian sanctions, including those administered by Global Affairs Canada, the Minister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7"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38" descr=""/>
                    <pic:cNvPicPr>
                      <a:picLocks noChangeAspect="1" noChangeArrowheads="1"/>
                    </pic:cNvPicPr>
                  </pic:nvPicPr>
                  <pic:blipFill>
                    <a:blip r:embed="rId10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- 18 - 1390-1182-7473.14 Public Safety or the Royal Canadian Mounted Police, any United Kingdom sanctions, and any other applicable sanctions Laws of any other relevant sanctions authority. “Satisfied Earnout Amount” has the meaning set out in Section 2.8(3)(b). “Security Program” has the meaning set out in Section 3.2(29)(d). “Shares” means all of the issued and outstanding shares in the capital of the Corporation. “Social Media Identities” means all social media usernames and other internet identities used by the Corporation or a Subsidiary in the Business, and all account information relating thereto. “Software” means any software, computer programs and applications (including mobile apps), whether in source code, executable (object) code, script, or otherwise. “Standard Form MSA” has the meaning set out in Section 3.2(12)(c). “Statutory Plans” means statutory benefit plans which the Corporation or any Subsidiary is required to participate in or comply with, including the Canada and Quebec Pension Plans and plans administered pursuant to applicable health tax, workplace safety insurance and employment insurance legislation. “Straddle Period” means a taxation year or fiscal period that begins before and ends on or after the Closing Time. “Stub Period Returns” has the meaning set out in Section 6.2(1). “Subsidiary” means RentMoola Payment Solutions Limited. “Target Working Capital” means US$67,318. “Taxes” means, with respect to any Person, all supranational, national, federal, provincial, state, local or other taxes, including income taxes, branch taxes, profits taxes, capital gains taxes, gross receipts taxes, digital services taxes, windfall profits taxes, value added taxes, severance taxes, ad valorem taxes, property taxes, capital taxes, net worth taxes, production taxes, sales taxes, use taxes, licence taxes, excise taxes, franchise taxes, environmental taxes, transfer taxes, withholding or similar taxes, payroll taxes, employment taxes, employer health taxes, government pension plan premiums and contributions, social security premiums, workers’ compensation premiums, employment/unemployment insurance or compensation premiums and contributions, stamp taxes, occupation taxes, premium taxes, alternative or add-on minimum taxes, global minimum or “Pillar 2” taxes, GST/HST, customs duties or other taxes of any kind whatsoever imposed or charged by any Governmental Authority, any requirement to pay or repay any amount to a Governmental Authority in respect of a tax credit, refund, rebate, governmental grant or subsidy, overpayment, or similar adjustment of Taxes, and any instalments in respect thereof, together with any tax indemnity obligation, interest, penalties, or additions with respect thereto and any interest in respect of such additions or penalties, and whether disputed or not, and “Tax” means any one of such Taxes. “Tax Matters” has the meaning set out in Section 6.3. “Tax Representations” means the representations and warranties set forth in Sections 3.1(5) and 3.2(28).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8"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39" descr=""/>
                    <pic:cNvPicPr>
                      <a:picLocks noChangeAspect="1" noChangeArrowheads="1"/>
                    </pic:cNvPicPr>
                  </pic:nvPicPr>
                  <pic:blipFill>
                    <a:blip r:embed="rId10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- 19 - 1390-1182-7473.14 “Tax Returns” means all returns, reports, declarations, elections, notices, filings, information returns, and statements in respect of Taxes that are filed or required to be filed with any applicable Governmental Authority, including all amendments, schedules, attachments or supplements thereto and whether in tangible or electronic form. “Telephone Numbers” means all telephone numbers, common short codes and quick response codes used by the Corporation or a Subsidiary in the Business. “Third Party Claim” has the meaning given in Section 5.4. “Threatened”, when used in relation to a Legal Proceeding or other matter, means that a demand or statement (oral or written) has been made or a notice (oral or written) has been given that a Legal Proceeding or other matter is to be asserted, commenced, taken or otherwise pursued in the future. “Trade-Marks” means all trade-marks used by the Corporation or a Subsidiary in the Business, including (a) all service marks, official marks, certification marks and collective marks, (b) all trade dress, and (c) all corporate names, partnership names, business names, fictitious names and other trade names. “Trading Day” means any day on which the NASDAQ is open for trading. “Unauthorized Code” means any virus, trojan horse, worm or other software routines or hardware components designed to permit unauthorized access, to disable, erase, distort, modify, replicate or otherwise harm software, hardware or data. “Unresolved Claim” has the meaning set out in Section 2.8(3)(c). “US Dollars” or “USD” or “US$” or “$” means the lawful currency of the United States of America. “Vendor Releasees” has the meaning set out in Section 6.8(1). “Vendor Releasors” has the meaning set out in Section 6.8(1). “Vendors” has the meaning set out in the preamble hereto. “Vendors’ Indemnified Parties” means the Vendors and the Vendors’ Representative. “Vendors’ Representative” means Ayrshire Developments (HIF II) Corp. “Vendors’ Transaction Expenses” means any financial or other advisory, brokerage or agency fees, legal, accounting or auditing fees and any other costs and expenses incurred by or on behalf of the Vendors or the Vendors’ Representative in connection with the transactions contemplated by this Agreement. “Withheld Amount” has the meaning set out in Section 2.8(3)(c). “Works” means all works and subject matter owned, used or held for use by the Corporation or a Subsidiary in which copyright, neighbouring rights or moral rights subsist, including (a) all Software, (b) all databases and database layouts (the “Databases”), (c) all documents and other works relating to the Software or the Databases, (d) all other literary, artistic, pictorial, graphic, musical, dramatic and audio-visual works, (e) all performer’s performances, sound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9"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40" descr=""/>
                    <pic:cNvPicPr>
                      <a:picLocks noChangeAspect="1" noChangeArrowheads="1"/>
                    </pic:cNvPicPr>
                  </pic:nvPicPr>
                  <pic:blipFill>
                    <a:blip r:embed="rId10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- 20 - 1390-1182-7473.14 recordings, broadcast signals, and other neighbouring works, (f) all compilations of the foregoing, and (g) all derivatives, enhancements and modifications of the foregoing. 1.2 Accounting Principles. Whenever in this Agreement reference is made to generally accepted accounting principles, or to GAAP, such reference shall be deemed to be to the generally accepted accounting principles from time to time approved by the Chartered Professional Accountants of Canada, or any successor entity thereto, applicable as at the date on which such principles are to be applied or on which any calculation or determination is required to be made in accordance with generally accepted accounting principles. 1.3 Actions on Non-Business Days. If any payment is required to be made or other action (including the giving of notice) is required to be taken pursuant to this Agreement on a day which is not a Business Day, then such payment or action shall be considered to have been made or taken in compliance with this Agreement if made or taken on the next succeeding Business Day. 1.4 Currency and Payment Obligations. Except as otherwise expressly provided in this Agreement: (a) all dollar amounts referred to in this Agreement are stated in US Dollars; (b) any payment contemplated by this Agreement shall be made by wire transfer of immediately available funds to an account specified by the payee, by cash, by certified cheque or by any other method that provides immediately available funds; (c) except in the case of any payment due on the Closing Date, any payment due on a particular day must be received by and be available to the payee not later than 2:00 p.m. on the due date at the payee’s address for notice under Section 7.4 or such other place as the payee may have specified in writing to the payor in respect of a particular payment and any payment made after that time shall be deemed to have been made and received on the next Business Day; and (d) in the event an amount to be determined under this Agreement is: (i) denominated in Canadian Dollars, the US Dollar equivalent thereof shall be determined using the Bank of Canada’s most recently available published daily exchange rate; and (ii) denominated in US Dollars, the Canadian Dollar equivalent thereof shall be determined using the Bank of Canada’s most recently available published daily exchange rate. 1.5 Calculation of Interest. In calculating interest payable under this Agreement for any period of time, the first day of such period shall be included and the last day of such period shall be excluded. 1.6 Calculation of Time. In this Agreement, a period of days shall be deemed to begin on the first day after the event which began the period and to end at 5:00 p.m. Toronto time on the last day of the period. If any period of time is to expire hereunder on any day that is not a Business Day, the period shall be deemed to expire at 5:00 p.m. Toronto time on the next succeeding Business Day. 1.7 Knowledge. Where any representation, warranty or other statement in this Agreement is expressed to be made by a Vendor to its knowledge or is otherwise expressed to be limited in scope to facts or matters known to a Person or of which such Person is aware, it shall mean such knowledge as is actually known to (a) in the case of a Vendor that is an individual, such Vendor, (b) in the case of a Vendor that is a corporation, the directors, officers or employees of such Vendor who have overall responsibility for or knowledge of the matters relevant to such statement, (c) in the case of the Corporation, the directors, officers or Employees of the Corporation who have overall responsibility for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0"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41" descr=""/>
                    <pic:cNvPicPr>
                      <a:picLocks noChangeAspect="1" noChangeArrowheads="1"/>
                    </pic:cNvPicPr>
                  </pic:nvPicPr>
                  <pic:blipFill>
                    <a:blip r:embed="rId10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- 21 - 1390-1182-7473.14 or knowledge of the matters relevant to such statement, (d) in the case of the Management Shareholder, the directors, officers or employees of the Management Shareholder who have overall responsibility for or knowledge of the matters relevant to such statement and (e) in the case of the Purchaser, the directors, officers or employees of the Purchaser who have overall responsibility for or knowledge of the matters relevant to such statement. All references to knowledge of the Corporation shall be deemed to include knowledge of the Subsidiary and the officers and Employees of the Subsidiary who have overall responsibility for or knowledge of the matters relevant to the statement in question. 1.8 Tender. Except as otherwise provided in Section 2.6, any tender of documents or money hereunder may be made upon the Parties or their respective counsel and money shall be tendered by official bank draft drawn upon a Canadian chartered bank, by negotiable cheque payable in US Dollars and certified by a Canadian bank listed in Schedule 1 to the Bank Act (Canada), by wire transfer of immediately available funds in accordance with wire instructions given by the payee Party, or by another method that provides for immediately available funds as agreed between the Parties. 1.9 Additional Rules of Interpretation. (1) Gender and Number. In this Agreement, unless the context requires otherwise, words in one gender include all genders and words in the singular include the plural and vice versa. (2) Headings and Table of Contents. The inclusion in this Agreement of headings of Articles and Sections and the provision of a table of contents are for convenience of reference only and are not intended to be full or precise descriptions of the text to which they refer. (3) Section References. Unless the context requires otherwise, references in this Agreement to Articles, Sections, Schedules or Exhibits are to Articles or Sections of this Agreement, and Schedules or Exhibits to this Agreement. (4) Words of Inclusion. Wherever the words “include”, “includes” or “including” are used in this Agreement, they shall be deemed to be followed by the words “without limitation” and the words following “include”, “includes” or “including” shall not be considered to set forth an exhaustive list. (5) References to this Agreement. The words “hereof”, “herein”, “hereto”, “hereunder”, “hereby” and similar expressions shall be construed as referring to this Agreement in its entirety and not to any particular Section or portion of it. (6) Statute References. Unless otherwise indicated, all references in this Agreement to any statute include the regulations thereunder, in each case as amended, re-enacted, consolidated or replaced from time to time and in the case of any such amendment, re-enactment, consolidation or replacement, reference herein to a particular provision shall be read as referring to such amended, re- enacted, consolidated or replaced provision and also include, unless the context otherwise requires, all applicable guidelines, bulletins or policies made in connection therewith. (7) Document References. All references herein to any agreement (including this Agreement), document or instrument mean such agreement, document or instrument as amended, supplemented, modified, varied, restated or replaced from time to time in accordance with the terms thereof and, unless otherwise specified therein, includes all schedules and exhibits attached thereto. (8) Absence of Presumption. The Parties acknowledge that each Party and its counsel have reviewed and revised this Agreement and that no rule of construction to the effect that any ambiguities are to be resolved against the drafting Party shall be employed in the interpretation of this Agreement or any amendments hereto.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1"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42" descr=""/>
                    <pic:cNvPicPr>
                      <a:picLocks noChangeAspect="1" noChangeArrowheads="1"/>
                    </pic:cNvPicPr>
                  </pic:nvPicPr>
                  <pic:blipFill>
                    <a:blip r:embed="rId10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- 22 - 1390-1182-7473.14 1.10 Schedules and Exhibits. The following are the Schedules and Exhibits attached to and incorporated in this Agreement by reference and deemed to be a part hereof: EXHIBITS A Vendors B Form of RSU Termination Agreement C Sample Working Capital Calculation D Sample Gross Profit Calculation SCHEDULES 1.1(b) Permitted Liens 2.4(1) Payoff Creditors 3.2(1) Authorized Capital and Other Information Concerning the Corporation and the Subsidiary 3.2(3) Jurisdictions where Corporation and Subsidiary Licensed or Qualified 3.2(6) Financial Statements 3.2(10) Personal Property 3.2(11) Personal Property Leases 3.2(12) Contracts 3.2(14) Intellectual Property 3.2(15) Licences 3.2(18) Undisclosed Liabilities 3.2(19) Banking Information 3.2(20) Regulatory Approval 3.2(21) Absence of Conflicting Agreements 3.2(22) Legal Proceedings and Orders 3.2(23) Employment Matters 3.2(24) Employee Plans 3.2(25) Customers, Suppliers and Referral Partners 3.2(26) Transactions with Affiliates et al. 3.2(27) Insurance Policies and Claims 3.2(28) Tax Reassessments 3.2(29) Privacy Laws 3.2(30) IT Systems 3.2(31) Anti-Spam Laws 3.2(33) Absence of Certain Changes or Events 4.2(h) Consents 5.2(2)(f) Indemnified Matters Unless the context otherwise requires, words and expressions defined in this Agreement will have the same meanings in the Schedules and the interpretation provisions set out in this Agreement apply to the Schedules. Unless the context otherwise requires, or a contrary intention appears, references in the Schedules to a designated Article, Section, or other subdivision refer to the Article, Section, or other subdivision, respectively, of this Agreement. Unless otherwise indicated, no reference to or disclosure of any item or other matter in the Schedules shall be construed as an admission or indication that such item or other matter is material. The information contained in the Schedules is intended only to qualify and limit the representations, warranties and covenants of the Vendors contained in this Agreement. The numbering of the Schedules corresponds with the numbering of Sections of this Agreement. Any matter disclosed in any Schedule shall be considered disclosed also for other Schedules for which it is reasonably apparent that such matter is pertinent to the other Schedules.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2"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43" descr=""/>
                    <pic:cNvPicPr>
                      <a:picLocks noChangeAspect="1" noChangeArrowheads="1"/>
                    </pic:cNvPicPr>
                  </pic:nvPicPr>
                  <pic:blipFill>
                    <a:blip r:embed="rId10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- 23 - 1390-1182-7473.14 The Schedules and all information contained in them is confidential and may not be disclosed to any other Person except as permitted pursuant to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3"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44" descr=""/>
                    <pic:cNvPicPr>
                      <a:picLocks noChangeAspect="1" noChangeArrowheads="1"/>
                    </pic:cNvPicPr>
                  </pic:nvPicPr>
                  <pic:blipFill>
                    <a:blip r:embed="rId10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- 24 - 1390-1182-7473.14 ARTICLE 2 PURCHASE OF SHARES 2.1 Purchase and Sale. At the Closing Time, on and subject to the terms and conditions of this Agreement, each Vendor shall sell to the Purchaser, and the Purchaser shall purchase from each Vendor, the Shares owned by such Vendor as listed on Exhibit A. 2.2 Purchase Price. Subject to adjustment in accordance with this Agreement (including as provided in Section 6.6) (if any) and payable as provided in Section 2.7(6), the aggregate price payable by the Purchaser to the Vendors for the Shares (the “Purchase Price”) shall be an amount equal to: (a) US$4,500,000 (the “Base Purchase Price”); (b) plus the amount (if any) by which the Closing Working Capital exceeds the Target Working Capital; (c) minus the amount (if any) by which the Target Working Capital exceeds the Closing Working Capital; (d) plus the amount (if any) of the Closing Cash; (e) minus the amount (if any) of the Closing Indebtedness (including for greater certainty, any Closing Indebtedness repaid pursuant to Section 2.4(1)); (f) minus the amount (if any) of the Corporation Transaction Expenses (including for greater certainty, any Corporation Transaction Expenses paid pursuant to Section 2.4(2)); (g) plus the Earnout Amount paid pursuant to Section 2.8, if any; and (h) plus the amounts payable pursuant to Section 6.6, if any. 2.3 Delivery of Estimated Closing Statements. No less than three Business Days prior to the Closing Date, the Vendors’ Representative shall, acting reasonably, prepare in good faith and have delivered to the Purchaser a statement (the “Estimated Closing Statements”): (a) an internally prepared consolidated balance sheet of the Corporation prepared as of a date not more than 30 days prior to the Closing Date; (b) good faith written estimates of (i) Closing Cash, if any (“Estimated Closing Cash”); (ii) Closing Working Capital (“Estimated Closing Working Capital”); (iii) Closing Indebtedness (“Estimated Closing Indebtedness”); and (iv) Corporation Transaction Expenses, including the name and payment instructions for each Recipient thereof (the “Estimated Corporation Transaction Expenses”); (c) a good faith statement setting forth the amount payable to each RSU Holder (as defined below) and the amount of all applicable withholdings in respect of the amounts payable to each RSU Holder; and (d) a calculation of the estimated Purchase Price payable at the Closing (the “Estimated Purchase Price”).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4"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45" descr=""/>
                    <pic:cNvPicPr>
                      <a:picLocks noChangeAspect="1" noChangeArrowheads="1"/>
                    </pic:cNvPicPr>
                  </pic:nvPicPr>
                  <pic:blipFill>
                    <a:blip r:embed="rId1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- 25 - 1390-1182-7473.14 2.4 Payment of Estimated Closing Indebtedness and Estimated Corporation Transaction Expenses. (1) Payment of Estimated Closing Indebtedness. No less than three Business Days prior to the Closing Date, the Vendors’ Representative shall deliver or cause to be delivered to the Purchaser a Payoff Letter from each Payoff Creditor. On the Closing Date immediately prior to the Closing Time, the Purchaser shall lend to the Corporation (pursuant to a non-interest bearing demand promissory note) an amount equal to the aggregate of all Indebtedness payable to the Payoff Creditors as set forth in the Payoff Letters, and the Purchaser shall satisfy such loan by paying such amount to the Payoff Creditors in accordance with the Payoff Letters. (2) Payment of Estimated Corporation Transaction Expenses. On the Closing Date immediately prior to the Closing Time, the Purchaser shall lend to the Corporation (pursuant to a non- interest bearing demand promissory note) an amount equal to aggregate of all Estimated Corporation Transaction Expenses as set forth in the Estimated Closing Statements, and the Purchaser shall satisfy such loan by paying such amount to the Persons to whom the Estimated Corporation Transaction Expenses are payable in accordance with the payment instructions set forth in the Estimated Closing Statements. 2.5 RSU Payments. Immediately prior to the Closing Time (but subject to the occurrence of Closing), each of the RSUs granted under the Equity Plan that are outstanding immediately prior to the Closing, whether such RSU is vested or unvested, shall be cancelled, and the holder of such RSUs (“RSU Holder”) will be entitled to receive via payroll (or, for non-payroll eligible RSU Holders, by direct payment) on or promptly following the Closing Date, upon delivery by such RSU Holder of a duly executed RSU Termination Agreement, prior to the Closing Date, in full satisfaction of the rights of such RSU Holder with respect thereto, for each outstanding and cancelled RSU, an amount as set forth in such RSU Holder’s RSU Termination Agreement, subject to any applicable withholding Taxes, which shall be duly and promptly withheld and remitted to the relevant Governmental Authority by the Corporation. The Vendors shall cause the Corporation to take the necessary corporate actions to approve the transactions contemplated by this Section 2.5. 2.6 Payment of Purchase Price. The Purchase Price shall be paid and satisfied as follows: (1) at the Closing Time, the Purchaser shall pay to the Vendors’ Representative (on behalf of the Vendors) an amount equal to the Estimated Purchase Price; (2) on the Adjustment Date, the payments required pursuant to and in accordance with Section 2.7(6); (3) on the dates contemplated in Section 2.8(3), the Earnout Amount, if any, required pursuant to and in accordance with Section 2.8; and (4) any amounts required pursuant to Section 6.6 if and when payable. 2.7 Closing Adjustments. (1) Closing Statements. Promptly after the Closing Time, and in any event no later than the 90th day following the Closing Date, the Purchaser shall prepare, at the Purchaser’s expense, and deliver to the Vendors’ Representative (collectively, the “Closing Statement”): (a) a draft of the Closing Balance Sheet;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5"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46" descr=""/>
                    <pic:cNvPicPr>
                      <a:picLocks noChangeAspect="1" noChangeArrowheads="1"/>
                    </pic:cNvPicPr>
                  </pic:nvPicPr>
                  <pic:blipFill>
                    <a:blip r:embed="rId1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- 26 - 1390-1182-7473.14 (b) draft calculations of (i) Closing Cash, (ii) Closing Working Capital, (iii) Closing Indebtedness, and (iv) Corporation Transaction Expenses; and (c) a draft calculation of the Closing Adjustment Amount. (2) Closing Adjustment Amount. The “Closing Adjustment Amount” (which may be a positive or negative number) shall be equal to: (a) Closing Cash less Estimated Closing Cash (which may be a positive or negative number); (b) plus Closing Working Capital less Estimated Closing Working Capital (which may be a positive or negative number); (c) plus Estimated Closing Indebtedness less Closing Indebtedness (which may be a positive or negative number); and (d) plus Estimated Corporation Transaction Expenses less Corporation Transaction Expenses (which may be a positive or negative number). (3) Access to Records, etc. During the period from the date of delivery of the Closing Statement until the date no later than 10 Business Days after delivery of the Closing Statement, the Purchaser shall give the Vendors’ Representative and its Representatives such assistance and access to the Books and Records as the Vendors’ Representative and its Representatives may reasonably request in order to enable them to reasonably assess the Closing Statement. The Vendors’ Representative’s Representatives shall be provided promptly with copies of all working papers created by the Purchaser and its Representatives in connection with such preparation. (4) Deemed Acceptance. If the Vendors’ Representative (for and on behalf of the Vendors) does not give a notice of objection in accordance with Section 2.7(5), the Vendors’ Representative shall be deemed to have accepted the Closing Statements, including the calculation of the Closing Adjustment Amount set out therein, which shall be final and binding on the Parties and shall be conclusive for purposes of this Agreement immediately following the expiry date for the giving of such notice of objection. (5) Dispute Settlement. If the Vendors’ Representative (for and on behalf of the Vendors) objects to any matter in the Closing Statements prepared pursuant to Section 2.7, the Vendors’ Representative shall give notice to the Purchaser no later than 10 Business Days after delivery of the Closing Statements. Any notice given by the Vendors’ Representative shall set forth in detail the particulars of such objection. The Purchaser and the Vendors’ Representative shall then use reasonable efforts to resolve such objection for a period of 30 days following the giving of such notice. If the matter is not resolved by the end of such 30 day period, then the dispute with respect to such objection shall be submitted by the Purchaser and the Vendors’ Representative to an accounting partner associated with an accounting firm of recognized national standing in Canada, which is independent of the Parties (the “Independent Accountant”). If the Purchaser and the Vendors’ Representative are unable to agree on the Independent Accountant within a further 10 day period, either of them may apply under the Arbitration Act, 1991 (Ontario) to have a court appoint the Independent Accountant. The Independent Accountant shall, as promptly as practicable (but in any event within 45 days following its appointment), make a determination of any matter in dispute, based solely on written submissions of the Parties given by them to the Independent Accountant. The submissions of each of the Purchaser and the Vendors’ Representative shall be disclosed to the other and each of the Purchaser and the Vendors’ Representative shall be afforded a reasonable opportunity to respond thereto. The decision of the Independent Accountant as to any disputed matter shall be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6"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47" descr=""/>
                    <pic:cNvPicPr>
                      <a:picLocks noChangeAspect="1" noChangeArrowheads="1"/>
                    </pic:cNvPicPr>
                  </pic:nvPicPr>
                  <pic:blipFill>
                    <a:blip r:embed="rId1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- 27 - 1390-1182-7473.14 final and binding upon the Parties and shall be conclusive for purposes of this Agreement. The Purchaser and the Vendors’ Representative (on behalf of the Vendors) shall each pay one-half of the fees and expenses of the Independent Accountant with respect to the resolution of the dispute. (6) Payment of Purchase Price Adjustment. (a) If the Closing Adjustment Amount is a negative number, the Purchaser shall, on the Adjustment Date, reduce the Earnout Amount that would otherwise be paid by the Purchaser to the Vendors by an amount equal to the absolute value of the Closing Adjustment Amount. (b) If the Closing Adjustment Amount is a positive number, then (i) the Purchaser shall pay to the Vendors’ Representative (on behalf of the Vendors) on the Adjustment Date, by wire transfer of immediately available funds to the account(s) designated by the Vendors’ Representative in writing, an amount equal to the Closing Adjustment Amount. 2.8 Earnout. (1) Earnout Payment. The Vendors and Purchaser acknowledge there is a value to the goodwill of the Business that is not fully determinable as of the Closing Date. As additional consideration for the purchased Shares in respect of the goodwill of the Business, at such times and to the extent provided for in this Section 2.8, if applicable, in respect of consecutive one-month periods beginning on the Earnout Term Commencement Date and ending on the Earnout Term End Date (together, the “Earnout Term”, and each calendar month (or, in the case of any partial calendar month during the Earnout Term resulting from the Earnout Term Commencement Date occurring on a date other than the first day of a calendar month or the Earnout Term End Date occurring on a date other than the last day of a calendar month, such stub period month) an “Earnout Period”), the Purchaser shall pay to the Vendors’ Representative (on behalf of the Vendors) an amount determined pursuant to this Section 2.8 (the “Earnout Amount”). For certainty, the aggregate of all Earnout Amounts payable pursuant to this Section 2.8 shall not exceed US$6,500,000. (2) Calculation of Earnout Amounts. (a) On or before the date that is 30 days after the end of each Earnout Period, the Purchaser shall cause the Corporation (or any successor of the Business) to prepare and deliver to the Vendors’ Representative, a statement (each an “Earnout Calculation Statement”) setting out its calculation of Gross Profit for such Earnout Period and the resulting Monthly Earnout Amount for such Earnout Period (each an “Earnout Calculation”). (b) No more than once per year following the Earnout Term Commencement Date, the Vendors’ Representative may dispute any one or more Earnout Calculation Statements prepared pursuant to 2.8(2)(a) in accordance with the dispute settlement terms set out in Section 2.7(5) mutatis mutandis as such Section applies to the Closing Statements. If the Vendors’ Representative disputes any Earnout Calculation Statement prepared pursuant to Section 2.8(2)(a), then upon resolution of any such dispute, any additional amounts payable to the Vendors as a result of such resolution shall be paid within five Business Days of such resolution over to the Vendors’ Representative on behalf of the Vendors, subject to the aggregate amount of all Earnout Amounts not exceeding the Fixed Earnout Amount. For clarity, while any dispute is pending pursuant to this Section 2.8(2)(b), the Purchaser shall continue to pay Earnout Amounts for Earnout Periods that are not subject to a dispute.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7"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48" descr=""/>
                    <pic:cNvPicPr>
                      <a:picLocks noChangeAspect="1" noChangeArrowheads="1"/>
                    </pic:cNvPicPr>
                  </pic:nvPicPr>
                  <pic:blipFill>
                    <a:blip r:embed="rId1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- 28 - 1390-1182-7473.14 (3) Payment of Earnout Amounts. (a) Each Earnout Amount that the Purchaser is required to pay under this Section 2.8, shall, subject to the terms and conditions of this Section 2.8 and Section 2.7(6)(a), be paid no later than 30 days following the date of delivery of the applicable Earnout Calculation Statement, by wire transfer of immediately available funds, to the Vendors’ Representative (on behalf of the Vendors). (b) If, as of the end of the Earnout Term, the aggregate of the Earnout Amounts payable in accordance with Section 2.8(3)(a) (regardless of whether such amounts are paid or withheld by the Purchaser in accordance with Section 2.7(6)(a) or Section 2.8) (the “Satisfied Earnout Amount”) is less than the Fixed Earnout Amount, the Purchaser shall, no later than 30 days following the end of the Earnout Term, at the Purchaser’s option: (i) pay an amount equal to the Fixed Earnout Amount less the Satisfied Earnout Amount by wire transfer of immediately available funds to the Vendors’ Representative (on behalf of the Vendors); or (ii) subject to Applicable Law (including any requirement to obtain Regulatory Approvals) and the terms of this Agreement, including Section 2.8(3)(c) and Section 2.9, satisfy the difference between the Fixed Earnout Amount and the Satisfied Earnout Amount by, at the option of the Vendors’ Representative (which shall be exercised by the Vendors’ Representative by written notice to the Purchaser no later than 30 days following the end of the Earnout Term): (1) subject to the negotiation of a unanimous shareholders agreement in respect of the Purchaser on terms satisfactory to the Purchaser, acting reasonably, issuing such number of non-voting shares in the capital of the Purchaser to the Vendors (in accordance with their Allocable Portion; provided that no fractional shares shall be issued) having an aggregate value equal to the Fixed Earnout Amount less the Satisfied Earnout Amount, as determined by a mutually-agreed upon valuation firm whose fees and expenses with respect to such determination are paid for one half each by the Purchaser and the Vendors’ Representative (on behalf of the Vendors); or (2) cause the Parent Guarantor to within 30 days (subject to any delays required by Applicable Law, in which case such deadline shall be extended to the extent of such required delay) of exercise by the Vendors’ Representative, issue such number of shares in the capital of the Parent Guarantor (the “Priority Shares”) to the Vendors (in accordance with their Allocable Portion; provided that no fractional shares shall be issued) having an aggregate value equal to 90% of the difference between the Fixed Earnout Amount and the Satisfied Earnout Amount, as determined using the volume weighted average trading price of the Priority Shares on the NASDAQ for the period of 20 Trading Days ending five Trading Days prior to the issuance of the Priority Shares. (c) Notwithstanding Sections 2.8(3)(a) and 2.8(3)(b) on the applicable payment date, if there are any bona fide claims made by the Purchaser for indemnification validly made under Section 5.2 (but subject to the limitations set forth in Sections 5.5, 5.6 and 5.7), that have not been subject to a Final Determination or otherwise resolved by written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8"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49" descr=""/>
                    <pic:cNvPicPr>
                      <a:picLocks noChangeAspect="1" noChangeArrowheads="1"/>
                    </pic:cNvPicPr>
                  </pic:nvPicPr>
                  <pic:blipFill>
                    <a:blip r:embed="rId1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- 29 - 1390-1182-7473.14 agreement signed by the applicable Parties (each, an “Unresolved Claim”), then the Earnout Amounts that would otherwise be paid by the Purchaser to the Vendors as aforesaid shall be reduced by an amount equal to the aggregate amount of such Unresolved Claims (such amount, the “Withheld Amount”), and such Withheld Amount shall be held by the Purchaser on and subject to the terms of this Section 2.8(3)(c). Upon a Final Determination or resolution by written agreement signed by the applicable Parties with respect to all or any part of an Unresolved Claim, then (i) the amount of the Withheld Amount, if any, to which the Purchaser is entitled in respect of such claim shall be retained by the Purchaser out of the remaining balance of the Withheld Amount, and (ii) any Withheld Amount in excess of the aggregate value of any remaining Unresolved Claims (or the unresolved portions thereof, as applicable), if any, shall within 10 Business Days be released by the Purchaser to the Vendors’ Representative (on behalf of the Vendors). When all Unresolved Claims have been Finally Determined or otherwise resolved by written agreement signed by the applicable Parties and all amounts in respect thereof to which the Purchaser is entitled to retain out of the Withheld Amount have been released to the Purchaser, the Purchaser shall within 10 Business Days, release the remainder of the Withheld Amount, if any, to the to the Vendors’ Representative (on behalf of the Vendors). (4) Operation of Business During Earnout Term. During the Earnout Term: (a) the Purchaser shall not, and shall cause each of its Affiliates (including the Corporation and the Subsidiary) not to, take any action, or fail to take any action, with respect to the Corporation and the Subsidiary with the specific intent of avoiding, delaying or reducing any Earnout Amount; (b) (i) the Purchaser shall cause the Corporation to maintain a separate legal existence of the Corporation and not merge or amalgamate the Corporation with any other Person or wind-up or liquidate the Corporation and (ii) the Purchaser shall maintain separate accounting books and records with respect to the Business for purposes of calculating Gross Profit; provided, that, notwithstanding the foregoing, the Purchaser may (A) merge, amalgamate, or otherwise consolidate the Corporation and/or the Subsidiary with the Purchaser or any of its Affiliates, (B) wind-up, dissolve and/or liquidate the Subsidiary, and/or (C) transfer the Business or the shares or assets of the Corporation and/or the Subsidiary to the Purchaser or any of its Affiliates (including, for the avoidance of doubt, in connection with the wind-up, dissolution and/or liquidation of the Subsidiary); provided further that, the Purchaser and, if applicable, such Affiliate or surviving entity on consolidation, amalgamation or merger, shall be jointly and severally liable for all of the Purchaser’s obligations under this Agreement (including with respect to any future Earnout Amounts payable hereunder); (c) the Purchaser shall not take any action with respect to items reflected in the accounting books and records of the Business used in the preparation of any Earnout Calculation Statement that is inconsistent with GAAP; provided that for the avoidance of doubt, the Purchaser may cause the Corporation and the Subsidiary to change from cash-based accounting to accrual-based accounting); (d) in the event the Business (i) provides goods or services to any Affiliate of the Purchaser for the purposes of providing services to a customer of such Affiliate or (ii) receives goods or services from an Affiliate of Purchaser where the cost of such goods or services would be a deduction to Gross Profit, then the provision or receipt of such goods or services shall be made on arm’s length terms within the meaning of the ITA;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9"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50" descr=""/>
                    <pic:cNvPicPr>
                      <a:picLocks noChangeAspect="1" noChangeArrowheads="1"/>
                    </pic:cNvPicPr>
                  </pic:nvPicPr>
                  <pic:blipFill>
                    <a:blip r:embed="rId1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- 30 - 1390-1182-7473.14 (e) the occurrence of either (i) the consummation of a Purchaser Change of Control or (ii) the dissolution, liquidation or winding down of the Corporation other than in accordance with Section 2.8(4)(b), in either case, without the prior written consent of the Vendors’ Representative (not to be unreasonably withheld, conditioned or delayed, provided that it shall be reasonable for the Vendors’ Representative to withhold its consent to any proposed transaction that does not result in the payment in full in cash of the Fixed Earnout Amount less the Satisfied Earnout Amount in connection with the closing of the transaction), will result in the immediate and full acceleration of the Fixed Earnout Amount whereby the Vendors’ Representative on behalf of the Vendors shall be entitled to receive from the Purchaser payment in cash equal to the amount equal to the Fixed Earnout Amount less the Satisfied Earnout Amount in accordance with Section 2.8(3)(b) as if the Earnout Term were deemed to end on the date of such Purchaser Change of Control or dissolution, liquidation or winding down of the Corporation. For the avoidance of doubt, except as set forth above in this Section 2.8(3)(c) and subject to the terms of the other agreements and documents executed at the Closing, (i) the Purchaser and its Affiliates shall otherwise be entitled to run and operate the Business and conduct its operations in their sole discretion, and (ii) the Buyer and its Affiliates shall owe no duty, as a fiduciary or otherwise, to Vendors or any of their Affiliates in connection with its operation of the Business following the Closing. 2.9 Withholding Taxes. The Purchaser and the Corporation (and any successor thereto) shall be entitled to deduct and withhold from any consideration or other amount otherwise payable pursuant to this Agreement (or any other agreement or document delivered in connection with this Agreement) to any Person such amounts as the Purchaser and the Corporation (and any successor thereto) determine, acting reasonably, may be required to be deducted and withheld therefrom under any provision of Applicable Laws in respect of Taxes. To the extent that such amounts are so deducted, withheld and remitted to the appropriate Governmental Authority, such amounts shall be treated for all purposes under this Agreement as having been paid to the Person to whom such amounts would otherwise have been paid. 2.10 Purchase Price Allocation. The Purchase Price (as adjusted in accordance with this Agreement) shall be allocated among the Vendors in accordance with each Vendor’s Allocable Portion as set forth in Exhibit A hereto. If and to the extent the Purchase Price is adjusted after the Closing as contemplated by Section 2.7 (or otherwise pursuant to this Agreement), then the allocation of the Purchase Price among the Vendors will also be adjusted in proportion with the allocation provided in Exhibit A. The Vendors and the Purchaser shall file their respective Tax Returns based upon and in accordance with such allocation and will not make any inconsistent statements or take any inconsistent positions on any Tax Returns or in any refund claims or during the course of any audits by any taxing authorities. 2.11 Payment Matters. Each Vendor acknowledges and agrees that (i) Purchaser’s obligation to make any payment under this Article 2 shall be fully and finally satisfied and discharged by Purchaser making such payment to or as directed by the Vendors’ Representative, (ii) the Vendors shall be solely responsible among themselves for allocating and distributing to each Vendor such Vendor’s respective share of any such payment, and (iii) Purchaser shall have no liability or responsibility to the Vendors for the allocation or distribution of any such payment among the Vendors following the making of such payment to or as directed by the Vendors’ Representative.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0"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51" descr=""/>
                    <pic:cNvPicPr>
                      <a:picLocks noChangeAspect="1" noChangeArrowheads="1"/>
                    </pic:cNvPicPr>
                  </pic:nvPicPr>
                  <pic:blipFill>
                    <a:blip r:embed="rId1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- 31 - 1390-1182-7473.14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1"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52" descr=""/>
                    <pic:cNvPicPr>
                      <a:picLocks noChangeAspect="1" noChangeArrowheads="1"/>
                    </pic:cNvPicPr>
                  </pic:nvPicPr>
                  <pic:blipFill>
                    <a:blip r:embed="rId1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- 32 - 1390-1182-7473.14 ARTICLE 3 REPRESENTATIONS AND WARRANTIES 3.1 Representations and Warranties of the Vendors as to Themselves. As a material inducement to the Purchaser’s entering into this Agreement and completing the transactions contemplated by this Agreement and acknowledging that the Purchaser is entering into this Agreement in reliance upon the representations and warranties of the Vendors set out in this Section 3.1, each Vendor separately represents and warrants, as to such Vendor, but not as to any other Vendor, to the Purchaser as follows: (1) Incorporation, Capacity and Status of Vendors. (a) With respect to each Vendor that is a corporation: (i) such Vendor is a corporation incorporated, organized and subsisting under the laws of the jurisdiction of its incorporation; (ii) such Vendor has sent to the appropriate Person all annual returns and financial statements required to be sent under the laws of the jurisdiction of its incorporation; (iii) such Vendor has the corporate power, authority and capacity to execute and deliver this Agreement and all other agreements and instruments to be executed by it as contemplated herein and to perform its other obligations hereunder and under all such other agreements and instruments; (iv) such Vendor has the corporate power, authority and capacity to own and dispose of the Shares to the Purchaser; (v) no act or proceeding has been taken or authorized by or against such Vendor by any other Person in connection with the dissolution, liquidation, winding up, bankruptcy or insolvency of such Vendor or with respect to any amalgamation, merger, consolidation, arrangement or reorganization of, or relating to, such Vendor and no such proceedings have been Threatened by any other Person; (vi) the execution, delivery and performance of this Agreement by such Vendor and the completion of the transactions contemplated by this Agreement do not and will not result in or constitute a default, breach or violation or an event that, with notice or lapse of time or both, would be a default, breach or violation of any of the terms, conditions or provisions of the articles or by-laws (or similar governing documents) of such Vendor. (b) With respect to each Vendor that is a partnership: (i) such Vendor is a partnership formed, organized and subsisting under the laws of the jurisdiction of its formation; (ii) such Vendor has the power, authority and capacity to execute and deliver this Agreement and all other agreements and instruments to be executed by it as contemplated herein and to perform its other obligations hereunder and under all such other agreements and instruments;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2"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53" descr=""/>
                    <pic:cNvPicPr>
                      <a:picLocks noChangeAspect="1" noChangeArrowheads="1"/>
                    </pic:cNvPicPr>
                  </pic:nvPicPr>
                  <pic:blipFill>
                    <a:blip r:embed="rId1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- 33 - 1390-1182-7473.14 (iii) such Vendor has the power, authority and capacity to own and dispose of the Shares to the Purchaser; (iv) no act or proceeding has been taken or authorized by or against such Vendor by any other Person in connection with the dissolution, liquidation, winding up, bankruptcy or insolvency of such Vendor or with respect to any arrangement or reorganization of, or relating to, such Vendor and no such proceedings have been Threatened by any other Person; (v) the execution, delivery and performance of this Agreement by such Vendor and the completion of the transactions contemplated by this Agreement do not and will not result in or constitute a default, breach or violation or an event that, with notice or lapse of time or both, would be a default, breach or violation of any of the terms, conditions or provisions of the partnership agreement (or similar governing documents) of such Vendor. (c) With respect to each Vendor that is an individual: (i) such Vendor has full legal capacity to enter into and perform such Vendor’s obligations under this Agreement; and (ii) no act or proceeding has been taken or authorized by or against such Vendor by any other Person in connection with the bankruptcy or insolvency of such Vendor and no such proceedings have been Threatened by any other Person (2) Authorization by Vendors. The execution and delivery of and performance by such Vendor of this Agreement and all other agreements and instruments contemplated herein to which such Vendor is a party, and the consummation of the transactions contemplated hereby and thereby, have been or will be duly authorized by all necessary action on the part of such Vendor. (3) Enforceability of Vendors’ Obligations. This Agreement constitutes the valid and binding obligation of such Vendor enforceable against such Vendor in accordance with its terms subject to limitations on enforcement imposed by bankruptcy, insolvency, reorganization or other laws affecting the enforcement of the rights of creditors generally and others and to the extent that equitable remedies such as specific performance and injunctions are only available in the discretion of the court from which they are sought. Such Vendor is not an insolvent person within the meaning of the Bankruptcy and Insolvency Act (Canada) and will not become an insolvent person as a result of the Closing. There is no Legal Proceeding in progress, pending, or, to the knowledge of such Vendor, Threatened against or affecting such Vendor or affecting the title of such Vendor to any of the Shares at law or in equity. To the knowledge of such Vendor, there are no grounds on which any such Legal Proceeding might be commenced and there is no Order outstanding against or affecting such Vendor which, in any such case, affects adversely or might affect adversely the ability of such Vendor to enter into this Agreement or to perform its obligations hereunder. (4) Ownership of Shares. With respect to each Vendor, such Vendor is the registered and beneficial holder of the Shares set out beside its name in on Exhibit A with good and marketable title thereto, free and clear of all Liens. No Person other than the Purchaser has, or has any right capable of becoming, any agreement, option, right or privilege for the purchase or other acquisition from such Vendor of any of such Shares. There are no restrictions of any kind on the transfer of such Shares except those set out in the articles of incorporation of the Corporation. Such Shares have been validly issued in compliance with Applicable Law and are fully paid and non-assessable.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3"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54" descr=""/>
                    <pic:cNvPicPr>
                      <a:picLocks noChangeAspect="1" noChangeArrowheads="1"/>
                    </pic:cNvPicPr>
                  </pic:nvPicPr>
                  <pic:blipFill>
                    <a:blip r:embed="rId1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- 34 - 1390-1182-7473.14 (5) Tax Matters. Except as set out in Schedule 3.1(5), such Vendor is not a non-resident of Canada for purposes of the ITA. The Shares are not “taxable Canadian property” for purposes of the ITA. Such Vendor has no reason to believe that the transactions contemplated herein could be reportable by any person pursuant to (i) sections 237.3, 237.4 or 237.5 of the ITA, or (ii) sections 1079.8.5 or 1079.8.6 of the Taxation Act (Quebec). (6) Commissions. The Purchaser will not be liable for any brokerage commission, finder’s fee or other similar payment in connection with the transactions contemplated by this Agreement because of any action taken by, or agreement or understanding reached by, such Vendor, the Corporation or any Subsidiary. (7) Approvals. No Regulatory Approval or filing with, notice to, or waiver from any Governmental Authority is required to be obtained or made by such Vendor in connection with the execution and delivery of, or performance by such Vendor of its obligations under, this Agreement or the consummation of the transactions contemplated hereby. (8) No Conflicts; Consents. The execution, delivery and performance by such Vendor of this Agreement and the consummation of the transactions contemplated hereby, do not and will not result in: (a) a violation or breach of any provision of the articles and by-laws or other constating documents of the Vendor (if applicable); (b) a default, breach or violation or any event that, with notice or lapse of time or both, would be a default, breach or violation of any of the terms, conditions or provisions of any material contract or license of the Vendor; (c) the creation or imposition of any Lien on the Shares; or (d) the violation of any Applicable Law. 3.2 Representations and Warranties of the Management Shareholder as to the Corporation and the Subsidiary. As a material inducement to the Purchaser’s entering into this Agreement and completing the transactions contemplated by this Agreement and acknowledging that the Purchaser is entering into this Agreement in reliance upon the representations and warranties of the Management Shareholders set out in this Section 3.2, the Management Shareholder represents and warrants, to the Purchaser as follows: (1) Organization of the Corporation and the Subsidiary. (a) The information set out in Schedule 3.2(1) concerning the name and jurisdiction of incorporation, the authorized, issued and outstanding shares and the directors and officers of the Corporation and of the Subsidiary is true and complete. Each of the Corporation and the Subsidiary is incorporated, organized and subsisting under the laws of its jurisdiction of incorporation. Except as set out in Schedule 3.2(1), the Corporation and the Subsidiary have never conducted the Business under any name other than their respective current corporate names. Except as set out in Schedule 3.2(1), there are no shareholders’ agreements governing the affairs of the Corporation or any Subsidiary or the relationship, rights and duties of its shareholders, nor are there any voting trusts, pooling arrangements or other similar agreements with respect to the ownership or voting of any shares of the Corporation or any Subsidiary. Except as set out in Schedule 3.2(1), neither the Corporation nor any Subsidiary has a direct or indirect equity interest in any other Person.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4"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55" descr=""/>
                    <pic:cNvPicPr>
                      <a:picLocks noChangeAspect="1" noChangeArrowheads="1"/>
                    </pic:cNvPicPr>
                  </pic:nvPicPr>
                  <pic:blipFill>
                    <a:blip r:embed="rId1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- 35 - 1390-1182-7473.14 (b) Except for the RSUs, there are no rights, subscriptions, warrants, options, conversion rights, calls, commitments or plans or agreements of any kind outstanding which would enable any Person to purchase or otherwise acquire any shares or other securities of the Corporation or any Subsidiary including, without limitation, any securities convertible into or exchangeable or exercisable for shares or other securities of the Corporation or any Subsidiary. Schedule 3.2(1) sets forth, as of the date hereof, a true and complete list of each holder of RSUs, specifying on a holder-by-holder basis (i) the name of each holder of RSUs, (ii) the number of shares subject to the RSUs held by such holder, (iii) the grant date of such RSUs, (iv) the vesting schedule of such RSUs, and (v) the expiration date of such RSUs. (c) RentMoola Payment Solutions Limited and 1410612 Delaware Inc. have each (i) never had any material assets, liabilities or operations, (ii) never had any employees or independent contractors; (iii) carried on its activities in compliance with Applicable Law, in all material respects; and (iv) (x) duly and timely filed all Tax Returns required to be filed by it and all such Tax Returns are true and complete in all material respects, and (y) paid in full and when due all Taxes required to be paid by it. 1410612 Delaware Inc. was dissolved on December 27, 2024. (2) Takeover Bid Exemption. The Corporation is not a reporting issuer and there is no published market for any class of the Corporation’s securities. The number of security holders of each class of securities of the Corporation as of the date hereof is not more than 50, exclusive of security holders who: (i) are in the employment of the Corporation or its Affiliates, or (ii) were formerly in the employment of the Corporation or an entity that was an affiliate of the Corporation at the time of that employment, and who while in that employment were, and have continued after that employment to be, security holders of the Corporation. (3) Qualification to do Business. Each of the Corporation and the Subsidiary is registered, licensed or otherwise qualified to do business under the laws of the jurisdictions specified in Schedule 3.2(3) and neither the character nor the location of the properties and assets owned by the Corporation or any Subsidiary nor the nature of the Business requires registration, licensing or other qualification under the laws of any other jurisdiction except where the failure to be so registered, licensed or otherwise qualified would not, individually or in the aggregate, be material. Each of the Corporation and the Subsidiary has all necessary corporate power, authority, and capacity to carry on the Business and to own or lease and operate its property and assets as now carried on and owned or leased and operated. (4) Corporate Records. Except for matters which were fully resolved by the NOI Proceedings, the minute books of each of the Corporation and the Subsidiary have been maintained in accordance with Applicable Law and contain true, correct and complete copies of (i) its articles, its by-laws and (ii) except to the extent of any deficiencies that would not, individually or in the aggregate, be material, the minutes of every meeting of its board of directors and every committee thereof and of its shareholders and every written resolution of its directors and shareholders. Except for matters which were fully resolved by the NOI Proceedings, all meetings of directors and shareholders of each of the Corporation and the Subsidiary have been duly called and held and all resolutions have been duly passed in accordance with Applicable Law at such meetings or by written resolution, except to the extent of any deficiencies that would not, individually or in the aggregate, be material. The share certificate book, register of shareholders, register of transfers, register of individuals with significant control and register of directors and officers of the Corporation and the Subsidiary are complete and accurate in all respects. (5) Bankruptcy, Insolvency and Reorganization. Neither the Corporation nor any Subsidiary is an insolvent person within the meaning of the Bankruptcy and Insolvency Act (Canada)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5"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56" descr=""/>
                    <pic:cNvPicPr>
                      <a:picLocks noChangeAspect="1" noChangeArrowheads="1"/>
                    </pic:cNvPicPr>
                  </pic:nvPicPr>
                  <pic:blipFill>
                    <a:blip r:embed="rId1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- 36 - 1390-1182-7473.14 and, other than with respect to the prior NOI Proceedings, neither the Corporation or any Subsidiary has made an assignment in favour of its creditors or a proposal in bankruptcy to its creditors or any class thereof nor had any petition for a receiving order presented in respect of it. Neither the Corporation nor any Subsidiary has initiated proceedings with respect to a compromise or arrangement with its creditors or for its winding up, liquidation or dissolution. Other than in connection with the NOI Proceedings, no receiver has been appointed in respect of the Corporation, any Subsidiary, or any of their respective property or assets and no execution or distress has been levied upon any of its property or assets of the Corporation or any Subsidiary. Other than with respect to the prior NOI Proceedings, no act or proceeding has been taken or authorized by or against the Corporation or any Subsidiary with respect to any amalgamation, merger, consolidation, arrangement or reorganization of, or relating to, the Corporation or any Subsidiary nor have any such proceedings been authorized by any other Person. No Person, including any Governmental Authority, has taken or has threatened to take the position that any Legal Proceeding, non-compliance or any other claim against the Corporation or any of its subsidiaries or predecessors was not permanently stayed, compromised, extinguished or otherwise an “Excluded Liability Claim” pursuant to the RVO. (6) Financial Statements. Except as set forth in Schedule 3.2(6), (a) the Financial Statements have been prepared in accordance with GAAP consistently applied throughout the periods to which they relate, subject, in the case of the Interim Financial Statements, to usual year-end adjustments and the exclusion of footnotes; (b) the balance sheets contained in the Financial Statements fairly present the financial position of the Corporation and the Subsidiary as of their respective dates and the statements of earnings and retained earnings contained in the Financial Statements fairly present the revenues, earnings and results of operations for the periods indicated; (c) the Financial Statements are accurate and complete in all material respects and are based upon and are consistent with the Books and Records; and (d) the Financial Statements do not contain any untrue statement of a material fact or omit to state any material fact necessary to make the Financial Statements not misleading. (7) Books and Records. All Books and Records have been made available to the Purchaser. Except as set forth in Schedule 3.2(6), all material financial transactions of the Corporation and the Subsidiary have been accurately recorded in the Financial Records in accordance with sound business and financial practice and the Financial Records accurately reflect the basis for the financial condition and the revenues, expenses and results of operations of the Corporation and the Subsidiary as of and to the date hereof. All Books and Records are in the full possession and exclusive control of, and are owned exclusively by, the Corporation or a Subsidiary and are not dependent upon any computerized or other system, program or device that is not exclusively owned and controlled by the Corporation or a Subsidiary. (8) Title to and Sufficiency of Assets. Each of the Corporation and the Subsidiary has good and marketable legal and beneficial title to all of its property and assets, free and clear of any and all Liens, except for Permitted Liens and Liens in favour of Payoff Creditors to be discharged in accordance with the Payoff Letters. The property and assets owned and leased by the Corporation and the Subsidiary constitute all of the property and assets used or held for use in connection with the Business and are sufficient to permit the continued operation of the Business in substantially the same manner as conducted as of the date hereof and during the year ended on the date of the most recent Annual Financial Statements. There is no agreement, option or other right or privilege outstanding in favour of any Person for the purchase from the Corporation or any Subsidiary of the Business or any part thereof or of any of the property or assets of the Corporation or any Subsidiary, other than the purchase of inventories in the Ordinary Course of Business.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6"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57" descr=""/>
                    <pic:cNvPicPr>
                      <a:picLocks noChangeAspect="1" noChangeArrowheads="1"/>
                    </pic:cNvPicPr>
                  </pic:nvPicPr>
                  <pic:blipFill>
                    <a:blip r:embed="rId1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- 37 - 1390-1182-7473.14 (9) Real Property. Neither the Corporation nor any Subsidiary owns, has ever owned, or currently leases any real or immovable property. (10) Personal Property. Schedule 3.2(10) lists each item of Personal Property owned by the Corporation and the Subsidiary which had a book value in the Financial Records of the Corporation or such Subsidiary, as the case may be, at the date of the most recent Annual Financial Statements, of more than C$5,000. No Personal Property owned by the Corporation or a Subsidiary is in the possession of a third party and neither the Corporation nor its Subsidiary has assets on consignment. Each item of Personal Property is in good operating condition and repair, ordinary wear and tear excepted, and is suitable and adequate for the purpose for which it is being used. (11) Personal Property Leases. Schedule 3.2(11) lists all the Personal Property Leases and identifies those which cannot be terminated by the Corporation or a Subsidiary without liability at any time upon less than 30 days’ notice or which involve payment by the Corporation or a Subsidiary in the future of more than C$5,000. Each Personal Property Lease is in full force and effect and has not been amended, and the Corporation or a Subsidiary is entitled to the full benefit and advantage of each Personal Property Lease in accordance with its terms. Each Personal Property Lease is in good standing and there has not been any default by any party under any Personal Property Lease nor any dispute between the Corporation or a Subsidiary and any other party under any Personal Property Lease. (12) Contracts. (a) Schedule 3.2(12) lists or identifies all Material Contracts. There are no ongoing contractual negotiations that if they were completed, would result in a Material Contract. (b) Except as disclosed in Schedule 3.2(12), neither the Corporation nor any Subsidiary is a party to any Contract with any current or former director, officer, Employee or independent contractor of the Corporation or a Subsidiary or with any Affiliate of the Corporation or a Subsidiary. (c) A copy of the Corporation’s current standard form of master services agreement (the “Standard Form MSA”) has been made available to the Purchaser on the ShareFile data site titled “Project Mavericks” in the folder titled “Integration and Customers”. Except as disclosed in Schedule 3.2(12), none of the contracts with the top 20 largest customers of the Corporation deviate in any material respect from the Standard Form MSA. (d) Neither the Corporation nor any Subsidiary is, nor to the knowledge of the Management Shareholder or the Corporation is any other party to any Material Contract in default under any Material Contract and there has not occurred any event which, with the lapse of time or giving of notice or both, would constitute a default under any Material Contract by the Corporation, any Subsidiary or any other party to the Material Contract. (e) Each Material Contract is in full force and effect, unamended by written or oral agreement, and the Corporation or a Subsidiary, as the case may be, is entitled to the full benefit and advantage of each Contract in accordance with its terms, subject to Applicable Law. Neither the Corporation nor any Subsidiary has received any notice of a default by the Corporation or such Subsidiary or under any Contract or of a dispute between the Corporation or a Subsidiary, as the case may be, and any other Person in respect of any Contract.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7"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58" descr=""/>
                    <pic:cNvPicPr>
                      <a:picLocks noChangeAspect="1" noChangeArrowheads="1"/>
                    </pic:cNvPicPr>
                  </pic:nvPicPr>
                  <pic:blipFill>
                    <a:blip r:embed="rId1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- 38 - 1390-1182-7473.14 (f) Except as disclosed in Schedule 3.2(12), no Consent is required nor is any notice required to be given under any Material Contract by any party thereto or any other Person in connection with the completion of the transactions contemplated by this Agreement in order to maintain all rights of the Corporation or a Subsidiary, as the case may be, under such Material Contract. The completion of the transactions contemplated by this Agreement will not afford any party to any of the Material Contracts or any other Person the right to terminate any Material Contract, nor will the completion of such transaction result in any additional or more onerous obligation on the Corporation or a Subsidiary under any Material Contract, except for the Consents required under Schedule 3.2(12)(f). (13) Receivables. All Receivables are recorded in the Financial Records of the Corporation or a Subsidiary, as the case may be, and the Receivables are valid obligations which arose in the Ordinary Course of Business and will be collected in the Ordinary Course of Business, in the aggregate, at their full face value and are not subject to any set-off or counterclaim. None of the Receivables is due from an Affiliate of the Corporation or of any Subsidiary. (14) Intellectual Property. (a) The Corporation or a Subsidiary has properly and diligently protected the Owned Intellectual Property and the rights, titles, interests and benefits of the Corporation or a Subsidiary in and to the Owned Intellectual Property. Schedule 3.2(14)(a) lists all material Owned Intellectual Property. Each registration and application for registration of Owned Intellectual Property (i) was timely filed and was or is diligently prosecuted, (ii) is subsisting, in good standing, enforceable and valid, (iii) has been maintained or renewed as required, (iv) is recorded only in the name of the Corporation or a Subsidiary in the applicable intellectual property office, and (v) has not expired or been finally rejected, withdrawn, opposed, cancelled, expunged, impeached, revoked, rectified, invalidated or had its term reduced. (b) The Owned Intellectual Property and the Licensed-In Intellectual Property constitute all of the Intellectual Property used and otherwise exploited by the Corporation and the Subsidiary in the Business. The Corporation and the Subsidiary have sufficient rights to use and otherwise exploit the Owned Intellectual Property and the Licensed-In Intellectual Property in connection with the operation of the Business, and all of those rights will survive without any additional restriction or other change after consummation of the transactions contemplated by this Agreement. (c) Except as disclosed in Schedule 3.2(14)(c), and subject to the rights of Persons in the Licensed-Out Intellectual Property, the Corporation and the Subsidiary are entitled to the exclusive and uninterrupted access, use, practice, enjoyment and exploitation of the Intellectual Property, without any restriction or obligation to pay any royalty or other fees for all purposes related to the Business, including as necessary to continue the operation of the Business in substantially the same manner as conducted in the year ended on the date of the most recent Annual Financial Statements. The Owned Intellectual Property is sufficient for the operation of the Business as currently conducted. (d) Schedule 3.2(12) lists or identifies all Contracts relating to (i) the Licensed-In Intellectual Property, and (ii) the Licensed-Out Intellectual Property. The Corporation or the Subsidiary that is the owner of each Trade-Mark comprised within the Licensed- Out Intellectual Property has exercised the degree of quality control required by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8"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59" descr=""/>
                    <pic:cNvPicPr>
                      <a:picLocks noChangeAspect="1" noChangeArrowheads="1"/>
                    </pic:cNvPicPr>
                  </pic:nvPicPr>
                  <pic:blipFill>
                    <a:blip r:embed="rId1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- 39 - 1390-1182-7473.14 Applicable Law and good industry practice in respect of each Trade-Mark comprised within the Licensed-Out Intellectual Property used by another Person. (e) Except as disclosed in Schedule 3.2(14)(e), other than in respect of Licensed-In Intellectual Property that is, or relates only to, Software, the Corporation or a Subsidiary is entitled to the right to enforce the Licensed-In Intellectual Property for all purposes related to the Business. Neither the Management Shareholders nor the Corporation has knowledge of any fact, matter or other circumstance that may result in the termination or restriction of the Corporation’s or the Subsidiary’s rights in the Licensed-In Intellectual Property prior to the termination of the term stated in any applicable Contract, covenant not to sue, Order or provision of Applicable Law. (f) Except as disclosed in Schedule 3.2(14)(f), each (i) Employee, (ii) consultant and independent contractor retained by the Corporation or a Subsidiary, and (iii) subconsultant and independent subcontractor retained by such a consultant or independent contractor, has (A) agreed in writing with the Corporation or the Subsidiary, as applicable, to maintain the confidentiality of the Licensed-In Intellectual Property, in respect of which the Corporation or a Subsidiary is subject to an obligation of confidentiality, and the Owned Intellectual Property of a confidential nature, including the Know-How, and (B) where such Person is an individual, provided in writing an irrevocable, perpetual waiver in favour of the Corporation or the Subsidiary, as applicable, and its successors and assigns of the moral rights relating thereto. Except as disclosed in Schedule 3.2(14)(f), each Employee, consultant and independent contractor retained by the Corporation or a Subsidiary, and each subconsultant and independent subcontractor retained by such a consultant or independent contractor, has also assigned in writing to the Corporation or the Subsidiary, as applicable, and its successors and assigns all his, her or its rights, titles, interests and benefits in all Intellectual Property invented, authored, created or developed in the activities for which such Employee, consultant or independent contractor has been directly or indirectly retained by or for the Corporation or a Subsidiary. (g) Except as disclosed in Schedule 3.2(14)(g), the Know-How is and remains confidential to the Corporation or a Subsidiary. The Corporation and the Subsidiary have taken all reasonable security precautions and steps to protect the Know-How from disclosure to, or access, use or modification by, unauthorized Persons. Neither the Management Shareholder nor the Corporation has knowledge of any confidentiality in the Know- How having been breached or any compromise in the security of the Know-How. Except as disclosed in Schedule 3.2(14)(g), the Corporation or the Subsidiary, as applicable, has obtained written confidentiality and non-disclosure agreements executed by all of its suppliers, contractors and customers obliging them to acknowledge and protect the proprietary and confidential nature of the Know-How. (h) No intellectual property, industrial property or analogous right of any Person has been, or is, infringed, misappropriated or otherwise violated by the (i) operation of the Business, (ii) the Corporation’s or the Subsidiary’s manufacture, advertisement, or sale of goods, (iii) the Corporation’s or the Subsidiary’s advertisement or performance of services, or (iv) the Corporation’s or the Subsidiary’s access, use, practice, enjoyment or exploitation of the Intellectual Property. (i) The Corporation or a Subsidiary, as applicable, has made all commercially reasonable efforts to enforce the Owned Intellectual Property against all Persons who are or have been, to the knowledge of the Management Shareholder or the Corporation, infringing,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9"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60" descr=""/>
                    <pic:cNvPicPr>
                      <a:picLocks noChangeAspect="1" noChangeArrowheads="1"/>
                    </pic:cNvPicPr>
                  </pic:nvPicPr>
                  <pic:blipFill>
                    <a:blip r:embed="rId1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- 40 - 1390-1182-7473.14 misappropriating or otherwise violating the Owned Intellectual Property, except for de minimis activity. Except as disclosed in Section 3.2(22), there is no Legal Proceeding, in progress, pending or, to the knowledge of the Management Shareholder, Threatened, alleging the infringement, misappropriation or other violation of any Owned Intellectual Property anywhere in the world and neither the Management Shareholder nor the Corporation is aware of any fact, matter or circumstance which might reasonably result in any such Legal Proceeding which could constitute a bona fide claim for any such infringement, misappropriation or other violation. (j) Except as disclosed in Schedule 3.2(14)(j), the Corporation has not incorporated or embedded any open source materials, including any code, into any product, combined, linked or distributed any open source materials with any product or used any open source materials, in each case, in a manner that requires the product, any portion thereof, or any Intellectual Property, to be subject to copyleft licenses or requires the Corporation or any of its Affiliates to grant any license or other rights or to disclose any information. (k) None of the Software (including firmware and other Software embedded in hardware devices) owned, developed (or currently being developed), used, marketed, distributed, licensed or sold by the Corporation contains any “back door,” “drop dead device,” “time bomb,” “Trojan horse,” “virus,” or “worm” (as such terms are commonly understood in the software industry) or any other code designed or intended to have, or capable of performing, any of the following functions: (i) disrupting, disabling, harming or otherwise impeding in any manner the operation of, or providing unauthorized access to, a computer system or network or other device on which such code is stored or installed; or (ii) damaging or destroying any data or file without the user’s consent. (l) There is no prohibition or restriction by any Governmental Authority on the use of the Intellectual Property, including the Software, in the export from or the import to, any country of products embodying, or protected by, the Intellectual Property. (15) Licences and Compliance with Applicable Law. (a) Schedule 3.2(15) lists all the Licences and identifies those that by their terms are not transferable. The Licences are the only licences, permits, approvals or evidences of authority of any Governmental Authority required for the operation of the Business and are held by the Corporation or a Subsidiary free and clear of any and all Liens, other than Permitted Liens and liens in favour of Payoff Creditors to be discharged in accordance with the Payoff Letters. The Business has been and is being conducted by the Corporation and the Subsidiary in accordance with all terms and conditions of the Licences and in compliance with Applicable Law, in each case, in all material respects. All the Licences are valid and are in full force and effect, neither the Corporation nor any Subsidiary is in violation of any term or provision or requirement of any Licence in any material respect, and no Person, to the knowledge of the Corporation, has Threatened to revoke, amend or impose any condition in respect of, or commenced proceedings to revoke, amend or impose conditions in respect of, any Licence. (b) Except as disclosed in Schedule 3.2(20), no Regulatory Approval is required in connection with the transactions contemplated by this Agreement or in order to maintain any Licence in full force and effect and in good standing after Closing.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0"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61" descr=""/>
                    <pic:cNvPicPr>
                      <a:picLocks noChangeAspect="1" noChangeArrowheads="1"/>
                    </pic:cNvPicPr>
                  </pic:nvPicPr>
                  <pic:blipFill>
                    <a:blip r:embed="rId1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- 41 - 1390-1182-7473.14 (c) Except as disclosed in Schedule 3.2(15), none of the Corporation, any Subsidiary, or any of their respective Representatives have been the subject of any enforcement action by any Governmental Authority, including, without limitation, a notice of violation, a notice of decision or a compliance agreement. No action, suit, proceeding or enforcement action, including, without limitation, notice of violation or notice of decision by or before, or any compliance agreement with, any Governmental Authority or any arbitrator involving the Corporation or the Subsidiary is pending or, to the knowledge of the Corporation, Threatened. (16) Compliance with Sanctions Laws. (a) None of the Corporation, any Subsidiary, or, to the knowledge of the Corporation, any of their respective Representatives are or have been a Sanctioned Person. (b) None of the Corporation, any Subsidiary, or, to the knowledge of the Corporation, any of their respective Representatives are currently engaging in, or have engaged in, any dealings or transactions with, on behalf of, or for the benefit of any Sanctioned Person or in any Sanctioned Country; (c) No action, suit or proceeding by or before any Governmental Authority or any arbitrator involving the Corporation or the Subsidiary with respect to Sanctions Laws is pending or, to the knowledge of the Corporation, Threatened. (17) Compliance with Anti-Corruption Laws. None of the Corporation, any Subsidiary, or, to the knowledge of the Corporation, any of their respective Representatives or joint venture partners, in carrying out or representing the Business anywhere in the world, have violated the Corruption of Foreign Public Officials Act (Canada), or the U.S. Foreign Corrupt Practices Act, the U.K. Bribery Act 2010, or the anti-corruption laws of any other jurisdiction where the Business is carried on. (18) Undisclosed Liabilities. Except as set forth in Schedule 3.2(18), neither the Corporation nor any Subsidiary has any liabilities (which includes Indebtedness) or obligations of any nature (whether known or unknown, liquidated or unliquidated, due or to become due and whether absolute, accrued, contingent or otherwise) except for liabilities and obligations disclosed or provided for in the most recent Annual Financial Statements and current liabilities incurred in the Ordinary Course of Business since the date of such Annual Financial Statements and liabilities which are included or reflected on the Closing Statement. Without limiting the foregoing, no Person asserting or who has Threatened to assert an “Excluded Liability Claim”, as such term is defined in the RVO, has taken the position that it is not bound by the RVO or disputed the effectiveness of the RVO. (19) Banking Information. Schedule 3.2(19) sets forth the name and location (including municipal address) of each bank, trust company or other institution in which the Corporation or a Subsidiary has an account, money on deposit or a safety deposit box and the name of each Person authorized to draw thereon or to have access thereto and the name of each Person holding a power of attorney from the Corporation or a Subsidiary and a summary of the terms thereof. (20) Regulatory Approvals. Except as set forth in Schedule 3.2(20), no Regulatory Approval or filing with, notice to, or waiver from any Governmental Authority is required to be obtained or made by the Corporation or a Subsidiary: (a) in connection with the execution and delivery of, or performance by the Vendors of their obligations under this Agreement or the consummation of the transactions contemplated hereby; (b) to avoid the loss of any Licence; or (c) to permit the Corporation and the Subsidiary to carry on the Business after the Closing as the Business is currently carried on by the Corporation and the Subsidiary.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1"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62" descr=""/>
                    <pic:cNvPicPr>
                      <a:picLocks noChangeAspect="1" noChangeArrowheads="1"/>
                    </pic:cNvPicPr>
                  </pic:nvPicPr>
                  <pic:blipFill>
                    <a:blip r:embed="rId1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- 42 - 1390-1182-7473.14 (21) Absence of Conflicting Agreements. Except as disclosed in Schedule 3.2(21), the execution, delivery and performance of this Agreement by the Vendors and the completion (with any required Consents and the giving of any required notices) of the transactions contemplated by this Agreement do not and will not result in or constitute any of the following: (a) a default, breach or violation or an event that, with notice or lapse of time or both, would be a default, breach or violation of any of the terms, conditions or provisions (i) of the articles or by-laws (or similar governing documents) of the Corporation or any Subsidiary or (ii) of any Contract or Licence; (b) an event which, pursuant to the terms of any Contract or Licence, would cause any right or interest of the Corporation or any Subsidiary to come to an end or be amended in any way that is detrimental to the Business or entitle any other Person to terminate or amend any such right or interest or relieve any other Person of its obligations thereunder; (c) the creation or imposition of any Lien on any property or asset of the Corporation or any Subsidiary; or (d) the violation of any Applicable Law. (22) Legal Proceedings and Orders. Except as set forth and described in Schedule 3.2(22), (i) there currently is no, and since the RVO Date there has been no Legal Proceeding in progress, pending or, to the knowledge of the Management Shareholder or the Corporation, Threatened against or affecting the Corporation or any Subsidiary, or any of their respective officers or directors in their capacity as such, or any of their respective properties or assets or title thereto and (ii) for the five years prior to the date of this Agreement, there has been no Legal Proceeding or, to the knowledge of the Management Shareholder or the Corporation, threatened against or affecting the Corporation or any Subsidiary, or any of their respective officers or directors in such capacity, or any of their respective properties or assets or title thereto which has not been permanently stayed by the RVO. Except as set forth and described in Schedule 3.2(22), there is no Order outstanding against or affecting the Corporation or any Subsidiary or any of their respective properties or assets. There are no internal investigations or inquiries being conducted by the Corporation, any Subsidiary or any third party at the request of any of the foregoing concerning any financial, accounting, Tax, conflict of interest, illegal activity, fraudulent or deceptive conduct or other misfeasance or malfeasance issues. (23) Employment Matters. (a) The Management Shareholder and the Corporation have provided to the Purchaser a true and complete list, as of the date of this Agreement, of (i) all the Employees and each of their position, status (full time, part-time, fixed-term or temporary), length of service, employer, location of employment, compensation (including annual base salary, annual incentive targets and award history, and other variable compensation), annual vacation and other paid time off entitlements and accruals, material prerequisites, benefits, active or inactive status (including reason for leave of absence and return to work date, if known), and work authorization (i.e. work permit, visa or similar authorization), and (ii) all independent contractors and the terms on which each such other Person is engaged, including a description of the services provided, length of engagement, location of engagement, and annual fees. (b) Except as set out in Schedule 3.2(23), neither the Corporation nor any Subsidiary is a party to or bound by any Contract in respect of any Employee or former Employee,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2"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63" descr=""/>
                    <pic:cNvPicPr>
                      <a:picLocks noChangeAspect="1" noChangeArrowheads="1"/>
                    </pic:cNvPicPr>
                  </pic:nvPicPr>
                  <pic:blipFill>
                    <a:blip r:embed="rId1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- 43 - 1390-1182-7473.14 which provides such Employee or former Employee with termination or severance entitlements in excess of those required by Applicable Law. (c) Neither the Corporation nor any Subsidiary has not paid nor will it be required to pay any change of control, retention, bonus, fee, distribution, remuneration or other compensation to any Person (other than salaries, wages or bonuses paid or payable to Employees in the Ordinary Course of Business in accordance with current compensation levels and practices as set out in Schedule 3.2(23) as a result of the transactions contemplated by this Agreement or otherwise. (d) None of the Employees or other Persons who are receiving remuneration for work or services provided to the Corporation or any Subsidiary in the year immediately prior to the date hereof has indicated to the Corporation or any Subsidiary or the Management Shareholder that he, she or it intends to resign, retire or terminate his, her or its employment or engagement with the Corporation or a Subsidiary, as the case may be, as a result of the transactions contemplated by this Agreement or otherwise. (e) To the knowledge of the Corporation, none of the Employees or other Persons who are receiving remuneration for work or services provided to the Corporation or any Subsidiary is in violation of any non-competition, non-solicitation, non-disclosure or any similar agreement with any third party. (f) All of the Persons who are receiving remuneration for work or services provided to the Corporation or any Subsidiary who are not Employees are treated as independent contractors, are properly characterized as independent contractors and are not likely to be characterized by any Governmental Authority as Employees. (g) The Corporation and the Subsidiary is in compliance in all material respects with all Applicable Laws respecting employment, employment practices and standards, terms and conditions of employment, wages and hours, occupational health and safety, human rights, accessibility, labour relations, employment equity, pay equity and workers’ compensation. (h) Neither the Corporation nor any Subsidiary is a party to any application, complaint or other Legal Proceeding under any Applicable Law relating to Employees or former Employees nor, to the knowledge of the Management Shareholder or the Corporation is there any factual or legal basis on which such Legal Proceeding might reasonably be commenced. (i) Except as set out in Schedule 3.2(23), neither the Corporation nor any Subsidiary is a party to or bound by, either directly or by operation of Applicable Law, any collective agreement, labour contract, letter of understanding, letter of intent, voluntary recognition agreement or legally binding commitment or written communication to any labour union, trade union or employee organization or group which may qualify as a trade union in respect of or affecting Employees or independent contractors nor is the Corporation or any Subsidiary subject to any union organization effort. (j) Neither the Corporation nor any Subsidiary is currently engaged in any labour negotiation. (k) All current premiums or assessments under applicable workers’ compensation legislation that relate to the Corporation or any Subsidiary have been paid or accrued,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3"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64" descr=""/>
                    <pic:cNvPicPr>
                      <a:picLocks noChangeAspect="1" noChangeArrowheads="1"/>
                    </pic:cNvPicPr>
                  </pic:nvPicPr>
                  <pic:blipFill>
                    <a:blip r:embed="rId1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- 44 - 1390-1182-7473.14 and the Corporation and any Subsidiary has not been subject to any specialty or penalty assessment under such legislation which has not been paid. (24) Employee Plans. (a) Schedule 3.2(24) sets forth a true, complete, up-to-date and accurate list of all written or oral employee benefit, welfare, supplemental unemployment benefit, bonus, pension, profit sharing, executive compensation, current or deferred compensation, incentive compensation, stock compensation, stock purchase, stock option, stock appreciation, phantom stock option, savings, severance or termination pay, retirement, post-retirement, post-employment, supplementary retirement, hospitalization insurance, salary continuation, legal, health or other medical, dental, life, disability or other insurance (whether insured or self-insured) plan, program, agreement or arrangement, and every other written or oral benefit plan, program, agreement or arrangement sponsored, maintained or contributed to or required to be contributed to by the Corporation or any Subsidiary for the benefit of its Employees or former Employees and their dependants or beneficiaries at any time since the RVO Date or as provided by any collective agreement to which the Corporation or any Subsidiary is a party or by which it is, or was at any time since the RVO Date, bound or with respect to which the Corporation or any Subsidiary participates or has any actual or potential liability or obligations, other than Statutory Plans (collectively the “Employee Plans”). (b) The Purchaser has been furnished true, correct, up-to-date and complete copies of all the Employee Plans (or, where oral, written summaries of the material terms thereof) as amended as of the date hereof together with all related documentation including current and past documents and all amendments thereto, including annuity contracts, trust agreements, participation agreements, insurance policies and contracts, investment management agreements, subscription agreements, funding agreements, actuarial reports, funding and financial information returns and statements, current asset valuations, collective agreements, all professional opinions (whether or not internally prepared) with respect to each Employee Plan, all material internal memoranda concerning the Employee Plans, copies of material correspondence with all Governmental Authorities with respect to each Employee Plan and plan summaries, employee booklets, brochures and personnel manuals. The booklets, brochures, summaries, descriptions and manuals prepared for, and circulated to, the Employees and former Employees and their beneficiaries concerning each Employee Plan, together with all written communications of a general nature provided to such Employees and former Employees and their beneficiaries, accurately describe the benefits provided under each such Employee Plan referred to therein. (c) All of the Employee Plans have been established, registered (where required), funded, invested and administered in accordance with, in all material respects, and are in good standing under, all Applicable Laws, the terms of such Employee Plans, all applicable collective agreements and in accordance with all understandings, written or oral, between the Corporation or any Subsidiary, on the one hand, and the Employees or former Employees, on the other hand. No fact or circumstance exists that could adversely affect the tax-preferred or tax exempt status of any Employee Plan. Except as duly registered under the Pension Benefits Act (Ontario) or the pension standards legislation of another applicable Canadian jurisdiction or the ITA, none of the Employee Plans enjoys any special tax status under Applicable Law. No advance tax rulings or interpretations have been sought, issued or received in respect of any Employee Plan.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4"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65" descr=""/>
                    <pic:cNvPicPr>
                      <a:picLocks noChangeAspect="1" noChangeArrowheads="1"/>
                    </pic:cNvPicPr>
                  </pic:nvPicPr>
                  <pic:blipFill>
                    <a:blip r:embed="rId1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- 45 - 1390-1182-7473.14 (d) No Employee Plan is or has ever been intended to be: (i) a “registered pension plan” as that term is defined in subsection 248(1) of the ITA, (ii) a “retirement compensation arrangement” as defined in subsection 248(1) of the ITA, (iii) an “employee life and health trust” as defined in subsection 248(1) of the ITA, or a (iv) “health and welfare trust” as defined in Canada Revenue Agency Income Tax Folio S2-F1-C1. No Employee Plan is or has ever been found or alleged by a Governmental Authority to be a “salary deferral arrangement” as defined in subsection 248(1) of the ITA. (e) No amendments or improvements to any Employee Plan have been promised by the Corporation or any Subsidiary and no amendments or improvements to any Employee Plan will be made or promised by the Corporation or any Subsidiary prior to Closing. (f) None of the Employee Plans provides post-retirement or post-employment benefits to or in respect of the Employees or any former Employees or to or in respect of the beneficiaries of such Employees and former Employees. (g) None of the Employee Plans is a Multi-Employer Plan. No current or former Employee or director of the Corporation or a Subsidiary is or has at any time been a trustee of a Multi-Employer Plan. With respect to any Multi-Employer Plan, the sole obligation of the Corporation or a Subsidiary, as the case may be, is to make contributions in accordance with the applicable collective agreement providing for participation in the Multi-Employer Plan and neither the Corporation nor any Subsidiary has any liability with respect to any costs, expenses, benefits or investments associated with the maintenance or administration of any such Multi-Employer Plan including any liability relating to any past or future withdrawals from the Multi-Employer Plan. (h) All material Data necessary to administer each Employee Plan is in the possession of the Corporation or a Subsidiary or their respective agents and is in a form which is sufficient for the proper administration of the Employee Plan in accordance with its terms and all Applicable Laws and such Data is true and correct. (i) The Corporation or a Subsidiary, as the case may be, may unilaterally amend, modify, vary, revise, revoke, or terminate, in whole or in part, each Employee Plan and take contribution holidays under or withdraw surplus from each pension plan, subject only to approvals required by Applicable Laws and any notice periods provided for in the applicable Employee Plan. (j) Subject to obtaining any required approvals under Applicable Laws, the Corporation, or a Subsidiary or any third party plan provider, as the case may be, may merge any Employee Plan with any other arrangement, plan or fund and may transfer without restriction, the assets from any Employee Plan to any other arrangement, plan or fund. No conditions have been imposed by any Governmental Authority or other Person and no undertakings or commitments have been given to any Employee, union, Governmental Authority or other Person concerning the use or application of assets relating to any Employee Plan or any related funding medium. (k) All contributions or premiums required to be made by the Corporation and the Subsidiary under the terms of each Employee Plan, any collective agreement or by Applicable Laws have been made in a timely fashion in accordance with Applicable Laws and the terms of the Employee Plans and any applicable collective agreement, and neither the Corporation nor any Subsidiary has, and as of the Closing Date will not have, any actual or potential unfunded liabilities (other than liabilities accruing after the Closing Date) with respect to any of the Employee Plans. All liabilities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5"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66" descr=""/>
                    <pic:cNvPicPr>
                      <a:picLocks noChangeAspect="1" noChangeArrowheads="1"/>
                    </pic:cNvPicPr>
                  </pic:nvPicPr>
                  <pic:blipFill>
                    <a:blip r:embed="rId1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- 46 - 1390-1182-7473.14 Corporation and the Subsidiary (whether accrued, absolute, contingent or otherwise) related to all Employee Plans have been fully and accurately disclosed in accordance with GAAP in the Financial Statements. (l) No Employee Plan, nor any related trust or other funding medium thereunder, is subject to any pending, or, to the knowledge of the Management Shareholder, Threatened or anticipated investigation, examination or other Legal Proceeding, initiated by any Governmental Authority or by any other Person (other than routine claims for benefits), and there exists no state of facts which after notice or lapse of time or both could reasonably be expected to give rise to any such investigation, examination or other Legal Proceeding or to affect the registration of any Employee Plan required to be registered. (m) No insurance policy or other contract or agreement affecting any Employee Plan requires or permits a retroactive increase in premiums or payments due thereunder. (n) The execution of this Agreement and the completion of the transactions contemplated hereby will not (either alone or in conjunction with any additional or subsequent events) constitute an event under any Employee Plan (other than the RSUs) that will or may result in any payment (whether of severance pay or otherwise), acceleration of payment or vesting of benefits, forgiveness of indebtedness, vesting, distribution, restriction on funds, increase in benefits or obligation to fund benefits with respect to any Employee or former Employee or their beneficiaries. (o) There exists no liability in connection with any former benefit plan relating to the Employees or former Employees or their beneficiaries that has terminated, and all procedures for termination of each such former benefit plan have been properly followed in accordance with the terms of such former benefit plans and Applicable Law. (25) Customers, Suppliers and Referral Partners. Schedule 3.2(25) lists the 20 largest customers of, the 20 largest suppliers to and the top 1 largest referral partner of the Corporation and the Subsidiary on a consolidated basis (or such additional customers, suppliers, or referral partners of the Corporation and the Subsidiary on a consolidated basis which are sufficient to constitute 10 per cent or more of total sales, purchases or referrals, as the case may be) for each of the last three 12-month periods ending immediately before the date of this Agreement, and the aggregate amount which each customer was invoiced and each supplier and referral partner was paid during such period (each such customer, a “Material Customer”, each such supplier, a “Material Supplier” and each such referral partner, a “Material Referral Partner”). Except as set forth on Schedule 3.2(25), all Material Customers, Material Suppliers and Material Referral Partners continue to be customers, suppliers or referral partners respectively, of the Corporation and/or the Subsidiary. Except as set forth on Schedule 3.2(25), no Material Customer, Material Supplier or Material Referral Partner has terminated or materially curtailed, reduced, deferred, delayed or otherwise adversely impacted or modified its business with the Corporation or the Subsidiary or, to the knowledge of the Corporation, intends or has Threatened to take any such action. Except as set forth on Schedule 3.2(25), neither the Corporation nor any Subsidiary is involved in any claim, dispute or controversy with any Material Customer, Material Supplier or Material Referral Partner. To the knowledge of the Corporation, no Material Customer, Material Supplier or Material Referral Partner has or is expected to make an assignment in favour of its creditors or a proposal in bankruptcy to its creditors or any class thereof nor had any petition for a receiving Order presented in respect of it. The Corporation has made available to the Purchaser a copy of each written Contract (and in the case of binding oral Contracts, a true and complete written summary of same) with the Material Customers and Material Referral Partners.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6"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67" descr=""/>
                    <pic:cNvPicPr>
                      <a:picLocks noChangeAspect="1" noChangeArrowheads="1"/>
                    </pic:cNvPicPr>
                  </pic:nvPicPr>
                  <pic:blipFill>
                    <a:blip r:embed="rId1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- 47 - 1390-1182-7473.14 (26) Transactions with Affiliates et al. Except as disclosed in Schedule 3.2(26), neither the Corporation nor any Subsidiary is liable in respect of Indebtedness or other obligations to or on behalf of any shareholder, officer, director, Employee or Affiliate of the Corporation or any Subsidiary, or associates, Affiliates, shareholders, members, partners or relatives of any of the foregoing, or any other Person with whom the Corporation or any Subsidiary does not deal at arm’s length. Except as disclosed in Schedule 3.2(26), there are no intercompany services provided to the Corporation or any Subsidiary by any Vendor or by any Affiliate, shareholders, member or partner of any Vendor. No officer or director of the Corporation or any Subsidiary owns any interest in any competitor, customer or supplier of the Corporation or any Subsidiary. (27) Insurance. (a) The Corporation and the Subsidiary maintain insurance with reputable and sound insurers covering their respective properties and assets and protecting the Business in such amounts and against such losses and claims as are generally maintained for comparable businesses and properties. Schedule 3.2(27) sets forth and describes all insurance policies currently maintained by the Corporation and the Subsidiary (the “Corporation Policies”), including a brief description of the type of insurance, the name of the insurer, policy number, coverage limits, amount of deductible, expiration date and annual premiums. Each of the Corporation Policies is valid and subsisting and in good standing, there is no default thereunder and the Corporation and the Subsidiary, as the case may be, is entitled to all rights and benefits thereunder. (b) Schedule 3.2(27) sets forth and describes all pending claims under any of the Corporation Policies and identifies the most recent inspection reports, if any, received from insurance underwriters as to the condition or insurance value of the insured property and assets, copies of which have been made available to the Purchaser. Neither the Corporation nor any Subsidiary has failed to give any notice or present any claim under any of the Corporation Policies in a due and timely fashion. To the knowledge of the Management Shareholder or the Corporation, there are no circumstances which might entitle the Corporation or any Subsidiary to make a claim under any of the Corporation Policies or which might be required under any of the Corporation Policies to be notified to the insurers and no claim under any of the Corporation Policies has been made by the Corporation or any Subsidiary since the date of the most recent Annual Financial Statements. (c) None of the Corporation Policies is subject to any special or unusual terms or restrictions or provides for a premium in excess of the stipulated or normal rate. No notice of cancellation or non-renewal with respect to, nor disallowance of any claim under, any of the Corporation Policies has been received by the Corporation or any Subsidiary. To the knowledge of the Corporation, there are no circumstances or occurrences which would or might form the basis of a material increase in premiums for the current insurance coverage maintained by the Corporation or any Subsidiary. (28) Tax Matters. (a) Except as set out in Schedule 3.2(28), each of the Corporation and the Subsidiary has prepared and filed when due with each relevant Governmental Authority all Tax Returns required to be filed by or on behalf of it in respect of any Taxes. All such Tax Returns are correct and complete in all material respects, and no material fact has been omitted therefrom. No extension of time in which to file any such Tax Returns is in effect. No Governmental Authority has asserted that the Corporation or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7"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68" descr=""/>
                    <pic:cNvPicPr>
                      <a:picLocks noChangeAspect="1" noChangeArrowheads="1"/>
                    </pic:cNvPicPr>
                  </pic:nvPicPr>
                  <pic:blipFill>
                    <a:blip r:embed="rId1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- 48 - 1390-1182-7473.14 Subsidiary is required to file Tax Returns or pay any Taxes in any jurisdiction where it does not do so. (b) Each of the Corporation and the Subsidiary has paid in full and when due all Taxes required to be paid by it, whether or not such Taxes are shown on a Tax Return or on any assessments or reassessments. Other than amounts included in the calculation of Closing Indebtedness, neither the Corporation nor any Subsidiary has any liability for any Taxes in respect of any Pre-Closing Tax Period. (c) Except as specified in Schedule 3.2(28), no assessments or reassessments of the Taxes of the Corporation or any Subsidiary are currently the subject of an objection or appeal, no audit by any Governmental Authority of the Corporation or any Subsidiary is currently ongoing and there are no outstanding issues which have been raised and communicated to the Corporation or any Subsidiary by any Governmental Authority. None of the Management Shareholder, the Corporation or any Subsidiary has received any indication from any Governmental Authority that an audit, assessment or reassessment of the Corporation or any Subsidiary is proposed in respect of any Taxes, regardless of its merits. Neither the Corporation nor any Subsidiary has executed or filed with any Governmental Authority any agreement or waiver extending the period for assessment, reassessment or collection of any Taxes. (d) Each of the Corporation and the Subsidiary has withheld from each payment made to any Person, including any of its present or former Employees, officers and directors, and all Persons who are or are deemed to be non-residents of Canada for purposes of the ITA, all amounts required by Applicable Law to be withheld, and has remitted such withheld amounts within the prescribed periods to the appropriate Governmental Authority. Each of the Corporation and the Subsidiary has remitted all Canada Pension Plan contributions, provincial pension plan contributions, employment insurance premiums, employer health taxes and other Taxes payable or required to be withheld and remitted by it in respect of the Employees to the appropriate Governmental Authority within the time required under Applicable Law. Each of the Corporation and the Subsidiary has charged, collected and remitted on a timely basis all Taxes as required under Applicable Law on any sale, supply or delivery whatsoever, made by it. (e) Each of the Corporation and the Subsidiary has maintained and continues to maintain at its place of business in Canada all records and books of account required to be maintained under the ITA, the Excise Tax Act (Canada) and any comparable Law of any province or territory in Canada, including Laws relating to sales and use taxes. (f) The terms and conditions made or imposed in respect of every transaction (or series of transactions) between the Corporation, or any Subsidiary and any Person that is (i) a non-resident of Canada for purposes of the ITA, and (ii) not dealing at arm’s length with the Corporation or such Subsidiary, as the case may be, for purposes of the ITA, do not differ from those that would have been made between Persons dealing at arm’s length for purposes of the ITA. Each of the Corporation and the Subsidiary has made or obtained records or documents that meet the requirements of paragraphs 247(4)(a) to (c) of the ITA with respect to all material transactions between it and any non- resident of Canada with whom it was not dealing at arm’s length for purposes of the ITA. (g) Neither the Corporation nor any Subsidiary is party to or bound by any tax sharing agreement, tax indemnity obligation in favour of any Person or similar agreement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8"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69" descr=""/>
                    <pic:cNvPicPr>
                      <a:picLocks noChangeAspect="1" noChangeArrowheads="1"/>
                    </pic:cNvPicPr>
                  </pic:nvPicPr>
                  <pic:blipFill>
                    <a:blip r:embed="rId1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- 49 - 1390-1182-7473.14 favour of any Person with respect to Taxes (including any advance pricing agreement or other similar agreement relating to Taxes with any Governmental Authority). Without limiting the generality of the foregoing, neither the Corporation nor any Subsidiary has entered into an agreement contemplated in section 80.04 or 191.3, or subsection 18(2.3), 125(3), 127(13) to (17) or 127(20) of the ITA or any analogous provision of any comparable Law of any province or territory of Canada. (h) Except as disclosed in Schedule 3.2(28), neither the Corporation nor any Subsidiary will be required to include in a tax period ending after the Closing Time any amount of net taxable income (after taking into account deductions claimed for such a period that relate to a prior period) attributable to income that accrued, or that was required to be reported for financial accounting purposes in a prior taxable period but that was not included in taxable income for that or another prior tax period. (i) Except as disclosed in Schedule 3.2(28), there are no transactions or events that have resulted, and no circumstances existing which could result, in the application to the Corporation or any Subsidiary of sections 80, 80.01, 80.02, 80.03, 80.04 of the ITA or any analogous provision of any comparable Law of any province or territory of Canada. (j) Except as disclosed in Schedule 3.2(28), neither the Corporation nor any Subsidiary has incurred any deductible outlay or expense owing to a Person not dealing at arm’s length (for purposes of the ITA) with the Corporation or such Subsidiary, as the case may be, the amount of which would, in the absence of an agreement filed under paragraph 78(1)(b) of the ITA, be included in the Corporation or such Subsidiary’s income for Canadian income tax purposes, as the case may be, for any taxation year or fiscal period beginning on or after the Closing Date under paragraph 78(1)(a) of the ITA or any analogous provision of any comparable Law of any province or territory of Canada. (k) Neither the Corporation nor any Subsidiary has any liability for the Taxes of any Person under subsection 160(1) of the ITA (or any corresponding or similar provision of any other Applicable Law), as a transferee, successor, by contract or otherwise. (l) Neither the Corporation nor any Subsidiary has claimed or received an amount, and no amount has been taken into account in calculating the Purchase Price, in respect of a Tax credit, refund, rebate overpayment or similar adjustment of Taxes, including any governmental assistance or subsidy, in each case to which such entity is not fully entitled, and each such entity has retained all documentation prescribed by Applicable Law and in accordance with Applicable Laws to support any claims for such amounts. Neither the Corporation nor any Subsidiary has received any indication from a Governmental Authority, regardless of its merits, that the Corporation or any Subsidiary is or may be required to repay any such amounts received by the Corporation or any Subsidiary. (m) Each of the Corporation and the Subsidiary has charged, collected and remitted on a timely basis all Taxes as required under any Applicable Law on any sale, supply or delivery whatsoever, made by it, and each such corporation is validly registered as a vendor with the relevant Governmental Authorities for the collection of such Taxes. All input tax credits, refunds, rebates and similar adjustments of Taxes claimed by each of the Corporation and the Subsidiary has been validly claimed and correctly calculated as required by Law, and each such corporation has retained all documentation prescribed by applicable Law to support such claims. Where applicable, each of the Corporation and the Subsidiary (i) has obtained all required information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9"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70" descr=""/>
                    <pic:cNvPicPr>
                      <a:picLocks noChangeAspect="1" noChangeArrowheads="1"/>
                    </pic:cNvPicPr>
                  </pic:nvPicPr>
                  <pic:blipFill>
                    <a:blip r:embed="rId1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- 50 - 1390-1182-7473.14 documentation to support any zero-rating treatment of its supplies, and (ii) has been furnished with valid exemption certificates or their equivalent and has retained all such records and supporting documents in the manner required by Applicable Law. (n) None of the Corporation or the Subsidiary has ever had an obligation to file an information return pursuant to (i) sections 237.3, 237.4 or 237.5 of the ITA, or (ii) sections 1079.8.5 or 1079.8.6 of the Taxation Act (Quebec). (o) The Corporation has no reason to believe that the transactions contemplated herein could be reportable by any person pursuant to sections 237.3, 237.4 or 237.5 of the ITA, or (ii) sections 1079.8.5 or 1079.8.6 of the Taxation Act (Quebec). (29) Privacy and Data Security. (a) Except as set out in Schedule 3.2(29), (x) since the RVO Date, the Corporation and the Subsidiary has complied at all times with: (i) all applicable Privacy Laws; (ii) the terms of all Contracts to which the Corporation or Subsidiary is a party relating to privacy, data security, or breach notification; (iii) all industry standards to which the Corporation or Subsidiary is subject, relating to privacy, data security or breach notification including, without limitation, the Payment Card Industry Data Security Standard; and the Corporation’s own privacy policies (“Data Privacy Requirements”), and (y) the Corporation has, at no point, not complied with any Data Privacy Requirements which could have resulted or could result in a claim or Legal Proceeding against it that was not permanently stayed, compromised, extinguished or otherwise an “Excluded Liability” pursuant to the RVO. (b) The Corporation and the Subsidiary has an information security program in place to ensure that (i) Personal Information, Data, and all IT Systems are adequately safeguarded and (ii) all IT Systems will be continuously available and functioning normally in the event of any malfunction of, any suspension or cessation in the operation of, or other form of disaster affecting, the IT Systems. (c) The Corporation and the Subsidiary has a written agreement with each service provider that processes Personal Information on behalf of the Corporation or Subsidiary, as applicable, that includes all data protection terms required by applicable Privacy Laws and that are designed to facilitate the Corporation or Subsidiary’s, as applicable, compliance with Data Privacy Requirements. (d) The Corporation has implemented and complied, in all material respects, with an information security program and related policies and procedures (“Security Program”) that meets the requirements of Applicable Law, and which (i) includes technical, administrative, organizational and physical safeguards, controls and measures in place to protect the IT Systems against unauthorized access or use and to safeguard the security, confidentiality, and integrity of data (including Personal Information); and (ii) includes incident response procedures. The Security Program is adequate in all material respects for the purposes for which it was implemented. The Corporation and the Subsidiary has, or has caused to be, conducted security assessments and tests of the IT Systems on no less than an annual basis to test IT Systems for vulnerabilities and cyber threats and no material vulnerabilities or cyber threats have been identified as a result of such assessments and tests., (e) Neither the Corporation nor any Subsidiary, nor, to the knowledge of the Management Shareholder, any third party acting in a capacity as a service provider to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0"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71" descr=""/>
                    <pic:cNvPicPr>
                      <a:picLocks noChangeAspect="1" noChangeArrowheads="1"/>
                    </pic:cNvPicPr>
                  </pic:nvPicPr>
                  <pic:blipFill>
                    <a:blip r:embed="rId1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- 51 - 1390-1182-7473.14 Corporation or any Subsidiary, has experienced any: (i) loss or theft of, or unauthorized access, use or disclosure of, Personal information or Data of the Corporation, (ii) unauthorized access to or use of the IT Systems; (iii) complaints or claims regarding the Corporation’s or a Subsidiary’s collection, use or disclosure of Personal Information or the actual or alleged violation of any Data Privacy Requirement; or (iv) investigation, audit or other inquiry from a Governmental Authority regarding the Corporation’s or a Subsidiary’s collection, use, disclosure or protection of Personal Information. (f) The consummation of the transactions contemplated by this Agreement will not result in a violation of any Data Privacy Requirement. (30) IT Systems. (a) The IT Systems meet, in all material respects, the data processing and other computing needs of the Business as presently conducted. There are no material deficiencies or defects in the IT Systems. All tangible IT Systems that are owned by the Corporation and the Subsidiary are in good operating condition and in good repair, reasonable wear and tear excepted. The IT Systems operate and perform in all material respects in accordance with their documentation and functional specifications. The IT Systems have not materially malfunctioned or failed within the past three years and the data which the IT Systems process has not been corrupted or lost, to any material extent. (b) Schedule 3.2(30) sets forth a list of all Software owned by the Corporation and the Subsidiary and used in the Business (“Owned Software”) and all third-party Software contained or embedded in the Owned Software. The Corporation or a Subsidiary is in possession of the object code and user manuals for all Owned Software, and the source code and all documentation required for effective use, distribution, development, enhancement, maintenance and support thereof. Neither the Corporation nor any Subsidiary has disclosed, or is bound by, any contract or arrangement pursuant to which it is or may become obligated to disclose, the source code to any Owned Software. (c) Except as disclosed in Schedule 3.2(30), none of the Owned Software incorporates or is comprised of or distributed with any Software or code (including any “open source” software or code) in a manner which (i) subject the Owned Software to a requirement that the Owned Software be disclosed or distributed in source code form, or be permitted to be reverse engineered; (ii) require any the Owned Software be licensed for the purpose of making derivative works; (iii) impose any restriction on the consideration to be charged for the distribution or use of any Owned Software; (iv) create, or purport to create, obligations for the Corporation or any Subsidiary with respect to such Owned Software or grant, or purport to grant, to any third party, any rights or immunities under the Corporation’s or any Subsidiary’s Intellectual Property; or (v) impose any other material limitation, restriction, or condition on the right of the Corporation or any Subsidiary to use or distribute any or other Corporation’s or the Subsidiary’s product or service. (d) The Corporation maintains back-up systems and disaster recovery and business continuity plans to provide for the business continuity of the Business in all material respects. (e) The Corporation has implemented appropriate tools and procedures consistent with industry practice to protect the IT Systems from Disabling Code and Unauthorized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1"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72" descr=""/>
                    <pic:cNvPicPr>
                      <a:picLocks noChangeAspect="1" noChangeArrowheads="1"/>
                    </pic:cNvPicPr>
                  </pic:nvPicPr>
                  <pic:blipFill>
                    <a:blip r:embed="rId1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- 52 - 1390-1182-7473.14 Code. To the knowledge of the Corporation and the Subsidiary, the IT Systems are free of any Disabling Code and Unauthorized Code. (31) Anti-Spam Laws. Except as set out in Schedule 3.2(30)(c), in carrying on the Business the Corporation and the Subsidiary has complied at all times with CASL. The Corporation and the Subsidiary has maintained and continues to maintain commercially reasonable records to demonstrate its compliance with CASL. (32) No Material Adverse Change. Since the date of the most recent Annual Financial Statements, there has been no Material Adverse Change. (33) Absence of Certain Changes or Events. Except as disclosed in Schedule 3.2(33), since the date of the most recent Annual Financial Statements, the Corporation and the Subsidiary have carried on the Business in the Ordinary Course of Business, and, in particular, but without limitation, neither the Corporation nor any Subsidiary has: (a) amended its articles or by-laws or similar document adopted or filed in connection with the creation, formation or organization of the Corporation or the Subsidiary, as the case may be; (b) directly or indirectly, declared, set aside for payment or paid any dividend or made any other payment or distribution on or in respect of any of its shares; (c) redeemed, purchased, retired or otherwise acquired, directly or indirectly, any of its shares; (d) issued or sold any shares or other securities or issued, sold or granted any option, warrant or right to purchase any of its shares or other securities or issued any security convertible into its shares, granted any registration rights or otherwise made any change to its authorized or issued share capital; (e) disposed of or revalued any of the assets reflected on the balance sheet forming part of the most recent Annual Financial Statements; (f) made any changes in its accounting principles, policies, practices or methods; (g) suffered any material operating loss or extraordinary loss or cancelled or waived any Indebtedness, claim or other right; (h) incurred or assumed any liabilities (including any Indebtedness) or obligations of any nature, whether absolute, accrued, contingent or otherwise, except (i) for liabilities which are not, individually or in the aggregate material, or (ii) unsecured current liabilities incurred in the Ordinary Course of Business; (i) mortgaged, pledged, granted a security interest in or otherwise created a Lien on any of its property or assets, except in the Ordinary Course of Business and in amounts which, individually and in the aggregate are not material to the financial condition of the Corporation or the Subsidiary, as the case may be, or to the operation of the Business; (j) entered into any material contract (other than a Material Contract) or any other material transaction that was not in the Ordinary Course of Business;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2"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73" descr=""/>
                    <pic:cNvPicPr>
                      <a:picLocks noChangeAspect="1" noChangeArrowheads="1"/>
                    </pic:cNvPicPr>
                  </pic:nvPicPr>
                  <pic:blipFill>
                    <a:blip r:embed="rId1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- 53 - 1390-1182-7473.14 (k) terminated, cancelled, modified or amended in any material respect or received notice or a request for termination, cancellation, modification or amendment of any Material Contract or taken or failed to take any action that would entitle any party to a Material Contract to terminate, modify, cancel or amend any Material Contract; (l) cancelled or waived any Indebtedness, claim or other material right with a value to the Corporation or the Subsidiary, as the case may be, in excess of C$5,000; (m) given or agreed to give or become a party to or bound by any guarantee, surety or indemnity in respect of Indebtedness or other obligations or liabilities of any other Person or become a party to any other commitment by which the Corporation or the Subsidiary, as the case may be, is, or is contingently, responsible for such Indebtedness or other liability or obligation; (n) incurred any material damage, destruction or loss with respect to any of the assets or properties of the Corporation or any Subsidiary (whether or not insured); (o) purchased or otherwise acquired any interest in any securities of any other Person; (p) made any capital expenditure or authorized any capital expenditure or made any commitment for the purchase, construction or improvement of any capital assets except in the Ordinary Course of Business; (q) discharged, settled or satisfied any Legal Proceedings, other than Legal Proceedings reflected in the most recent Annual Financial Statements and for amounts not in excess of the amount reserved against therein; (r) entered into any Contract or commitment to hire, or terminated the services of, any officer or senior management Employee; (s) materially increased or decreased the compensation or benefits (including equity- based compensation, whether payable in cash or otherwise) payable or to become payable to any Employee, except in the Ordinary Course of Business consistent with past practice; or (t) agreed, committed or entered into any understanding to take any actions enumerated in paragraphs (a) to (s) of this Section 3.2(33). (34) Investment Canada Act. Neither the Corporation nor any Subsidiary carries on a cultural business as defined in the Investment Canada Act (Canada). (35) Competition Act (Canada). Neither the aggregate value of the assets in Canada of the Corporation, together with the Subsidiary, nor the aggregate gross revenues from sales in, from, or into Canada generated from such assets, exceed the monetary threshold set out in section 110(3) of the Competition Act (Canada), as prescribed by the Competition Act (Canada). 3.3 Representations and Warranties of the Purchaser. As a material inducement to the Vendors’ entering into this Agreement and completing the transactions contemplated by this Agreement and acknowledging that the Vendors are entering into this Agreement in reliance upon the representations and warranties of the Purchaser set out in this Section 3.3, the Purchaser represents and warrants to the Vendors as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3"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74" descr=""/>
                    <pic:cNvPicPr>
                      <a:picLocks noChangeAspect="1" noChangeArrowheads="1"/>
                    </pic:cNvPicPr>
                  </pic:nvPicPr>
                  <pic:blipFill>
                    <a:blip r:embed="rId1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- 54 - 1390-1182-7473.14 (1) Incorporation and Corporate Power. The Purchaser is a corporation incorporated, organized and subsisting under the laws of the jurisdiction of its incorporation. The Purchaser has the corporate power, authority and capacity to execute and deliver this Agreement and all other agreements and instruments to be executed by it as contemplated herein and to perform its obligations under this Agreement and under all such other agreements and instruments. (2) Authorization by Purchaser. The execution and delivery of this Agreement and all other agreements and instruments to be executed by it as contemplated herein and the completion of the transactions contemplated by this Agreement and all such other agreements and instruments have been duly authorized by all necessary corporate action on the part of the Purchaser. (3) Enforceability of Obligations. This Agreement constitutes a valid and binding obligation of the Purchaser enforceable against the Purchaser in accordance with its terms. There is no Legal Proceeding in progress, pending, or, to the knowledge of the Purchaser, Threatened against or affecting the Purchaser, and there are no grounds on which any such Legal Proceeding might reasonably be commenced and there is no Order outstanding against or affecting the Purchaser which, in any such case, affects adversely or might affect adversely the ability of the Purchaser to enter into this Agreement or to perform its obligations hereunder. (4) Commissions. The Vendors will not be liable for any brokerage commission, finder’s fee or other similar payment in connection with the transactions contemplated by this Agreement because of any action taken by, or agreement or understanding reached by, the Purchaser. (5) No Conflicts; Consents. The execution, delivery and performance by the Purchaser of this Agreement, and the consummation of the transactions contemplated hereby, do not and will not: (a) result in a violation or breach of any provision of the articles and by-laws or other constating documents of the Purchaser; (b) result in a violation or breach of any provision of any Applicable Law or Order; or (c) require the consent, notice or other action by any Person under, conflict with, result in a violation or breach of, constitute a default under or result in the acceleration of any agreement to which the Purchaser is a party, where the violation, breach, conflict, default, acceleration or failure to give notice would not have a material adverse effect on the Purchaser's ability to consummate the transactions contemplated hereby, assuming the accuracy and completeness of the Vendors’ representatives and warranties in Sections 3.2(34) and 3.2(35). No consent, approval, permit, Order, declaration or filing with, or notice to, any Governmental Authority is required by or with respect to the Purchaser in connection with the execution and delivery of this Agreement and the consummation of the transactions contemplated hereby, other than such consents, approvals, permits, Orders, declarations, filings or notices (i) required under Applicable Laws (including U.S. securities Applicable Laws) or (ii) that would not have a material adverse effect on Purchaser's ability to consummate the transactions contemplated hereby. (6) Legal Proceedings. There are no Legal Proceedings pending or, to the Purchaser's knowledge, threatened against or by the Purchaser or any Affiliate of the Purchaser that challenge or seek to prevent, enjoin or otherwise delay the transactions contemplated by this Agreement. (7) Independent Investigation. The Purchaser has conducted its own independent investigation, review and analysis of the business, results of operations, prospects, condition (financial or otherwise) or assets of the Corporation, and acknowledges that it has been provided adequate access to the personnel, properties, assets, premises, books and records, and other documents and data of the Vendors and the Corporation for such purpose. The Purchaser acknowledges and agrees that: (a) in making its decision to enter into this Agreement and to consummate the transactions contemplated hereby, the Purchaser has relied solely upon its own investigation and the express representations and warranties of Vendors set forth in Sections 3.1 and 3.2 (including the related portions of the Schedules); and (b) none of the Vendors, the Corporation or any other Person has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4"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75" descr=""/>
                    <pic:cNvPicPr>
                      <a:picLocks noChangeAspect="1" noChangeArrowheads="1"/>
                    </pic:cNvPicPr>
                  </pic:nvPicPr>
                  <pic:blipFill>
                    <a:blip r:embed="rId1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- 55 - 1390-1182-7473.14 made any representation or warranty as to the Vendors, the Corporation or this Agreement, except as expressly set forth in Sections 3.1 and 3.2 (including the related portions of the Schedules). 3.4 No Waiver. No investigations, inspections, surveys or tests made by or on behalf of the Purchaser at any time, shall, or shall be deemed to (a) affect, mitigate, modify, waive, diminish the scope of or otherwise affect any representation or warranty made by the Vendors in or pursuant to this Agreement, (b) amend or supplement any of the Schedules hereto, or (c) limit or otherwise affect any remedies available to the Purchaser, unless in each case agreed to by the Purchaser in writing.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5"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76" descr=""/>
                    <pic:cNvPicPr>
                      <a:picLocks noChangeAspect="1" noChangeArrowheads="1"/>
                    </pic:cNvPicPr>
                  </pic:nvPicPr>
                  <pic:blipFill>
                    <a:blip r:embed="rId1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- 56 - 1390-1182-7473.14 ARTICLE 4 CLOSING ARRANGEMENTS 4.1 Closing. The Closing shall take place at 10:00 a.m. EST on the Closing Date virtually by exchange of electronic documents by e-mail or similar means of electronic transmission, or at such other time on the Closing Date or such other place as may be agreed in writing by the Vendors’ Representative and the Purchaser. 4.2 Vendors’ Closing Deliveries. At the Closing, the Vendors shall deliver or cause to be delivered to the Purchaser the following documents: (a) the certificates or share acknowledgements, as the case may be, representing the Shares; (b) transfers of the Shares, in form and substance satisfactory to the Purchaser, duly executed by the Vendors; (c) the minute books, share certificate books and corporate seal of each of the Corporation and the Subsidiary; (d) a factual certificate of a senior officer of the Management Shareholder, dated as of the Closing Date, in form and substance satisfactory to the Purchaser, certifying: (a) the constating documents and by-laws (or equivalent governing documents) of the Management Shareholder; and (b) the resolutions of the directors of such Management Shareholder authorizing the transactions contemplated by this Agreement, duly executed by the senior officer of the Management Shareholder; (e) a factual certificate of a senior officer of the Corporation dated as of the Closing Date, in form and substance satisfactory to the Purchaser, certifying: (a) the constating documents and by-laws of the Corporation; and (b) the resolutions of the Corporation authorizing the transfer of the Shares to the Purchaser, duly executed by the senior officer of the Corporation; (f) a factual certificate of a senior officer of the Subsidiary dated as of the Closing Date, in form and substance satisfactory to the Purchaser, acting reasonably, certifying the constating documents and by-laws of the Subsidiary, duly executed by the senior officer of such Subsidiary; (g) Payoff Letters in respect of the Closing Date Indebtedness and related Liens to be discharged on the Closing Date; (h) evidence in form satisfactory to the Purchaser, acting reasonably, that the Consents set out on Schedule 4.2(h) have been obtained; (i) a clearance letter issued by WorkSafe BC evidencing that the Corporation’s account(s) are in good standing; (j) evidence in form satisfactory to the Purchaser, acting reasonably, that Yardi Systems, Inc. (“Yardi”) has (i) acknowledged receipt of notice of the transactions contemplated by this Agreement, (ii) indicated it does not intend to terminate the Data Exchange Interface Agreement between the Corporation and Yardi dated August 13, 2013 (the “Yardi Agreement”) and (iii) consented to the potential assignment of Yardi Agreement by the Corporation to the Purchaser or its Affiliates;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6"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77" descr=""/>
                    <pic:cNvPicPr>
                      <a:picLocks noChangeAspect="1" noChangeArrowheads="1"/>
                    </pic:cNvPicPr>
                  </pic:nvPicPr>
                  <pic:blipFill>
                    <a:blip r:embed="rId1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- 57 - 1390-1182-7473.14 (k) the written resignation of each director and officer of the Corporation and the Subsidiary designated by the Purchaser and a mutual release of all claims by or against the Corporation and the Subsidiary against or by or against each such director and officer; (l) a termination of and a release of any claims related to any prior management services agreement between the Vendors’ Representative or any Affiliates and the Corporation; and (m) all such other assurances, Consents, agreements, documents and instruments as may be reasonably required by the Purchaser to complete the transactions provided for in this Agreement, all of which shall be in form and substance satisfactory to the Purchaser, acting reasonably. 4.3 Purchaser’s Closing Deliveries. At the Closing, the Purchaser shall deliver or cause to be delivered to the Vendors’ Representative (for and on behalf of the Vendors) the following documents and payments: (a) a factual certificate of a senior officer of the Purchaser dated as of the Closing Date, in form and substance satisfactory to the Vendors’ Representative, duly executed by the Secretary or other senior officer of the Purchaser; (b) the payment referred to in Section 2.6(1); and (c) all such other assurances, consents, agreements, documents and instruments as may be reasonably required by the Vendors to complete the transactions provided for in this Agreement, all of which shall be in form and substance satisfactory to the Vendors’ Representative, acting reasonably.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7"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78" descr=""/>
                    <pic:cNvPicPr>
                      <a:picLocks noChangeAspect="1" noChangeArrowheads="1"/>
                    </pic:cNvPicPr>
                  </pic:nvPicPr>
                  <pic:blipFill>
                    <a:blip r:embed="rId1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- 58 - 1390-1182-7473.14 ARTICLE 5 INDEMNIFICATION 5.1 Survival. All provisions of this Agreement and of any other agreement, certificate or instrument delivered pursuant to this Agreement shall not merge on Closing but shall survive the execution, delivery and performance of this Agreement, the Closing and the execution and delivery of any transfer documents or other documents of title to the Shares and all other agreements, certificates and instruments delivered pursuant to this Agreement and the payment of the consideration for the Shares. 5.2 Indemnity by the Vendors. (1) Each Vendor shall, severally and not jointly, indemnify the Purchaser’s Indemnified Parties and save them fully harmless against, and will reimburse them for, any Damages arising from, in connection with or related in any manner whatsoever to: (a) any incorrectness in or breach of any representation or warranty of such Vendor contained in Section 3.1 of this Agreement or in any other agreement, certificate or instrument executed and delivered pursuant to this Agreement to the extent concerning such Vendor; and (b) any breach or any non-fulfilment of any covenant or agreement to be performed by such Vendor contained in this Agreement or in any other agreement, certificate or instrument executed and delivered pursuant to this Agreement, and for clarity and without limitation, the covenants of the Vendors set forth in Sections 6.1, 6.7 and 6.8 shall be deemed to be covenants of each applicable Vendor and not collective covenants of the Vendors. (2) Each Vendor shall, jointly and severally, indemnify the Purchaser’s Indemnified Parties and save them fully harmless against, and will reimburse them for, any Damages arising from, in connection with or related in any manner whatsoever to: (a) any incorrectness in or breach of any representation or warranty contained in Section 3.2 of this Agreement or in any other agreement, certificate or instrument executed and delivered pursuant to this Agreement to the extent not concerning a particular Vendor; (b) any breach or any non-fulfilment of any covenant or agreement to be performed collectively by the Vendors contained in this Agreement or in any other agreement, certificate or instrument executed and delivered pursuant to this Agreement; (c) any Taxes and other Damages which may be suffered or incurred by any of the Purchaser’s Indemnified Parties (“Indemnified Taxes”) as a result of, or arising out of or in connection with or related in any manner whatever to any Taxes required to be actually paid in cash (after taking into account all available losses and other credits that arose in a Pre-Closing Tax Period against the payment of Taxes and, for greater clarity, excluding all available losses and other credits that arose in a taxation year ending after Closing) by the Corporation or the Subsidiary (and in each case any successor thereto): (i) in respect of a Pre-Closing Tax Period;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8"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79" descr=""/>
                    <pic:cNvPicPr>
                      <a:picLocks noChangeAspect="1" noChangeArrowheads="1"/>
                    </pic:cNvPicPr>
                  </pic:nvPicPr>
                  <pic:blipFill>
                    <a:blip r:embed="rId1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- 59 - 1390-1182-7473.14 (ii) in respect of the portion of a Straddle Period ending immediately prior to the Closing Date (as determined under Section 6.2(3)); and in each case, except to the extent such Indemnified Taxes were specifically taken into account in calculating the Purchase Price. (d) any Closing Indebtedness or Corporation Transaction Expenses to the extent not satisfied or taken into account in calculating the Purchase Price hereunder; (e) any Legal Proceeding to which the Corporation or any Subsidiary is a party at any time on or prior to the Closing Date, or to which it becomes a party after the Closing Date arising from facts or circumstances that existed at any time on or prior to the Closing Date including the Legal Proceedings disclosed in Schedule 3.2(22); and (f) the matters disclosed on Schedule 5.2(2)(f). (3) For greater certainty and without limiting the generality of the provisions of Section 5.2(1)(a), 5.2(1)(b), 5.2(2)(a) and 5.2(2)(b), the indemnity provided for in Section 5.2(1)(b) and 5.2(2)(b) through (f) shall extend to any Damages arising from any act, omission or state of facts that occurred or existed prior to the Closing Time, and whether or not disclosed in any Schedule to this Agreement. The rights to indemnification of the Purchaser’s Indemnified Parties under this Section 5.2 shall apply notwithstanding any inspection or inquiries made by or on behalf of any of the Purchaser’s Indemnified Parties, or any knowledge acquired or capable of being acquired by any of the Purchaser’s Indemnified Parties or facts actually known to any of the Purchaser’s Indemnified Parties (whether before or after the execution and delivery of this Agreement and whether before or after Closing). The Vendors shall not have any right of indemnification, contribution or subrogation against the Corporation, the Subsidiary, the Purchaser, the Parent Guarantor or any of their respective Affiliates with respect to any indemnification payment made by or on behalf of the Vendors under this Article 5. 5.3 Indemnity by the Purchaser. The Purchaser shall indemnify the Vendors’ Indemnified Parties and save them fully harmless against, and will reimburse them for, any Damages arising from, in connection with or related in any manner whatsoever to: (a) any incorrectness in or breach of any representation or warranty of the Purchaser contained in Section 3.3 of this Agreement or in any other agreement, certificate or instrument executed and delivered pursuant to this Agreement; and (b) any breach or non-fulfilment of any covenant or agreement on the part of the Purchaser contained in this Agreement or in any other agreement, certificate or instrument executed and delivered pursuant to this Agreement. 5.4 Claim Notice. If an Indemnified Party becomes aware of any act, omission or state of facts that may give rise to Damages in respect of which a right of indemnification is provided for under this Article 5, the Indemnified Party shall promptly give written notice thereof (a “Claim Notice”) to the Indemnifying Party. The Claim Notice shall specify whether the potential Damages arise as a result of a claim by a Person against the Indemnified Party (a “Third Party Claim”) or whether the potential Damages arise as a result of a claim directly by the Indemnified Party against the Indemnifying Party (a “Direct Claim”), and shall also specify with reasonable particularity (to the extent that the information is available): (a) the factual basis for the Direct Claim or Third Party Claim, as the case may be; and (b) the amount of the potential Damages arising therefrom, if known.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9"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80" descr=""/>
                    <pic:cNvPicPr>
                      <a:picLocks noChangeAspect="1" noChangeArrowheads="1"/>
                    </pic:cNvPicPr>
                  </pic:nvPicPr>
                  <pic:blipFill>
                    <a:blip r:embed="rId1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- 60 - 1390-1182-7473.14 If, through the fault of the Indemnified Party, the Indemnifying Party does not receive a Claim Notice in time effectively to contest the determination of any liability susceptible of being contested or to assert a right to recover an amount under applicable insurance coverage, then the liability of the Indemnifying Party to the Indemnified Party under this Article 5 shall be reduced only to the extent that Damages (including any amount for which indemnity is claimed hereunder) are actually incurred by the Indemnifying Party resulting from the Indemnified Party’s failure to give the Claim Notice on a timely basis. Nothing in this Section 5.4 shall be construed to affect the time within which a Claim Notice must be delivered pursuant to Sections 5.5(1) and 5.5(2) in order to permit recovery pursuant to Section 5.2(1)(a), 5.2(2)(a) or 5.3(a) as the case may be. In respect of any Claim Notice concerning Indemnified Taxes, a Purchaser’s Indemnified Party shall deliver with its Claim Notice a copy of any assessment, reassessment, notice of confirmation thereof, proposal to assess or reassess, appeal or notification of a similar proceeding, together with all correspondence related to such documents. 5.5 Time Limits for Claim Notice. (1) Notice by the Purchaser. No Damages may be recovered from the Vendors pursuant to Section 5.2(1)(a) or Section 5.2(2)(a) unless (subject to the fraud exception below) a Claim Notice is delivered by the Purchaser in accordance with the timing set out below: (a) with respect to the Fundamental Representations of the Vendors, on or before the date that is 10 years after the Closing Date; (b) with respect to the Tax Representations, at any time before the date that is 90 days after the relevant Governmental Authorities are no longer entitled to assess or reassess the Corporation or the Subsidiary in respect of the Taxes in question, having regard, without limitation, to: (i) any waiver given by the Corporation or such Subsidiary, as applicable, before the Closing Date in respect of such Taxes; and (ii) any entitlement of a Governmental Authority to assess or reassess the Corporation or such Subsidiary without limitation in the event of fraud or misrepresentation attributable to neglect, carelessness or wilful default; and (c) with respect to all other representations and warranties, on or before the date that is 18 months after the Closing Date, provided, however, that in the event of fraud relating to a representation and warranty of any Vendor in this Agreement, then notwithstanding the foregoing time limitations, the Purchaser’s Indemnified Parties shall be entitled to deliver a Claim Notice at any time for purposes of such a claim. Unless (subject to the fraud exception above) a Claim Notice has been given in accordance with the timing set out in Sections 5.5(1)(a), 5.5(1)(b) or 5.5(1)(c) with respect to the representations and warranties referred to in any such Section, the Vendors shall be released on the date set out in Sections 5.5(1)(a), 5.5(1)(b) or 5.5(1)(c) as applicable, from all obligations in respect of representations and warranties referenced in those Sections and from the obligation to indemnify the Purchaser’s Indemnified Parties in respect thereof pursuant to Section 5.2(1)(a) or Section 5.2(2)(a). The foregoing shall not be construed to impose any time limit on the Purchaser’s right to assert a claim to recover Damages under Section 5.2(1)(b) or Sections 5.2(2)(b) through (f), whether or not the basis on which such a claim is asserted could also entitle the Purchaser to make a claim for Damages pursuant to Section 5.2(1)(a) or Section 5.2(2)(a), provided that no Damages may be recovered from the Vendors pursuant to Section 5.2(1)(b) or Section 5.2(2)(b) through 5.2(2)(f) unless a Claim Notice is delivered by the Purchaser prior to the Earnout Term End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0"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81" descr=""/>
                    <pic:cNvPicPr>
                      <a:picLocks noChangeAspect="1" noChangeArrowheads="1"/>
                    </pic:cNvPicPr>
                  </pic:nvPicPr>
                  <pic:blipFill>
                    <a:blip r:embed="rId1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- 61 - 1390-1182-7473.14 (2) Notice by the Vendors’ Representative. No Damages may be recovered from the Purchaser pursuant to Section 5.3(a) unless a Claim Notice is delivered by the Vendors’ Representative in accordance with the timing set out below: (a) with respect to the Fundamental Representations of the Purchaser, on or before the date that is 10 years after the Closing Date; and (b) with respect to all other representations and warranties, or before the date that is 18 months after the Closing Date, provided, however, that in the event of fraud relating to a representation and warranty of the Purchaser in this Agreement, then notwithstanding the foregoing time limitations, the Vendors’ Indemnified Parties shall be entitled to deliver a Claim Notice at any time for purposes of such a claim. Unless (subject to the fraud exception above) a Claim Notice has been given in accordance with the timing set out in Section 5.5(2)(b), the Purchaser shall be released on the date set out in Section 5.5(2)(b), from all obligations in respect of that particular representation and warranty and from the obligation to indemnify the Vendors’ Indemnified Parties in respect thereof pursuant to Section 5.3(a). This Section 5.5(2) shall not be construed to impose any time limit on the Vendors’ right to assert a claim to recover Damages under Section 5.3(b), whether or not the basis on which such a claim is asserted could also entitle the Vendors to make a claim for Damages pursuant to Section 5.3(a). 5.6 Apportionment of Liability; Limitation on Damages. (1) Apportionment of Liability. Subject to the other limitations set forth in this Agreement, the obligations of each Vendor to indemnify the Purchaser’s Indemnified Parties pursuant to Section 5.2(1)(a) and Section 5.2(1)(b) are given by such Vendor with respect to itself only, and accordingly each Vendor shall be solely liable for any incorrectness in or breach of any representation or warranty as to such Vendor or any breach or any non-fulfilment of any covenant or agreement on the part of such Vendor, but not for any such incorrectness, breach or non-fulfillment with respect to any other Vendor. (2) Damages from Vendors. The liability of the Vendors for indemnification pursuant to this Agreement shall be limited as follows: (a) no Damages may be recovered from any Vendor pursuant to Section 5.2(1)(a) or Section 5.2(2)(a) or unless and until the accumulated aggregate amount of Damages of the Purchaser’s Indemnified Parties arising pursuant to Section 5.2(1)(a) or Section 5.2(2)(a) exceeds US$75,000 (the “Aggregate Claim Threshold”), in which event the accumulated aggregate amount of all such Damages may be recovered; and (b) the aggregate amount of all Damages for which the Vendors shall be required to indemnify the Purchaser’s Indemnified Parties pursuant to Section 5.2(1)(a) or Section 5.2(2)(a) shall not exceed US$2,750,000 (the “Indemnity Cap”); provided that each of the Aggregate Claim Threshold and the Indemnity Cap shall have no application to any claim to recover Damages based on any incorrectness in or breach of (i) any Fundamental Representation of the Vendors, (ii) any Tax Representations or (iii) any other representation or warranty of the Vendors in this Agreement resulting from fraud by a Vendor, nor shall the limitations be construed to apply to any of the indemnities in Section 5.2(1)(b) or Sections 5.2(2)(b) through (f); provided further that, in addition to the other limitations set forth in this Section 5.6, in no event shall the aggregate amount of all Damages for which any Vendor is required to indemnify the Purchaser’s Indemnified Parties exceed an amount equal to such Vendor’s Allocable Portion multiplied by the Purchase Price.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1"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82" descr=""/>
                    <pic:cNvPicPr>
                      <a:picLocks noChangeAspect="1" noChangeArrowheads="1"/>
                    </pic:cNvPicPr>
                  </pic:nvPicPr>
                  <pic:blipFill>
                    <a:blip r:embed="rId1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- 62 - 1390-1182-7473.14 (3) Damages from Purchaser. The liability of the Purchaser for indemnification pursuant to this Agreement shall be limited as follows: (a) No Damages may be recovered from the Purchaser pursuant to Section 5.3(a) unless and until the accumulated aggregate amount of Damages of the Vendors’ Indemnified Parties arising pursuant to Section 5.3(a) exceeds the Aggregate Claim Threshold, in which event the accumulated aggregate amount of all such Damages may be recovered; (b) the aggregate amount of all Damages for which the Purchaser shall be required to indemnify the Vendors’ Indemnified Parties pursuant to 5.3(a) shall not exceed the Indemnity Cap; provided that the Aggregate Claim Threshold and the Indemnity Cap shall have no application to any claim to recover Damages based on any incorrectness in or breach of (i) any Fundamental Representations of the Purchaser or (ii) any other representation or warranty of the Purchaser in this Agreement resulting from fraud by the Purchaser, nor shall the limitation be construed to apply to any of the indemnities in Sections 5.3(b). 5.7 Sources of Recovery. Any and all claims by a Purchaser’s Indemnified Party for Damages pursuant to this Agreement shall be satisfied in the following order: (i) first, by set-off against the Earnout in accordance with Section 2.8; and (ii) second, by the applicable Vendor(s). 5.8 Limitation Periods. (1) Limitation Periods for Representations and Warranties. Notwithstanding the provisions of the Limitations Act, 2002 (Ontario) (the “Limitations Act”) or any other statute, an Indemnified Party may commence a proceeding in respect of Damages arising from any incorrectness in or breach of any representation and warranty of the Indemnifying Party as referred to in a Claim Notice delivered within the time periods stipulated in Section 5.5 at any time on or before the later of: (a) the second anniversary of the last date upon which such Claim Notice is permitted to be delivered under Section 5.5; and (b) the expiry of the limitation period otherwise applicable to such claim, and any applicable limitation period is hereby so extended to the full extent permitted by law. (2) Limitation Periods for Covenants and Other Matters. The limitation period applicable to any proceeding relating to a claim referred to in a Claim Notice in respect of any matter in Sections 5.2(1)(b), 5.2(2)(b) through (f) and 5.3(b) shall be solely as prescribed in sections 15-17 of the Limitations Act and any other limitation period in respect of such claim (including that provided for in section 4 of the Limitations Act) is extended accordingly. 5.9 Calculation of Damages. (1) For the purpose only of calculating the amount of Damages under this Article 5, the representations and warranties of the Parties contained in this Agreement or in any other agreement, certificate or instrument executed and delivered pursuant to this Agreement shall be deemed to have been made without qualifications as to materiality where the words or phrases “material”, “immaterial”, “in all material respects”, “Material Adverse Change” or words or phrases of similar import are used in or otherwise applicable to such representation and warranty.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2"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83" descr=""/>
                    <pic:cNvPicPr>
                      <a:picLocks noChangeAspect="1" noChangeArrowheads="1"/>
                    </pic:cNvPicPr>
                  </pic:nvPicPr>
                  <pic:blipFill>
                    <a:blip r:embed="rId1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- 63 - 1390-1182-7473.14 (2) The calculation of the amount of Damages payable to an Indemnified Party shall not be affected by any inspection or inquiries made by or on behalf of the Party entitled to be indemnified under this Article 5. (3) Notwithstanding anything herein, the amount of any Damages suffered or incurred by an Indemnified Party in respect of any indemnification claim by such Indemnified Party against an Indemnifying Party shall be deemed to be reduced by any insurance proceeds, or any indemnity, reimbursement or contribution or any other similar payment directly or indirectly received or realized by such Indemnified Party or any of its Affiliates as a result of or in connection with the matter giving rise to the applicable Damages (net of any deductible, increase of premium and any other costs, expenses and Taxes incurred in connection with such recovery). The Indemnified Party shall use commercially reasonable efforts to recover under its applicable insurance policies or its applicable indemnity, reimbursement or contribution or similar arrangements, but, for greater certainty, no Indemnified Party shall be required to do so prior to making a claim for indemnification under this Article 5. In the event that the amount of any Damages suffered or incurred by an Indemnified Party in respect of any indemnification claim by such Indemnified Party against an Indemnifying Party are deemed to be reduced pursuant to this Section 5.9(3) subsequent to such Indemnifying Party making the applicable indemnification payment required to be made by it under this Agreement in connection with such indemnification claim, such Indemnified Party shall promptly pay over to the Indemnifying Party an amount equal to the lesser of (i) the amount of such indemnification payment, or (ii) the amount equal to (A) such recovery (net of any deductible, increase of premium and any other costs, expenses and Taxes incurred in connection with such recovery) plus (B) such indemnification payment minus (C) the Damages to which such recovery relates. (4) Payments by an Indemnifying Party under Section 5.2 or 5.3 in respect of any Damages shall be reduced by the net amount of any Tax benefits actually realized by the Indemnified Party thereof as a result of the incurrence of payment of any such Damages in the form of a refund or reduction in Taxes otherwise payable within the taxation year in which such Damages were incurred or paid, the immediately preceding taxation year or the next immediately succeeding taxation year, in each case calculated by comparing Taxes that would have been payable without taking into account any deduction or credit resulting from such Damages and Taxes actually payable by taking into account such deductions or credits. 5.10 Agency for Non-Parties. Notwithstanding Section 7.15, each Party hereby accepts each indemnity in favour of each of its Indemnified Parties who are not Parties as agent and trustee of that Indemnified Party. Each Party may enforce an indemnity in favour of any of that Party’s Indemnified Parties on behalf of each such Indemnified Party. 5.11 Direct Claims. In the case of a Direct Claim, the Indemnifying Party shall have 60 days from receipt of a Claim Notice in respect thereof within which to make such investigation as the Indemnifying Party considers necessary or desirable. For the purpose of such investigation, the Indemnified Party shall make available to the Indemnifying Party the information relied upon by the Indemnified Party to substantiate its right to be indemnified under this Article 5, together with all such other information as the Indemnifying Party may reasonably request. If the Parties fail to agree at or before the expiration of such 60 day period (or any mutually agreed upon extension thereof), the Indemnified Party shall be free to pursue such remedies as may be available to it. 5.12 Third Party Claims. (1) Rights of Indemnifying Party. In the event a Claim Notice is delivered with respect to a Third Party Claim, the Indemnifying Party shall have the right, at its expense, to participate in but not control the negotiation, settlement or defence of the Third Party Claim, which control shall rest at 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3"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84" descr=""/>
                    <pic:cNvPicPr>
                      <a:picLocks noChangeAspect="1" noChangeArrowheads="1"/>
                    </pic:cNvPicPr>
                  </pic:nvPicPr>
                  <pic:blipFill>
                    <a:blip r:embed="rId1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- 64 - 1390-1182-7473.14 times with the Indemnified Party (except as otherwise described in Section 5.12(4)), unless the Indemnifying Party: (a) irrevocably and unconditionally acknowledges in writing complete responsibility for, and agrees to indemnify the Indemnified Party in respect of all Damages relating to, the Third Party Claim; (b) furnishes evidence to the Indemnified Party whenever requested by the Indemnified Party, which is satisfactory to the Indemnified Party of the Indemnifying Party’s financial ability to indemnify the Indemnified Party; and (c) in the case of a Third Party Claim that concerns Indemnified Taxes or any incorrectness in or breach of any representation or warranty contained in Section 3.1(5) or Section 3.2(28), complies and continues to comply with its obligations under Section 6.3, in which case the Indemnifying Party may assume such control at its expense through counsel of its choice; provided, however, that notwithstanding the foregoing, the Indemnifying Party shall not be permitted to assume control of the negotiation, settlement or defence of the Third Party Claim if: (A) such Third Party Claim seeks equitable relief against the Indemnified Party as a primary form of relief; (B) there is a reasonable probability that such Third Party Claim would result in monetary damages or payments in excess of 100% of the amount for which the Indemnifying Party is obligated to indemnify the Indemnified Party pursuant to this Article 5; (C) such Third Party Claim involves criminal liability; (D) such Third Party Claim is by a current material customer or supplier of the Business, the Purchaser or its Affiliates; or (E) such Third Party Claim concerns Taxes referred to in Section 5.12(4). (2) Respective Rights on Indemnifying Party’s Assumption of Control. If the Indemnifying Party elects to assume control as contemplated in Section 5.12(1), the Indemnifying Party shall reimburse the Indemnified Party for all of the Indemnified Party’s out-of-pocket expenses incurred as a result of such assumption. The Indemnified Party shall continue to have the right to participate in the negotiation, settlement or defence of such Third Party Claim and to retain counsel to act on its behalf, provided that the fees and disbursements of such counsel shall be paid by the Indemnified Party unless the Indemnifying Party consents to the retention of such counsel at its expense or unless the named parties to any action or proceeding include both the Indemnifying Party and the Indemnified Party and a representation of both the Indemnifying Party and the Indemnified Party by the same counsel would be inappropriate due to the actual or potential differing interests between them (such as the availability of different defences), in which case the fees and disbursements of such counsel shall be paid by the Indemnifying Party. The Indemnified Party shall co-operate with the Indemnifying Party so as to permit the Indemnifying Party to conduct such negotiation, settlement and defence and for this purpose shall preserve all relevant documents in relation to the Third Party Claim, allow the Indemnifying Party access on reasonable notice to inspect and take copies of all such documents and require its personnel to provide such statements as the Indemnifying Party may reasonably require and to attend and give evidence at any trial or hearing in respect of the Third Party Claim. (3) Lack of Reasonable Diligence. If, having elected to assume control as contemplated by Section 5.12(1), the Indemnifying Party thereafter fails to conduct the negotiation, settlement or defence of the relevant Third Party Claim with reasonable diligence, then the Indemnified Party shall be entitled to assume such control and the Indemnifying Party shall be bound by the results obtained by the Indemnified Party with respect to such Third Party Claim. (4) Joint Control for Certain Tax Claims. The Vendors’ Representative and the Purchaser’s Indemnified Party shall jointly control and participate in the negotiation, settlement and defence of (a) any Third Party Claim relating to Taxes for any Straddle Period and (b) any Third Party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4"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85" descr=""/>
                    <pic:cNvPicPr>
                      <a:picLocks noChangeAspect="1" noChangeArrowheads="1"/>
                    </pic:cNvPicPr>
                  </pic:nvPicPr>
                  <pic:blipFill>
                    <a:blip r:embed="rId1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- 65 - 1390-1182-7473.14 Claim relating partly to Pre-Closing Tax Periods and partly to other tax periods. Neither the Vendors’ Representative nor the Purchaser’s Indemnified Party shall settle any such Third Party Claim without the written consent of the other, which consent shall not be unreasonably withheld or delayed. (5) Compulsory Payments Prior to Settlement. (a) In the case of a Claim Notice concerning an amount of Damages (i) required to be paid by an Indemnified Party under Applicable Law or any Order, (ii) in respect of which a Governmental Authority is legally permitted to take collection action at that time, or (iii) in respect of which any amount is garnished by a Governmental Authority (each such amount a “Preliminary Compulsory Payment Amount”), the Indemnifying Party shall, within 10 days of receipt of the Claim Notice, pay the Indemnified Party an amount equal to the Preliminary Compulsory Payment Amount and for greater certainty, any such payment shall be made in accordance with Section 5.7. (b) Upon the occurrence of a Final Compulsory Payment Indemnification Event (if any), (i) if the aggregate of all Preliminary Compulsory Payment Amounts is less than the amount so determined under the Final Determination to be the amount owing (the “Final Compulsory Payment Amount”), the Indemnifying Party shall, within 10 days of the time that the Indemnified Party notifies the Indemnifying Party of the occurrence of the Final Compulsory Payment Indemnification Event, pay to the Indemnified Party an amount equal to the difference between the aggregate for all Preliminary Compulsory Payment Amounts and the Final Compulsory Payment Amount in accordance with Section 5.7, and (ii) if the aggregate of all Preliminary Compulsory Payment Amounts paid by the Indemnifying Party exceeds the Final Compulsory Payment Amount, the Indemnified Party shall within 10 days of the receipt of any related refund or credit, pay to the Indemnifying Party the amount of such refund or credit (including any interest paid or credited with respect thereto but net of any Taxes payable by the Indemnified Party in respect of such refund, credit or interest). (6) Other Rights of Indemnified Party. If the Indemnifying Party does not, or is not permitted to, assume control of the defence of any Third Party Claim pursuant to Section 5.12(1), the Indemnified Party shall have the exclusive right to contest, settle or pay the amount claimed and the Indemnifying Party shall be bound by the results obtained by the Indemnified Party with respect to such Third Party Claim. Whether or not the Indemnifying Party assumes control of the negotiation, settlement or defence of any Third Party Claim, the Indemnifying Party shall not settle any Third Party Claim without the written consent of the Indemnified Party, which consent shall not be unreasonably withheld or delayed. 5.13 Set-off. The Purchaser shall be entitled to set off the amount of any Damages subject to indemnification under this Agreement against any other amounts payable by the Purchaser to the applicable Vendor whether under this Agreement or otherwise (which for greater certainty includes any Earnout Amount). 5.14 Cooperation. Each Indemnified Party and Indemnifying Party shall reasonably cooperate and assist each other in determining the validity of any claim for indemnity by an Indemnified Party and otherwise in resolving such matters. Such assistance and cooperation will include providing reasonable access to information, records and documents relating to such matters and furnishing employees to assist in the investigation, defence and resolution of such matters. 5.15 Characterization of Indemnity Payments. All indemnity payments made pursuant to this Article 5 shall constitute adjustments to the Purchase Price, unless otherwise required by Applicable Law.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5"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86" descr=""/>
                    <pic:cNvPicPr>
                      <a:picLocks noChangeAspect="1" noChangeArrowheads="1"/>
                    </pic:cNvPicPr>
                  </pic:nvPicPr>
                  <pic:blipFill>
                    <a:blip r:embed="rId1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- 66 - 1390-1182-7473.14 5.16 Exclusive Remedies. The Parties acknowledge and agree that their sole and exclusive remedy with respect to any and all claims (other than claims arising from fraud, criminal activity or wilful misconduct on the part of a Party hereto in connection with the transactions contemplated by this Agreement) for any breach of any representation, warranty, covenant, agreement or obligation set forth herein or otherwise relating to the subject matter of this Agreement, shall be under the indemnification provisions set forth in this Article 5. In furtherance of the foregoing, each Party hereby waives, to the fullest extent permitted under Law, any and all rights, claims and causes of action for any breach of any representation, warranty, covenant, agreement or obligation set forth herein or otherwise relating to the subject matter of this Agreement it may have against the other parties hereto and their Affiliates and each of their respective Representatives arising under or based upon any Law, except under the indemnification provisions set forth in this Article 5. Nothing in this Section 5.16 shall limit any Person's right to seek and obtain any equitable relief to which any Person shall be entitled or to seek any remedy on account of any party's fraudulent, criminal or wilful misconduct. 5.17 Duty to Mitigate. Each Indemnified Party shall take, and cause its Affiliates to take, all commercially reasonable steps to mitigate any loss upon becoming aware of any event or circumstance that would be reasonably expected to, or does, give rise to an event for which indemnification may be sought under this Article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6"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87" descr=""/>
                    <pic:cNvPicPr>
                      <a:picLocks noChangeAspect="1" noChangeArrowheads="1"/>
                    </pic:cNvPicPr>
                  </pic:nvPicPr>
                  <pic:blipFill>
                    <a:blip r:embed="rId1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- 67 - 1390-1182-7473.14 ARTICLE 6 COVENANTS 6.1 Confidentiality. (1) Information to be Confidential. Each Recipient shall treat confidentially and not disclose, and shall cause each of its Representatives to treat confidentially and not disclose, other than as expressly contemplated by this Agreement, any Confidential Information of a Discloser. (2) Use of Confidential Information. A Recipient may disclose Confidential Information only to those of its Representatives who need to know such Confidential Information for the purpose of implementing the transactions contemplated by this Agreement. No Recipient shall use, nor permit its Representatives to use, Confidential Information for any other purpose nor in any way that is, directly or indirectly, detrimental to the applicable Discloser. (3) Required Disclosure. If a Recipient or any of its Representatives receives a request or is legally required to disclose all or any part of the Confidential Information of a Discloser, such Recipient shall (a) immediately notify the Discloser of the request or requirement, (b) consult with the Discloser on the advisability of taking legally available steps to resist or narrow the request or lawfully avoid the requirement, and (c) if requested by the Discloser, take all necessary steps to seek a protective order or other appropriate remedy. If a protective order or other remedy is not available, or if the Discloser waives compliance with the provisions of this Section 6.1(3), (i) the Recipient receiving the request for disclosure or its Representatives, as the case may be, may disclose to the Person requiring disclosure only that portion of the Confidential Information which such Recipient is advised by written opinion of counsel is legally required to be disclosed, and (ii) such Recipient shall not be liable for such disclosure unless such disclosure was caused by or resulted from a previous disclosure by such Recipient or its Representatives not permitted by this Agreement. (4) The Vendors (including on behalf of their Affiliates, if applicable) agree not to, and (if applicable) to cause the Corporation and the Subsidiary (prior to Closing) not to, without the prior written consent of the Purchaser, release any Person from, or waive any provision of, any confidentiality agreement entered into by such Person in connection with a potential acquisition of the Corporation or a material portion of the Business. To the extent that it has not already done so, each vendor agrees that, as promptly as practicable after the date of this Agreement, it shall request each person with whom such Vendor or any of its Affiliates (including the Corporation and the Subsidiary) has executed a confidentiality agreement in connection with a potential acquisition of the Corporation (whether by way of an acquisition of all or substantially all of the shares in the Corporation, or all or substantially all of the assets of the business of the Corporation and its Subsidiary), other than Vendors’ professional advisors (who shall remain bound by all applicable confidentiality obligations to the Vendors and the Corporation and the Subsidiary in respect of all such confidential information), to return or destroy all confidential information furnished to such Person on or prior to the date hereof in connection with such potential acquisition in accordance with, and subject to the provisos contained in, the confidentiality agreement with such person. (5) From and after Closing, each Vendor shall not and shall ensure that its Affiliates and its and their respective Representatives do not use for the account of such Vendor or any of its Affiliates or disclose to any other Person any Confidential Information except as permitted by Section 6.1(3) hereof. From and after the Closing, the Purchaser shall owe no duty of confidentiality or otherwise to the Vendors in respect of the Confidential Information (whether under this Agreement, any confidentiality agreement between the Purchaser or its Affiliates, on the one hand, and the Vendors or the Corporation or their respective Affiliates, on the other hand, or otherwise), provided that notwithstanding the foregoing, the Purchaser and its Affiliates shall continue to maintain as Confidential Information the identity and Personal Information of each Vendor and the economic terms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7"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88" descr=""/>
                    <pic:cNvPicPr>
                      <a:picLocks noChangeAspect="1" noChangeArrowheads="1"/>
                    </pic:cNvPicPr>
                  </pic:nvPicPr>
                  <pic:blipFill>
                    <a:blip r:embed="rId1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- 68 - 1390-1182-7473.14 of the transactions contemplated by this Agreement as they relate to each Vendor, except to the extent required to be disclosed by the Purchaser or its Affiliates pursuant to Applicable Law or in accordance with Section 7.3. (6) For greater certainty, Confidential Information shall not include any information that is or becomes generally available to the public without a breach of this Agreement or any other agreement, certificate or instrument executed and delivered pursuant to this Agreement. 6.2 Preparation of Tax Returns. (1) The Purchaser shall cause to be prepared and filed on a timely basis all Tax Returns for the Corporation and the Subsidiary for (a) any Pre-Closing Tax Period for which Tax Returns have not been filed as of the Closing Date and (b) for any Straddle Period for which Tax Returns are required to be prepared and filed (all Tax Returns referred to in clause (a) and (b) above collectively being referred to herein as the “Stub Period Returns”). The Purchaser shall prepare each Stub Period Return on a basis consistent with (i) Applicable Law, (ii) the Closing Balance Sheet, and (iii) the past practices and procedures of the Corporation or Subsidiary, as applicable. Notwithstanding the foregoing, in any Stub Period Return, neither the Corporation nor any Subsidiary shall deduct any amount in the nature of a reserve or claim any Tax credit that would require the Corporation, or such Subsidiary, as the case may be, to include in a tax period ending after the Closing Time any amount of income, unless (i) in the case of any such credit, the Tax liability in respect of such income (determined as though such income were the only income or loss of the entity for the tax period and without regard for the availability of any loss carryforwards or carrybacks) is taken into account in calculating the Purchase Price, (ii) in the case of any reserve, a corresponding reserve or other liability is taken into account in calculating the Purchase Price, or (iii) the net result of such deduction or reserve does not result in the cash payment of any incremental Taxes in any period following the closing (after taking into account all available losses and other credits against the payment of Taxes that arose in a Pre-Closing Tax Period). For the avoidance of doubt, the Purchaser may cause the Corporation and any Subsidiary to make an election pursuant to subsection 256(9) of the ITA in respect of the taxation year of the Corporation or such Subsidiary, as the case may be, ending on the acquisition of control of it by the Purchaser. The Purchaser shall provide to the Vendors’ Representative (for and on behalf of the Vendors) for its review a draft of each Stub Period Return no later than 30 days in the case of an income Tax Return, and 10 days in the case of any other Tax Return, prior to the due date for filing such Tax Return with the appropriate Governmental Authorities. The Vendors’ Representative shall notify the Purchaser in writing within 15 days in the case of an income Tax Return, and 5 days in the case of any other Tax Return, after delivery of a Stub Period Return if it has any reasonable comments with respect to items set forth in such Stub Period Return. The Purchaser shall consider all such comments. (2) Other than Taxes which were specifically taken into account in calculating the Purchase Price, the Vendors shall pay as a reduction of the Purchase Price (a) all Taxes due with respect to all Tax Returns for the Corporation and the Subsidiary for any Pre-Closing Tax Period and (b) with respect to all Tax Returns for the Corporation and the Subsidiary for any Straddle Period, Taxes allocable to the portion of the Straddle Period ending immediately prior to the Closing Date (as determined under Section 6.2(3)), in each case that result in a cash payment of Taxes to a Governmental Authority (after taking into account all available losses and other credits that arose in a Pre-Closing Tax Period against the payment of Taxes). (3) In the case of any Straddle Period, the amount of Taxes allocable to the portion of the Straddle Period ending immediately prior to the Closing Date shall be: (a) in the case of Taxes imposed on a periodic basis (such as real or personal property Taxes), the amount of such Taxes for the entire Straddle Period (or, in the case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8"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89" descr=""/>
                    <pic:cNvPicPr>
                      <a:picLocks noChangeAspect="1" noChangeArrowheads="1"/>
                    </pic:cNvPicPr>
                  </pic:nvPicPr>
                  <pic:blipFill>
                    <a:blip r:embed="rId1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- 69 - 1390-1182-7473.14 such Taxes determined on an arrears basis, the amount of such Taxes for the immediately preceding period) multiplied by a fraction, the numerator of which is the number of calendar days in the Straddle Period prior to the Closing Date and the denominator of which is the number of calendar days in the entire relevant Straddle Period; and (b) in the case of Taxes not described in (a) above (such as franchise Taxes, Taxes that are based upon or related to income or receipts, or Taxes that are based upon occupancy or imposed in connection with any sale or other transfer or assignment of property), the amount of such Taxes determined as if such tax period ended immediately prior to the Closing Time. 6.3 Cooperation Respecting Tax Matters. Each Party shall provide reasonable cooperation to the other Parties and their counsel in respect of Tax matters arising under this Agreement (“Tax Matters”), including: (a) providing prompt notice to the other Party in writing of any pending or Threatened Tax audits or assessments of the Corporation or any Subsidiary for tax periods for which the other may have a liability under this Agreement; (b) providing the other Party and its counsel with draft copies of all filings, motions, applications, correspondence and other documents the Party defending the claim intends to file with or deliver to any Governmental Authority in connection with a Tax Matter at least 10 Business Days prior to the date on which such documents are filed or delivered and considering the comments of the other Party and its counsel regarding such filings, motions, applications, correspondence and other documents; (c) promptly notifying the other Party of any communication the Party defending a Tax Matter receives from any Governmental Authority regarding such Tax Matter and providing the other Party with copies of all correspondence, filings or communications between such Party defending the claim, on the one hand, and any Governmental Authority or members of the staff of any Governmental Authority, on the other hand, in each case to the extent relating to any such Tax Matter; provided that the Purchaser shall in all cases have the right to attend any meetings or participate in other discussions (or have Purchaser’s Counsel attend or participate) with the staff of any Governmental Authority or such Governmental Authority’s counsel; (d) keeping the other Party and its counsel advised on a prompt and ongoing basis of the status of such Tax Matter and any material changes or developments with respect thereto and promptly and fully responding to all requests for information, questions and comments of the other Party and its counsel from time to time. (e) making available to each other in a prompt fashion such Data, documents and other information as may reasonably be required for the preparation and filing of all Stub Period Returns, or for the conduct of any Tax Matter, and preserving all such Data, documents and information until the expiry of the limitation period under Applicable Law with respect to the taxation years or periods covered by such Stub Period Returns, or until a Final Determination has been made in respect of such Tax Matter, as the case may be; and (f) promptly signing and delivering such certificates or forms as may be necessary or appropriate to establish an exemption from (or otherwise reduce) Taxes, or an exemption from (or an extension in respect of) an obligation to file Tax Returns.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9"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90" descr=""/>
                    <pic:cNvPicPr>
                      <a:picLocks noChangeAspect="1" noChangeArrowheads="1"/>
                    </pic:cNvPicPr>
                  </pic:nvPicPr>
                  <pic:blipFill>
                    <a:blip r:embed="rId1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- 70 - 1390-1182-7473.14 6.4 Tax Elections. (1) If it is determined that the Corporation or the Subsidiary made an “excessive eligible dividend designation”, as defined in subsection 89(1) of the ITA, each Vendor hereby consents to (or shall cause the recipient of the relevant dividend to consent to) the making of an election under subsection 185.1(2) of the ITA in respect of the full amount thereof, and such election shall be made by the Corporation or such Subsidiary, as the case may be, in the manner and within the time prescribed by subsections 185.1(2) and 185.1(3) of the ITA. (2) If it is determined that the Corporation or the Subsidiary has made an election under subsection 83(2) of the ITA in respect of the full amount of any dividend payable by it on shares of any class of its capital stock and the full amount of such dividend exceeded the amount of its “capital dividend account”, as defined in the ITA, immediately before the dividend became payable, each Vendor hereby consents to (or shall cause the recipient of the relevant dividend to consent to) the making of an election under subsection 184(3) of the ITA in respect of such dividend. 6.5 Reportable Transactions. The Parties shall reasonably cooperate in good faith to determine whether any transaction contemplated by this Agreement, or any transaction that may be considered to be part of the same series of transactions as the transactions contemplated by this Agreement, is a “reportable transaction” (as defined in section 237.3 of the Tax Act), is a “notifiable transaction” (as defined in section 237.4 of the Tax Act), or is otherwise required to be reported to any applicable Governmental Authority under any analogous provision of any comparable Law of any province or territory of Canada, including any transaction subject to mandatory disclosure rules under the Taxation Act (Québec). If any Party determines that any such transaction is reportable then it shall so notify all other Parties and the Parties shall reasonably cooperate in good faith (including sharing of draft reporting forms) to make any such report on a timely basis. Notwithstanding the foregoing and for greater certainty, each Party shall be permitted to report any transaction to an applicable Governmental Authority to the extent that such Party determines, acting reasonably, that such reporting is required by Applicable Law. 6.6 2024 SRED Claims. (1) 2024 SRED Claims. (a) The Purchaser shall cause to be prepared and filed a correct and complete form T661 Scientific Research and Experimental Development Claim for the Corporation’s fiscal year ended December 31, 2024 (“2024 SRED Claim”) in connection with the Corporation’s filing of its T2 Corporate Income Tax Return for the Corporation’s fiscal year ended December 31, 2024. (b) The Purchaser shall cause the preparation of the 2024 SRED Claim to be on a basis consistent with (i) Applicable Law and (ii) the past practices and procedures of the Corporation. The Purchaser shall engage such advisors to prepare the 2024 SRED Claim as may be chosen by the Vendors’ Representative. The cost of retaining such advisors shall be for the sole account of the Vendors’ Representative on behalf of the Vendors. (c) The Purchaser shall provide or cause to be provided to the Vendors’ Representative (for and on behalf of the Vendors) for its review a draft of the 2024 SRED Claim no later than 10 days prior to the due date for filing such 2024 SRED Claim with the appropriate Governmental Authorities. The Vendors’ Representative shall notify the Purchaser in writing within 5 days after delivery of the draft if it has any reasonable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0"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91" descr=""/>
                    <pic:cNvPicPr>
                      <a:picLocks noChangeAspect="1" noChangeArrowheads="1"/>
                    </pic:cNvPicPr>
                  </pic:nvPicPr>
                  <pic:blipFill>
                    <a:blip r:embed="rId1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- 71 - 1390-1182-7473.14 comments with respect to items set forth in such draft 2024 SRED Claim. The Purchaser shall consider all such comments. (d) The Purchaser shall provide or cause to be provided to the Vendors’ Representative: (i) copies of all filings for filed 2024 SRED Claim immediately upon the submission of such claims, (ii) a receipt of submission of the filed 2024 SRED Claim immediately upon filing, (iii) any information it receives that may impair or delay any refund related to the 2024 SRED Claim (a “2024 SRED Claim Refund”) immediately upon receiving such information or gaining knowledge thereof, and (iv) any other documentation requested by the Purchaser or the Corporation concerning the Scientific Research and Experimental Development eligible expenses and the 2024 SRED Claim. The Purchaser agrees that the Vendors’ Representative, and/or its agents, may contact any third party to obtain information concerning the 2024 SRED Claim. The Purchaser hereby authorizes the Vendors’ Representative and/or its agents to contact any such party and agrees to cooperate with the Vendors’ Representative and/or its agents in the obtaining of such information as needed. (e) The Vendors shall be responsible for all costs and expenses incurred by the Purchaser and the Corporation in connection with the preparation and filing of the 2024 SRED Claim. (f) Upon receipt by the Corporation of any 2024 SRED Claim Refund, to the extent such 2024 SRED Claim Refund was not otherwise taken into account in the determination of the Closing Adjustment Amount, the Purchaser shall pay, or shall cause to be paid, the amount of any such 2024 SRED Claim Refund (less any costs and expenses incurred by the Purchaser and the Corporation in connection with the preparation and filing of the 2024 SRED Claim and any Taxes paid by a Purchaser’s Indemnified Party in respect of such 2024 SRED Claim Refund or that would have been payable in the absence of use of losses or credits from a Tax period that is not a Pre-Closing Tax Period) to the Vendors’ Representative on behalf of the Vendors. Any such payment shall constitute an adjustment to the Purchase Price. (g) To the extent that all or a portion of any 2024 SRED Claim Refund paid over to the Vendors is subsequently disallowed or required to be repaid by a Governmental Authority, the Vendors (in accordance with their respective pro rata share) shall promptly repay such refund or portion thereof to the Purchaser plus any interest, penalties or other additions to Tax incurred with respect to such disallowed or reduced amount, which payment shall be made pursuant to Section 5.7. (h) The Purchaser shall cause all 2024 SRED Claim Refunds to be kept free and clear of all Liens and shall not assign any portion of the 2024 SRED Claim or any 2024 SRED Claim Refund to any third party. 6.7 Restrictive Covenants (1) Non-Competition. Each Management Shareholder shall not, and shall ensure that its Affiliates do not, without the prior written consent of the Purchaser at any time within the period of five years following the Closing Date, (the “Restricted Period”) either individually or in partnership or jointly or in conjunction with each other or any Person, as principal, agent, director, officer, consultant, lender, contractor, employer, employee, investor or shareholder, or in any other manner, directly or indirectly, advise, assist, manage, carry on, establish, acquire control of, be engaged in, have any financial or other interest in (including any interest by way of royalty or other compensation arrangement), lend money to, guarantee the debts or obligations of, or permit the Management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1"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92" descr=""/>
                    <pic:cNvPicPr>
                      <a:picLocks noChangeAspect="1" noChangeArrowheads="1"/>
                    </pic:cNvPicPr>
                  </pic:nvPicPr>
                  <pic:blipFill>
                    <a:blip r:embed="rId1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- 72 - 1390-1182-7473.14 Shareholders’ name, trade names or any part thereof to be used or employed by any Person that operates, is engaged in or has an interest in, a business anywhere within Canada that is substantially similar to or competes with the Business (a “Competing Business”); provided that this Section 6.7(1) shall not prevent any Management Shareholder or its Affiliates from, directly or indirectly, purchasing or otherwise holding as a passive investor up to 5% of the outstanding publicly traded shares or other securities of any class of any issuer listed on a recognized stock exchange in Canada. (2) Non-Solicitation. During the Restricted Period, each Management Shareholder (other than on behalf of the Corporation) shall not, either individually or in partnership or jointly or in conjunction with any other Person, as principal, agent, consultant, contractor, shareholder, interest holder, investor, partner, lender, director, officer, employer, employee or in any other manner, directly or indirectly: (a) contact, solicit, induce, divert or interfere with (or attempt to do any of the foregoing) any customer of the Business for the purpose of selling to such customer any products or services which are the same as or substantially similar to those sold by the Business, or to persuade or attempt to persuade any customer to change its relationship with the Business, or to restrict, limit, discontinue or cease considering purchasing any products or services provided by the Business or to reduce the amount of business which any such customer has customarily done with the Business, or to not grant any new business to the Business (including, without limitation, any new business related to a new line of business in which, to the knowledge of the Management Shareholders, the Business has or is developing plans to engage), provided that nothing herein shall prevent the Management Shareholders, whether directly or indirectly, from engaging in or carrying out any general advertising, promotional, business development or similar activities, including conducting and/or participating in business presentations or seminars, that are not specifically directed at any such customers; and (b) solicit or attempt to solicit, or assist or encourage any Person to solicit, hire, recruit, attempt to hire or recruit, or induce the termination of employment or cessation of services of any Employee, or any independent contractor who regularly provides services to the Business, or assist or encourage any such Employee or independent contractor to accept employment or engagement elsewhere, unless such solicitation occurs as a result of general advertisements for employment or contract services not specifically directed at such employees or independent contractors. (3) Non-Disparagement. During the Restricted Period, the Management Shareholder agrees not to make any public statement that is intended to disparage the Business or the direct or indirect Affiliates, employees, shareholders, directors, officers, partners, representatives or agents of the Business. (4) Acknowledgements. The Management Shareholder acknowledges and agrees that: (a) a breach by it of any of the covenants contained in this Section 6.7 will cause serious harm to the Purchaser and will result in damages to the Purchaser and that the Purchaser may not be adequately compensated for such damages by monetary award alone and that in the event of any such breach, in addition to any other remedies available at law or otherwise, the Purchaser shall be entitled as a matter of right to apply to a court of competent jurisdiction for relief by way of injunction (interim and permanent), restraining order, specific performance, decree or otherwise as may be appropriate to ensure compliance by such Vendor with the provisions of this Section,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2"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93" descr=""/>
                    <pic:cNvPicPr>
                      <a:picLocks noChangeAspect="1" noChangeArrowheads="1"/>
                    </pic:cNvPicPr>
                  </pic:nvPicPr>
                  <pic:blipFill>
                    <a:blip r:embed="rId1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- 73 - 1390-1182-7473.14 in each case without the necessity of proving actual damage or of posting a bond or other security; (b) all restrictions in this Section 6.7 are necessary and fundamental to the protection of the Purchaser and the Business and are reasonable and valid and all defences to the strict enforcement of this Section 6.7 against the Management Shareholder are hereby waived; (c) the covenants contained in this Section 6.7 are intended to ensure that the Purchaser receives the full benefit of the goodwill of the Business and to preserve the fair market value of the Shares being purchased by the Purchaser; and (d) the Purchaser is relying on the acknowledgements and agreements contained in this Section 6.7 which constitutes a material inducement to the Purchaser in proceeding with the transactions contemplated by this Agreement. (5) Breach of Restrictions. If the Management Shareholder is in breach of any of its applicable obligations under this Section 6.7, the running of the Restricted Period with respect to the Management Shareholder shall be stayed and shall recommence upon the date that the Management Shareholder ceases to be in breach thereof, whether voluntarily or by injunction. (6) Severability. Each provision of this Section 6.7 shall constitute a separate and distinct covenant and shall be severable from all other such separate and distinct covenants contained in this Agreement. Any provision of this Section 6.7 which is prohibited or unenforceable in any jurisdiction shall, as to that jurisdiction, be ineffective to the extent of such prohibition or unenforceability and shall be severed from the balance of this Agreement, all without affecting the remaining provisions of this Agreement or affecting the validity or enforceability of such provision in any other jurisdiction. To the extent permitted by Applicable Law, the Parties waive any provision of Law which renders any provision of this Section 6.7 invalid or unenforceable in any respect. (7) Proceeds. The Parties agree that: (i) no portion of the Purchase Price under this Agreement is received or receivable by any of the Vendors in consideration for granting any restrictive covenant in this Section 6.7 (as defined in section 56.4 of the ITA); and (ii) any such restrictive covenants are being granted to maintain or preserve the fair market value of the Shares. The Parties agree and acknowledge that this Section 6.7(7) may not, and shall not, be used or referred to in any way to challenge or support a challenge to the enforceability of any such restrictive covenants. The Purchaser agrees that, if requested by the Vendors’ Representative, it will file a joint election in form reasonably acceptable to the Vendors’ Representative under section 56.4 of the ITA. The Purchaser will not be responsible for the proper completion of any election form or verification of any information therein. 6.8 Releases (1) For good and valuable consideration, effective upon the Closing, each Vendor, on behalf of itself and its heirs, executors, administrators, legal representatives, successors and assigns (collectively, the “Vendor Releasors”), hereby unconditionally and irrevocably waives, releases and forever discharges the Purchaser, the Corporation, the Subsidiary and each of their respective Affiliates, predecessors, successors and assigns, and each of their respective current and former equityholders, partners, directors, officers, employees, agents and other Representatives (collectively, the “Vendor Releasees”) of and from any and all claims, actions, causes of action, suits, debts, proceedings and demands of any kind or nature whatsoever, whether at law or in equity, absolute or contingent, liquidated or unliquidated, known or unknown (collectively, the “Claims”), that the Vendor Releasors ever had, now have or hereafter shall or may have for or by reason of, or in any way arising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3"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94" descr=""/>
                    <pic:cNvPicPr>
                      <a:picLocks noChangeAspect="1" noChangeArrowheads="1"/>
                    </pic:cNvPicPr>
                  </pic:nvPicPr>
                  <pic:blipFill>
                    <a:blip r:embed="rId1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- 74 - 1390-1182-7473.14 out of or relating to, any cause, matter, act, omission or thing whatsoever from the beginning of time through and including the Closing Date. (2) Nothing in Section 6.8(1) shall constitute a release of (i) any rights or obligations arising under this Agreement or any agreement, instrument or document delivered pursuant to this Agreement or (ii) any obligation of the Corporation and Subsidiary to pay accrued and unpaid compensation and benefits in accordance with a Vendor Releasor’s employment or independent contractor arrangements and consistent with past practice or (iii) reimbursements of expenses incurred in connection with the Vendor Releasor’s employment or independent contractor arrangement with the Corporation or a Subsidiary in the ordinary course of the Corporation or Subsidiary’s business, consistent with past practice, in each case, only to the extent that such payments are included in the calculation of the Closing Working Capital. (3) Each Vendor Releasor further covenants and agrees, effective upon the Closing Date and to the fullest extent permitted by Applicable Law, not to commence, join, assist or aid in any manner whatsoever the making of any claim or the bringing of any action against the Vendor Releasees based upon any of the Claims that are released pursuant to Section 6.8(1). (4) Each Vendor, on behalf of itself and any Person claiming through such Vendor (i) represents and warrants that neither the Vendor nor any of such Persons has assigned and (ii) covenants that neither the Vendor nor any of such Persons will assign, to any other Person any Claim or potential Claim released pursuant to Section 6.8(1). 6.9 Purchaser’s Guarantee. Subject to the terms of this Section 6.9, the Parent Guarantor hereby unconditionally and irrevocably guarantees to the Vendors and their respective successors and assigns the prompt and punctual performance and payment when due of all present and future Indebtedness, liabilities, and obligations of the Purchaser, of any kind whatsoever, whether direct or indirect, joint or several, absolute, contingent, matured or unmatured, arising or accruing under this Agreement or any agreement executed and delivered by the Purchaser pursuant to this Agreement (collectively, the “Purchaser Guaranteed Obligations”). If the Purchaser fails to perform or pay when due any Purchaser Guaranteed Obligation, the Parent Guarantor will perform or pay or cause to be performed or paid such Purchaser Guaranteed Obligation promptly upon demand therefor made by the Vendors’ Representative to the Parent Guarantor. Any amounts payable to the Vendors hereunder shall be paid to the Vendors’ Representative, for distribution to the Vendors, in each case in accordance with and subject to the terms and conditions of this Agreement, including Sections 2.9, 2.10 and 2.11.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4"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95" descr=""/>
                    <pic:cNvPicPr>
                      <a:picLocks noChangeAspect="1" noChangeArrowheads="1"/>
                    </pic:cNvPicPr>
                  </pic:nvPicPr>
                  <pic:blipFill>
                    <a:blip r:embed="rId1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- 75 - 1390-1182-7473.14 ARTICLE 7 GENERAL 7.1 Appointment of Vendors’ Representative. (1) Each Vendor hereby appoints (the “Appointment”) the Vendors’ Representative as the agent, proxy and attorney-in-fact for such Vendor for all purposes under this Agreement (except where otherwise provided herein), with full power and authority to act on behalf of the Vendors. The Appointment, being coupled with an interest, is irrevocable and shall not be revoked by the insolvency, bankruptcy, death, incapacity, dissolution, liquidation or other termination of existence of any Vendor. The Appointment shall survive the transfer or assignment by any of the Vendors, to the extent of the obligations of such Vendor, of the whole or any portion of such Vendor’s Shares. Further, the Appointment shall extend to and be binding upon the respective heirs, executors, legal personal representatives, successors and permitted assigns of the Vendors, as the case may be. The Vendors’ Representative accepts the Appointment and shall act as representative of the Vendors in accordance with this Agreement. (2) Each Vendor revokes any and all other authority, whether as agent, attorney-in-fact, proxy or otherwise, previously conferred or agreed to be conferred by him, her or it, as the case may be, at any time with respect to the Shares held by such Vendor. Each Vendor shall not grant any subsequent authority, whether as agent, attorney-in-fact, proxy or otherwise, with respect to such Shares, unless such Shares are not purchased or surrendered and paid for in accordance with this Agreement. (3) Each Vendor shall be bound by any actions taken by the Vendors’ Representative pursuant to the Appointment and hereby waives any and all defences which may be available to contest, negate or disaffirm the actions of the Vendors’ Representative taken in good faith under such Appointment. The Appointment shall survive the Closing and shall continue until the completion, termination or settlement of all obligations of the Vendors under or in respect of this Agreement. The Appointment may be exercised by the Vendors’ Representative on behalf of each Vendor in executing any instrument by affixing the signature of the Vendors’ Representative thereto with the indication that the Vendors’ Representative is acting on behalf of the Vendors. (4) Each of the Purchaser, the Corporation and any Subsidiary shall be entitled to rely on any notice, demand, communication, declaration, receipt, waiver, consent or other document purporting to be delivered by the Vendors’ Representative on behalf of any Vendor, and the Purchaser, the Corporation and any Subsidiary shall not have any obligation to enquire as to the veracity, accuracy or adequacy thereof, and each of the Purchaser, the Corporation and any Subsidiary shall be entitled to disregard any notice, demand or claim to the contrary not sent by the Vendors’ Representative. (5) In the event of the insolvency, bankruptcy, death or incapacity of the Vendors’ Representative, the Vendors shall use commercially reasonable efforts to immediately, and in no case later than 10 days after the insolvency, bankruptcy, death or incapacity of the Vendors’ Representative appoint a successor vendors’ representative, and the Vendors shall provide the Purchaser prompt written notice of the same, and the successor vendors’ representative shall (a) accept such designation and appointment and (b) act pursuant to this Section 7.1. (6) Notwithstanding the foregoing, no payment, notice, receipt or delivery of documents, exercise, enforcement or waiver of rights or conditions, indemnification claim or indemnification defense shall be ineffective by reason only of it having been made or given to or by a Vendor directly if each of the Purchaser and such Vendor Consent by virtue of not objecting to such dealings without the intermediary of the Vendors’ Representative.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5"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96" descr=""/>
                    <pic:cNvPicPr>
                      <a:picLocks noChangeAspect="1" noChangeArrowheads="1"/>
                    </pic:cNvPicPr>
                  </pic:nvPicPr>
                  <pic:blipFill>
                    <a:blip r:embed="rId1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- 76 - 1390-1182-7473.14 (7) The Vendors shall jointly and severally indemnify and hold harmless the Vendors’ Representative, in its capacity as Vendors’ Representative, against all claims, losses, Damages, reasonable costs, penalties, fines and reasonable expenses (including reasonable expenses of the Vendors’ Representative’s legal counsel) which, without fraud, negligence, recklessness, wilful misconduct or bad faith on the part of the Vendors’ Representative, may be paid, incurred or suffered by the Vendors’ Representative by reason or as a result of the performance by the Vendors’ Representative of his obligations as Vendors’ Representative set out in this Agreement. (8) The Vendors’ Representative may seek the advice of legal counsel, engage experts or otherwise incur expenses in the event of any dispute or question as to the interpretation of any of the provisions of this Agreement, or its duties hereunder, and the Vendors’ Representative will not be liable to the Vendors with respect to any action taken, omitted or suffered by it in good faith in accordance with the opinion of such counsel or advice of such expert. (9) Each Vendor shall reimburse or otherwise hold the Vendors’ Representative harmless from and against such Vendor’s Allocable Portion of any and all costs and expenses incurred by the Vendors’ Representative in connection with this Agreement and the transactions contemplated herein, including reasonable legal fees or fees of other experts and, in addition to any and all other remedies available, the Vendors’ Representative will have the right to direct that any amounts due to such Vendor under this Agreement be paid to the Vendors’ Representative to satisfy such Vendor’s Allocable Portion of such costs and expenses. (10) The Vendors’ Representative shall not be liable to any Vendor for (i) any act done or omitted hereunder as Vendors’ Representative while acting in good faith and in the exercise of its reasonable judgment or (ii) any act or omission of the Purchaser or following the Closing, the Corporation. (11) The Vendors’ Representative shall be entitled to hold back from any amounts collected by it and which are payable to the Vendors hereunder a reserve determined by it in its reasonable discretion for expenses or other amounts to be incurred by it in future periods in connection with the performance of its obligations as Vendors’ Representative hereunder. (12) Notwithstanding the timing of payments made by the Purchaser hereunder following the Closing (including Earnout Amounts) to the Vendors’ Representative on behalf of the Vendors, the Vendors’ Representative shall be entitled to aggregate such amounts and pay such amounts to the Vendors at such other times or on such other intervals as may be reasonably determined by the Vendors’ Representative, taking into account the administrative burden placed on the Vendors’ Representative. (13) The Vendors’ Representative shall be entitled to convert any amounts received under this Agreement in US Dollars (or Canadian Dollars) to Canadian Dollars (or US Dollars) in order to pay such converted amounts to Vendors at the prevailing exchange rates available to Vendors’ Representative. Neither the Vendors’ Representative nor the Purchaser shall have any liability to any Vendor on an account of any such currency conversion. (14) Notwithstanding anything else contained herein, in no event shall the Vendors’ Representative be liable to the Vendors for any amount payable hereunder by or on behalf of the Purchaser that has not been paid to the Vendors’ Representative. In the event the Vendors’ Representative is required to refund any amount paid hereunder or in connection with the transactions contemplated by this Agreement or any related agreement to the Purchaser on behalf of a Vendor, such Vendor shall promptly pay such amount to the Vendors’ Representative and indemnify and hold harmless the Vendors’ Representative in respect of such amount.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6"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97" descr=""/>
                    <pic:cNvPicPr>
                      <a:picLocks noChangeAspect="1" noChangeArrowheads="1"/>
                    </pic:cNvPicPr>
                  </pic:nvPicPr>
                  <pic:blipFill>
                    <a:blip r:embed="rId1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- 77 - 1390-1182-7473.14 (15) The Vendors’ Representative shall be entitled to charge an hourly fee (based on prevailing consulting rates) to the Vendors (with each Vendor being responsible for its Allocable Portion thereof) to compensate the Vendors’ Representative for its time spent in such capacity, which amount may be deducted from any amounts paid by or on behalf of the Purchaser to the Vendors’ Representative for the benefit of the Vendors hereunder. 7.2 Expenses. Except as otherwise expressly provided herein, each Party shall be responsible for all costs and expenses (including any Taxes imposed on such expenses) incurred by it in connection with the negotiation, preparation, execution, delivery and performance of this Agreement and the transactions contemplated by this Agreement (including the fees and disbursements of legal counsel, bankers, investment bankers, accountants, brokers and other advisers). Without limiting the generality of the foregoing, each of the Vendors shall be responsible for and pay its Allocable Portion of all Vendors’ Transaction Expenses (which amounts may be deducted by the Vendors’ Representative from the portion of the Purchase Price received at Closing). 7.3 Public Announcements. Except to the extent otherwise required by Applicable Law or with the prior consent of the Purchaser and the Vendors’ Representative, no Party shall make any public announcement regarding this Agreement or the transactions contemplated by this Agreement. 7.4 Notices. (1) Mode of Giving Notice. Any notice, direction, certificate, consent, determination or other communication required or permitted to be given or made under this Agreement shall be in writing and shall be effectively given and made if (i) delivered personally, (ii) sent by prepaid courier service or mail, or (iii) sent by fax, e-mail (return receipt requested) or other similar means of electronic communication, in each case to the applicable address set out below: (a) if to the Vendors, to the Vendors’ Representative at: Ayrshire Developments (HIF II) Corp. c/o Ayrshire Group Suite 201, 255 17th Avenue SW Calgary, AB T2S 2T8 Attention: Adam Rosenfeld Email: arosenfeld@ayrshire.ca with a copy (which shall not constitute notice) to: Edwards, Kenny &amp; Bray LLP 1900-1040 West Georgia Street Vancouver, BC V6E 4H3 Attention: Fraser Hartley Email: Fhartley@ekb.com (b) if to the Purchaser or Parent Guarantor, to: Priority Canada Acquisition Company, Inc. c/o Priority Technology Holdings, Inc. 2001 Westside Parkway, Suite 155 Alpharetta, GA 30004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7"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98" descr=""/>
                    <pic:cNvPicPr>
                      <a:picLocks noChangeAspect="1" noChangeArrowheads="1"/>
                    </pic:cNvPicPr>
                  </pic:nvPicPr>
                  <pic:blipFill>
                    <a:blip r:embed="rId1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- 78 - 1390-1182-7473.14 Attention: Brad Miller Email: brad.miller@prth.com with a copy (which shall not constitute notice) to: Blake, Cassels &amp; Graydon LLP 199 Bay Street, Suite 4000 Commerce Court West Toronto, ON M5L 1A9 Attention: Michael Elder Email: michael.elder@blakes.com (2) Deemed Delivery of Notice. Any such communication so given or made shall be deemed to have been given or made and to have been received on the day of delivery if delivered, or on the day of e-mailing or sending by other means of recorded electronic communication, provided that such day in either event is a Business Day and the communication is so delivered, e-mailed or sent before 4:30 p.m. on such day. Otherwise, such communication shall be deemed to have been given and made and to have been received on the next following Business Day. Any such communication sent by mail shall be deemed to have been given and made and to have been received on the fifth Business Day following the mailing thereof; provided however that no such communication shall be mailed during any actual or apprehended disruption of postal services. Any such communication given or made in any other manner shall be deemed to have been given or made and to have been received only upon actual receipt. (3) Change of Address. Any Party may from time to time change its address under this Section 7.4 by notice to the Purchaser and the Vendors’ Representative given in the manner provided by this Section 7.4. 7.5 Time of Essence. Time shall be of the essence of this Agreement in all respects. 7.6 Further Assurances. Each Party shall from time to time promptly execute and deliver or cause to be executed and delivered all such further documents and instruments and shall do or cause to be done all such further acts and things in connection with this Agreement that the Purchaser or the Vendors’ Representative may reasonably require as being necessary or desirable in order to effectively carry out or better evidence or perfect the full intent and meaning of this Agreement or any provision hereof. 7.7 Entire Agreement. This Agreement constitutes the entire agreement between the Parties pertaining to the subject matter of this Agreement and supersedes all prior agreements, understandings, negotiations and discussions, whether oral or written, including that letter of intent dated September 25, 2024 from the Parent Guarantor. There are no conditions, representations, warranties, obligations or other agreements between the Parties in connection with the subject matter of this Agreement (whether oral or written, express or implied, statutory or otherwise) except as explicitly set out in this Agreement. 7.8 Amendment. No amendment of this Agreement shall be effective unless made in writing and signed by the Purchaser and the Vendors’ Representative. 7.9 Waiver. A waiver of any default, breach or non-compliance under this Agreement shall not be effective unless in writing and signed by the Party to be bound by the waiver, and then only in the specific instance and for the specific purpose for which it has been given. No waiver shall be inferred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8"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99" descr=""/>
                    <pic:cNvPicPr>
                      <a:picLocks noChangeAspect="1" noChangeArrowheads="1"/>
                    </pic:cNvPicPr>
                  </pic:nvPicPr>
                  <pic:blipFill>
                    <a:blip r:embed="rId1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- 79 - 1390-1182-7473.14 from or implied by any failure to act or delay in acting by a Party in respect of any default, breach or non-observance or by anything done or omitted to be done by the other Party. The waiver by a Party of any default, breach or non-compliance under this Agreement will not operate as a waiver of that Party’s rights under this Agreement in respect of any continuing or subsequent default, breach or non- observance (whether of the same or any other nature). 7.10 Severability. Any provision of this Agreement which is prohibited or unenforceable in any jurisdiction will, as to that jurisdiction, be ineffective to the extent of such prohibition or unenforceability and will be severed from the balance of this Agreement, all without affecting the remaining provisions of this Agreement or affecting the validity or enforceability of such provision in any other jurisdiction. 7.11 Remedies Cumulative. The rights, remedies, powers and privileges herein provided to a Party are cumulative and in addition to and not exclusive of or in substitution for any rights, remedies, powers and privileges otherwise available to that Party. 7.12 Attornment. Each Party agrees (a) that any Legal Proceeding relating to this Agreement may (but need not) be brought in any court of competent jurisdiction in the Province of Ontario, and for that purpose now irrevocably and unconditionally attorns and submits to the jurisdiction of such Ontario court; (b) that it irrevocably waives any right to, and shall not, oppose any such Legal Proceeding in the Province of Ontario on any jurisdictional basis, including forum non conveniens; and (c) not to oppose the enforcement against it in any other jurisdiction of any Order duly obtained from an Ontario court as contemplated by this Section 7.12. 7.13 Governing Law. This Agreement shall be governed by and construed in accordance with the laws of the Province of Ontario and the laws of Canada applicable in such Province and this Agreement shall be treated, in all respects, as an Ontario contract. 7.14 Successors and Assigns; Assignment. This Agreement shall enure to the benefit of, and be binding on, the Parties and their respective successors and permitted assigns. No Party may assign or transfer, whether absolutely, by way of security or otherwise, all or any part of its respective rights or obligations under this Agreement without the prior written consent of the other Party. Notwithstanding the foregoing, (i) the Purchaser may assign or transfer all or any part of its rights and obligations under this Agreement to an Affiliate of the Purchaser without written consent, provided that no such assignment or transfer shall relieve the Purchaser of its obligations under this Agreement and (ii) following the Closing, any Vendor with the written consent of the Vendors’ Representative and on prior written notice to the Purchaser, may assign its rights to any future amounts payable to it hereunder, and provided that no such assignment affects the Purchaser’s rights in connection with any such assigned future amounts payable, including pursuant to Section 2.8(3)(c) and Section 5.13. 7.15 Third Party Beneficiaries. This Agreement is for the sole benefit of the Parties, and except as specifically provided for in Section 5.10, nothing in this Agreement, express or implied, is intended to or shall confer upon any other Person any legal or equitable right, benefit or remedy of any nature whatsoever under or by reason of this Agreement. 7.16 Independent Legal Advice. (1) Each Vendor hereby represents and warrants that such Vendor has either been represented by legal counsel in respect of the negotiation and completion of this Agreement and the matters contemplated herein or has been invited and given a reasonable opportunity to obtain legal counsel. To the extent that such Vendor has declined to receive legal counsel, such Vendor hereby waives the right, should a dispute later develop, to rely on such Vendor’s lack of legal counsel to avoid his, her or its obligations, to seek indulgences from the other Parties or to otherwise attack the integrity of this Agreement or any of the provisions hereof, in whole or in part.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9"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00" descr=""/>
                    <pic:cNvPicPr>
                      <a:picLocks noChangeAspect="1" noChangeArrowheads="1"/>
                    </pic:cNvPicPr>
                  </pic:nvPicPr>
                  <pic:blipFill>
                    <a:blip r:embed="rId1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- 80 - 1390-1182-7473.14 (2) Without limiting Section 7.16(1), each Vendor acknowledges that Edwards, Kenny &amp; Bray LLP (“EKB”) is acting as legal counsel for Vendors as a group (excluding any Vendors who have retained separate counsel) for the purposes of the transactions contemplated by this Agreement. EKB (i) has previously acted as counsel for the Corporation and (ii) is a Vendor under this Agreement. To the extent of any conflict or potential conflict arising (A) because of EKB’s current representation of the Vendors (excluding any Vendors who have retained separate counsel) and its representation of the Corporation or (ii) EKB’s status as a Vendor under this Agreement, each Vendor waives such conflict or potential conflict and acknowledges that it has received notice of such conflict or potential conflict and that it has been advised to and has had the opportunity to seek independent legal advice in respect of EKB’s representation. Nothing in this Section 7.16(2) shall be construed to prohibit any Vendor from seeking independent legal advice as to the matters contemplated by this Agreement or in respect of EKB’s representation of the Vendors as a group. 7.17 Counterparts. This Agreement may be executed in counterparts, each of which shall be deemed to be an original and all of which taken together shall be deemed to constitute one and the same instrument. To evidence its execution of an original counterpart of this Agreement, a Party may send a copy of its original signature on the execution page hereof to the other Parties by facsimile, e- mail or by other electronic transmission and such transmission shall constitute delivery of an executed copy of this Agreement to the receiving Party. 7.18 Language. The Parties have required that this Agreement and all deeds, documents and notices relating to this Agreement be drawn up in the English language. Les parties aux présentes ont exigé que le présent contrat et tous autres contrats, documents ou avis afférents aux présentes soient rédigés en langue anglaise. [Signature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0"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01" descr=""/>
                    <pic:cNvPicPr>
                      <a:picLocks noChangeAspect="1" noChangeArrowheads="1"/>
                    </pic:cNvPicPr>
                  </pic:nvPicPr>
                  <pic:blipFill>
                    <a:blip r:embed="rId1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Share Purchase Agreement] PRIORITY CANADA ACQUISITION COMPANY, INC. By: Name: Brad Miller Title: Secretary PRIORITY TECHNOLOGY HOLDINGS, INC. By: ______________________________________ Name: Brad Miller Title: Authorized Signatory Docusign Envelope ID: E4981EE7-C832-4153-9872-8C7716BCE24B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1"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02" descr=""/>
                    <pic:cNvPicPr>
                      <a:picLocks noChangeAspect="1" noChangeArrowheads="1"/>
                    </pic:cNvPicPr>
                  </pic:nvPicPr>
                  <pic:blipFill>
                    <a:blip r:embed="rId1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2231695 ONTARIO LTD. By: Name: Ian Stewart Title: Authorized Signatory Signature Page to Share Purchase Agreement Docusign Envelope ID: EB0BE81B-0D1F-49BC-9B7E-E707192FA92A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2"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03" descr=""/>
                    <pic:cNvPicPr>
                      <a:picLocks noChangeAspect="1" noChangeArrowheads="1"/>
                    </pic:cNvPicPr>
                  </pic:nvPicPr>
                  <pic:blipFill>
                    <a:blip r:embed="rId1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2448353 ALBERTA LTD. By: Name: Daniel Wynnychuk Title: Authorized Signatory Signature Page to Share Purchase Agreement Docusign Envelope ID: 8BBEF608-3EBD-4840-AD9B-04DCD951583F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3"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04" descr=""/>
                    <pic:cNvPicPr>
                      <a:picLocks noChangeAspect="1" noChangeArrowheads="1"/>
                    </pic:cNvPicPr>
                  </pic:nvPicPr>
                  <pic:blipFill>
                    <a:blip r:embed="rId1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ANTHONY M. ROSENFELD Signature Page to Share Purchase Agreement Docusign Envelope ID: E33E7764-50D3-4CA2-B9DE-58F04F09710B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4"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05" descr=""/>
                    <pic:cNvPicPr>
                      <a:picLocks noChangeAspect="1" noChangeArrowheads="1"/>
                    </pic:cNvPicPr>
                  </pic:nvPicPr>
                  <pic:blipFill>
                    <a:blip r:embed="rId1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AUDREY YOU Signature Page to Share Purchase Agreement Docusign Envelope ID: 9FC0333F-9424-4E3A-B6EF-62C401FDF30A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5"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06" descr=""/>
                    <pic:cNvPicPr>
                      <a:picLocks noChangeAspect="1" noChangeArrowheads="1"/>
                    </pic:cNvPicPr>
                  </pic:nvPicPr>
                  <pic:blipFill>
                    <a:blip r:embed="rId1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AYRSHIRE DEVELOPMENTS (HIF II) CORP. By: Name: Adam Rosenfeld Title: Authorized Signatory Signature Page to Share Purchase Agreement Docusign Envelope ID: AC612771-6302-402E-A5A4-7A273AB47AB3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6"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07" descr=""/>
                    <pic:cNvPicPr>
                      <a:picLocks noChangeAspect="1" noChangeArrowheads="1"/>
                    </pic:cNvPicPr>
                  </pic:nvPicPr>
                  <pic:blipFill>
                    <a:blip r:embed="rId1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BENJAMIN P. SLAGER LAW CORPORATION By: Name: Benjamin P. Slager Title: Authorized Signatory Signature Page to Share Purchase Agreement Docusign Envelope ID: 2B719B88-EBC3-4927-897B-192656B0522A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7"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08" descr=""/>
                    <pic:cNvPicPr>
                      <a:picLocks noChangeAspect="1" noChangeArrowheads="1"/>
                    </pic:cNvPicPr>
                  </pic:nvPicPr>
                  <pic:blipFill>
                    <a:blip r:embed="rId1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BLAIR YORKE SLADER Signature Page to Share Purchase Agreement Docusign Envelope ID: 27EE9D40-AF46-4818-85AC-304A1CB80BA7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8"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09" descr=""/>
                    <pic:cNvPicPr>
                      <a:picLocks noChangeAspect="1" noChangeArrowheads="1"/>
                    </pic:cNvPicPr>
                  </pic:nvPicPr>
                  <pic:blipFill>
                    <a:blip r:embed="rId1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BRENNAN PETERS Signature Page to Share Purchase Agreement Docusign Envelope ID: 960299A2-A3C7-4E66-B709-91D2BFD6A655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9"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10" descr=""/>
                    <pic:cNvPicPr>
                      <a:picLocks noChangeAspect="1" noChangeArrowheads="1"/>
                    </pic:cNvPicPr>
                  </pic:nvPicPr>
                  <pic:blipFill>
                    <a:blip r:embed="rId1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BRIAN HARSCHNITZ Signature Page to Share Purchase Agreement Docusign Envelope ID: 7A0A7DB5-1D6F-48D5-881F-BEF05D5A8BB1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0"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11" descr=""/>
                    <pic:cNvPicPr>
                      <a:picLocks noChangeAspect="1" noChangeArrowheads="1"/>
                    </pic:cNvPicPr>
                  </pic:nvPicPr>
                  <pic:blipFill>
                    <a:blip r:embed="rId1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CLEARWATER RANCH INC. By: Name: John Scurfield Title: Authorized Signatory Signature Page to Share Purchase Agreement Docusign Envelope ID: 6C3ED622-53FF-43A1-986D-7AF9CDC8C2DD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1"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12" descr=""/>
                    <pic:cNvPicPr>
                      <a:picLocks noChangeAspect="1" noChangeArrowheads="1"/>
                    </pic:cNvPicPr>
                  </pic:nvPicPr>
                  <pic:blipFill>
                    <a:blip r:embed="rId1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DAVID BULLOCH Signature Page to Share Purchase Agreement Docusign Envelope ID: 6328EB10-E7F4-4FB4-B2CF-D6D216A110F8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2"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13" descr=""/>
                    <pic:cNvPicPr>
                      <a:picLocks noChangeAspect="1" noChangeArrowheads="1"/>
                    </pic:cNvPicPr>
                  </pic:nvPicPr>
                  <pic:blipFill>
                    <a:blip r:embed="rId1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DAVID VANKKA Signature Page to Share Purchase Agreement Docusign Envelope ID: 9180F447-9F4D-4425-826A-68710E1F6E7F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3"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14" descr=""/>
                    <pic:cNvPicPr>
                      <a:picLocks noChangeAspect="1" noChangeArrowheads="1"/>
                    </pic:cNvPicPr>
                  </pic:nvPicPr>
                  <pic:blipFill>
                    <a:blip r:embed="rId1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DONVILLE KENT ASSET MANAGEMENT INC. By: Name: Jesse Gamble Title: Authorized Signatory Signature Page to Share Purchase Agreement Docusign Envelope ID: 79A5AE15-867D-48CB-A8A1-39B7CD67112E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4"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15" descr=""/>
                    <pic:cNvPicPr>
                      <a:picLocks noChangeAspect="1" noChangeArrowheads="1"/>
                    </pic:cNvPicPr>
                  </pic:nvPicPr>
                  <pic:blipFill>
                    <a:blip r:embed="rId1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EDWARD MILLS Signature Page to Share Purchase Agreement Docusign Envelope ID: 9B3ACF2B-2B08-48CB-B977-68333EFEB7FA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5"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16" descr=""/>
                    <pic:cNvPicPr>
                      <a:picLocks noChangeAspect="1" noChangeArrowheads="1"/>
                    </pic:cNvPicPr>
                  </pic:nvPicPr>
                  <pic:blipFill>
                    <a:blip r:embed="rId1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EDWARDS, KENNY &amp; BRAY LLP By: Name: Fraser Hartley Title: Partner By: Name: Kelly Samuels Title: Partner Docusign Envelope ID: 4DB2D77F-3474-488D-91EC-6FFEF9F43BBF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6"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17" descr=""/>
                    <pic:cNvPicPr>
                      <a:picLocks noChangeAspect="1" noChangeArrowheads="1"/>
                    </pic:cNvPicPr>
                  </pic:nvPicPr>
                  <pic:blipFill>
                    <a:blip r:embed="rId1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GARY SEGAL Signature Page to Share Purchase Agreement Docusign Envelope ID: 88486D09-5565-476C-BDBA-4B88BA1F076F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7"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18" descr=""/>
                    <pic:cNvPicPr>
                      <a:picLocks noChangeAspect="1" noChangeArrowheads="1"/>
                    </pic:cNvPicPr>
                  </pic:nvPicPr>
                  <pic:blipFill>
                    <a:blip r:embed="rId1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GENNADY BORTNIKOV Signature Page to Share Purchase Agreement Docusign Envelope ID: D3F1F876-5937-4DE2-82B4-79F8D6C2F1B3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8"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19" descr=""/>
                    <pic:cNvPicPr>
                      <a:picLocks noChangeAspect="1" noChangeArrowheads="1"/>
                    </pic:cNvPicPr>
                  </pic:nvPicPr>
                  <pic:blipFill>
                    <a:blip r:embed="rId1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JEAN-FRANCOIS BRISSOT Signature Page to Share Purchase Agreement Docusign Envelope ID: D43335CE-5D3F-4F01-82B1-437618038165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9"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20" descr=""/>
                    <pic:cNvPicPr>
                      <a:picLocks noChangeAspect="1" noChangeArrowheads="1"/>
                    </pic:cNvPicPr>
                  </pic:nvPicPr>
                  <pic:blipFill>
                    <a:blip r:embed="rId1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KELLY SIMPSON AND MICHELLE SIMPSON, JOINT HOLDERS Name: Kelly Simpson Name: Michelle Simpson Signature Page to Share Purchase Agreement Docusign Envelope ID: 63DBE741-6806-42DB-A826-99933608DE4E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0"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21" descr=""/>
                    <pic:cNvPicPr>
                      <a:picLocks noChangeAspect="1" noChangeArrowheads="1"/>
                    </pic:cNvPicPr>
                  </pic:nvPicPr>
                  <pic:blipFill>
                    <a:blip r:embed="rId1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NORMAN STORCH AND LEONA STORCH, JOINT HOLDERS Name: Norman Storch Name: Leona Storch Signature Page to Share Purchase Agreement Docusign Envelope ID: 7CFB67BD-53C4-4AE4-B7D1-BA125EC5914E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1"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22" descr=""/>
                    <pic:cNvPicPr>
                      <a:picLocks noChangeAspect="1" noChangeArrowheads="1"/>
                    </pic:cNvPicPr>
                  </pic:nvPicPr>
                  <pic:blipFill>
                    <a:blip r:embed="rId1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LESLIE PETRICK Signature Page to Share Purchase Agreement Docusign Envelope ID: 9A939380-7E56-466E-BBD4-A4CFCD5F5807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2"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23" descr=""/>
                    <pic:cNvPicPr>
                      <a:picLocks noChangeAspect="1" noChangeArrowheads="1"/>
                    </pic:cNvPicPr>
                  </pic:nvPicPr>
                  <pic:blipFill>
                    <a:blip r:embed="rId1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MANDEEP BASRA Signature Page to Share Purchase Agreement Docusign Envelope ID: FD361F61-9130-4366-913D-2F9B55EBC51F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3"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24" descr=""/>
                    <pic:cNvPicPr>
                      <a:picLocks noChangeAspect="1" noChangeArrowheads="1"/>
                    </pic:cNvPicPr>
                  </pic:nvPicPr>
                  <pic:blipFill>
                    <a:blip r:embed="rId1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NOVEL GROWTH PARTNERS FUND I, L.P. By Novel Growth Partners Fund I GP, LLC, its general partner By: Name: Keith Harrington Title: Managing Member &amp; Chief Operating Officer Docusign Envelope ID: CA0C9356-5EF8-49C0-A688-FF7E9A6F8CCC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4"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25" descr=""/>
                    <pic:cNvPicPr>
                      <a:picLocks noChangeAspect="1" noChangeArrowheads="1"/>
                    </pic:cNvPicPr>
                  </pic:nvPicPr>
                  <pic:blipFill>
                    <a:blip r:embed="rId1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OMEGA DEVELOPMENTS INC. By: Name: Craig Orchard Title: Authorized Signatory Signature Page to Share Purchase Agreement Docusign Envelope ID: 5ACD04EA-3E78-4A3A-AE5A-7D68E36F935E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5"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26" descr=""/>
                    <pic:cNvPicPr>
                      <a:picLocks noChangeAspect="1" noChangeArrowheads="1"/>
                    </pic:cNvPicPr>
                  </pic:nvPicPr>
                  <pic:blipFill>
                    <a:blip r:embed="rId1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REUNION MANAGEMENT CONSULTING GROUP ULC By: Name: Paul Reid Title: Authorized Signatory Signature Page to Share Purchase Agreement Docusign Envelope ID: F248F1E4-97A2-444F-8F7C-89480D35524C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6"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27" descr=""/>
                    <pic:cNvPicPr>
                      <a:picLocks noChangeAspect="1" noChangeArrowheads="1"/>
                    </pic:cNvPicPr>
                  </pic:nvPicPr>
                  <pic:blipFill>
                    <a:blip r:embed="rId1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ROHIT SHARMA Signature Page to Share Purchase Agreement Docusign Envelope ID: F27A2A71-0E4C-4B5C-B30A-F806DDBECB5E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7"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28" descr=""/>
                    <pic:cNvPicPr>
                      <a:picLocks noChangeAspect="1" noChangeArrowheads="1"/>
                    </pic:cNvPicPr>
                  </pic:nvPicPr>
                  <pic:blipFill>
                    <a:blip r:embed="rId1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SYMBIOTIC PROJECT MANAGEMENT INC. By: Name: Andrew Szymanski Title: Authorized Signatory Signature Page to Share Purchase Agreement Docusign Envelope ID: F0EB8F4E-7624-4D9E-A35E-5F632F5DE93C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8"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29" descr=""/>
                    <pic:cNvPicPr>
                      <a:picLocks noChangeAspect="1" noChangeArrowheads="1"/>
                    </pic:cNvPicPr>
                  </pic:nvPicPr>
                  <pic:blipFill>
                    <a:blip r:embed="rId1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T.L. REDL HOLDINGS LTD. By: Name: Tom Redl Title: Authorized Signatory Signature Page to Share Purchase Agreement Docusign Envelope ID: 2EB89BA7-CBC2-4406-9528-3A9CBA9EF9C5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9"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30" descr=""/>
                    <pic:cNvPicPr>
                      <a:picLocks noChangeAspect="1" noChangeArrowheads="1"/>
                    </pic:cNvPicPr>
                  </pic:nvPicPr>
                  <pic:blipFill>
                    <a:blip r:embed="rId1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ZLOTNIK FINANCIAL SERVICES LTD. By: Name: Garry Zlotnik Title: Authorized Signatory Signature Page to Share Purchase Agreement Docusign Envelope ID: 4C6AC9E6-489E-4D39-A2A0-AA05D2B76E11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80"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31" descr=""/>
                    <pic:cNvPicPr>
                      <a:picLocks noChangeAspect="1" noChangeArrowheads="1"/>
                    </pic:cNvPicPr>
                  </pic:nvPicPr>
                  <pic:blipFill>
                    <a:blip r:embed="rId19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1390-1182-7473.14 EXHIBIT A VENDORS AND SHARES VENDORS SHARES PURCHASE PRICE ALLOCATION 2231695 Ontario Ltd. 105,633 Common shares 0.64% 2448353 Alberta Ltd. 202,856 Common shares 1.23% Anthony M. Rosenfeld 505,375 Common shares 3.06% Audrey You 8,494 Common shares 0.05% Ayrshire Developments (HIF II) Corp. 12,069,681 Common shares 73.12% Benjamin P. Slager Law Corporation 137,708 Common shares 0.83% Blair Yorke Slader 53,584 Common shares 0.32% Brian Harschnitz 41,900 Common shares 0.25% Brennan Peters 30,207 Common shares 0.18% Clearwater Ranch Inc. 55,293 Common shares 0.33% David Bulloch 53,595 Common shares 0.32% David Vankka 37,202 Common shares 0.23% Donville Kent Asset Management Inc. 266,164 Common shares 1.61% Edward Mills 83,791 Common shares 0.51% Edwards, Kenny &amp; Bray LLP 514,304 Common shares 3.12% Gary Segal 270,742 Common shares 1.64% Gennady Bortnikov 16,504 Common shares 0.10% Jean-Francois Brissot 292,521 Common shares 1.77% Kelly Simpson and Michelle Simpson (joint holders) 37,516 Common shares 0.23% Leslie Petrick 75,518 Common shares 0.46%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81"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32" descr=""/>
                    <pic:cNvPicPr>
                      <a:picLocks noChangeAspect="1" noChangeArrowheads="1"/>
                    </pic:cNvPicPr>
                  </pic:nvPicPr>
                  <pic:blipFill>
                    <a:blip r:embed="rId19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- 2 - 1390-1182-7473.14 VENDORS SHARES PURCHASE PRICE ALLOCATION Mandeep Basra 35,395 Common shares 0.21% Norman Storch and Leona Storch (joint holders) 53,529 Common shares 0.32% Novel Growth Partners Fund I LP 727,200 Common shares 4.41% Omega Developments Inc. 183,268 Common shares 1.11% Reunion Management Consulting Group ULC 238,255 Common shares 1.44% Rohit Sharma 16,387 Common shares 0.10% Symbiotic Project Managements Inc. 41,895 Common shares 0.25% T.L. Redl Holdings Ltd. 53,605 Common shares 0.32% Zlotnik Financial Services Ltd. 299,623 Common shares 1.82%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2"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33" descr=""/>
                    <pic:cNvPicPr>
                      <a:picLocks noChangeAspect="1" noChangeArrowheads="1"/>
                    </pic:cNvPicPr>
                  </pic:nvPicPr>
                  <pic:blipFill>
                    <a:blip r:embed="rId1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1390-1182-7473.14 EXHIBIT B RSU TERMINATION AGREEMENT See attached.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3"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134" descr=""/>
                    <pic:cNvPicPr>
                      <a:picLocks noChangeAspect="1" noChangeArrowheads="1"/>
                    </pic:cNvPicPr>
                  </pic:nvPicPr>
                  <pic:blipFill>
                    <a:blip r:embed="rId1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1411-3535-9761.2 RSU TERMINATION AGREEMENT THIS RSU TERMINATION AGREEMENT (this “Agreement”) is made effective as of __________________, between PaySlate Inc. (the “Company”) and _____________ (the “Holder”). WHEREAS the Company and the Holder entered into a restricted share unit agreement dated ____________ (the “RSU Agreement”) pursuant to which the Holder currently holds __________ restricted share units (the “RSUs” and each an “RSU”). AND WHEREAS the shareholders of the Company have entered into a share purchase agreement dated [Date] with [Purchaser] (the “Purchaser”) pursuant to which the Purchaser will acquire the shares of the Company (the “Transaction”). AND WHEREAS the Company and the Holder (collectively, the “Parties”) now wish to terminate the RSUs in consideration of the Payment (hereinafter defined) on the terms and conditions contained herein. NOW THEREFORE for good and valuable consideration, the receipt and sufficiency of which is hereby acknowledged by the Parties, the Parties hereby covenant and agree with each other as follows: 1. Termination. The Parties hereby agree that the RSUs, whether vested or unvested, are hereby terminated effective as of the date first written above (the “Termination”). From and after the date first written above, the RSUs will be of no further force or effect, and neither the Company, nor the Purchaser, nor any of their officers, directors, shareholders, affiliates or other representatives and each of their respective successors and assigns (collectively, the “Releasees”) shall have any further obligations to the Holder with respect to the RSUs or the RSU Agreement. The Parties covenant and agree to take such further steps as may be reasonably required to evidence the intent and effect of this Agreement. 2. Payment. In consideration of the Termination, the Company shall pay to the Holder an amount e qual to CAD$0.50 for each RSU (the “Payment”), being an aggregate amount equal to C AD$_________, which Payment shall be made subject to all applicable withholdings and other re quired payroll deductions and be paid in accordance with the Company’s next regular payroll cyc le. 3. Release. In consideration of the Payment, the Holder hereby releases, indemnifies and holds harmless the Releasees from any and all claims related to the RSU Agreement and the RSUs, whether vested or unvested. 4. Governing Law. This Agreement shall be governed, interpreted, construed and enforced according to the laws of the Province of British Columbia and the laws of Canada applicable therein. 5. Conditional. The Holder acknowledges and agrees that this Agreement is conditional upon the completion of the Transaction. In the event that the Transaction is not completed, the agreement to terminate RSUs in accordance with Section 1 hereof and all other terms of this Agreement will be deemed not to have occurred and the RSUs will continue to exist and will be subject to the terms of the RSU Agreement under which such RSUs were granted on their original terms.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4"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35" descr=""/>
                    <pic:cNvPicPr>
                      <a:picLocks noChangeAspect="1" noChangeArrowheads="1"/>
                    </pic:cNvPicPr>
                  </pic:nvPicPr>
                  <pic:blipFill>
                    <a:blip r:embed="rId2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- 2 - 1380-5202-1777, v. 4 1411-3535-9761.2 6. Entire Agreement. This Agreement represents the entire Agreement between the Holder and the Company concerning the subject matter hereof and supersedes any previous oral or written communications, representations, understandings or agreements with the Company or any officer or agent thereof. This Agreement may only be amended or modified in writing signed by the Parties. 7. Enurement. This Agreement will enure to the benefit of and be binding on the respective successors and assigns of each of the Parties. 8. Counterparts. This Agreement may be executed in counterparts, each of which shall be deemed an original, but all of which together will constitute one and the same instrument. Counterpart signature pages to this Agreement transmitted by facsimile transmission, by electronic mail in portable document format (PDF), docusign, or by any other electronic means intended to preserve the original graphic and pictorial appearance of a document, will have the same effect as physical delivery of the paper document bearing an original signature. [remainder of page intentionally left blank]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5"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136" descr=""/>
                    <pic:cNvPicPr>
                      <a:picLocks noChangeAspect="1" noChangeArrowheads="1"/>
                    </pic:cNvPicPr>
                  </pic:nvPicPr>
                  <pic:blipFill>
                    <a:blip r:embed="rId2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WITNESS WHEREOF the parties have executed this Agreement effective on the date first written above. PAYSLATE INC. Per: Authorized Signatory [HOLDER]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6"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37" descr=""/>
                    <pic:cNvPicPr>
                      <a:picLocks noChangeAspect="1" noChangeArrowheads="1"/>
                    </pic:cNvPicPr>
                  </pic:nvPicPr>
                  <pic:blipFill>
                    <a:blip r:embed="rId20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- 2 - 1390-1182-7473.14 EXHIBIT C SAMPLE WORKING CAPITAL CALCULATION See attached.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8410575"/>
            <wp:effectExtent l="0" t="0" r="0" b="0"/>
            <wp:docPr id="187"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38" descr=""/>
                    <pic:cNvPicPr>
                      <a:picLocks noChangeAspect="1" noChangeArrowheads="1"/>
                    </pic:cNvPicPr>
                  </pic:nvPicPr>
                  <pic:blipFill>
                    <a:blip r:embed="rId203"/>
                    <a:stretch>
                      <a:fillRect/>
                    </a:stretch>
                  </pic:blipFill>
                  <pic:spPr bwMode="auto">
                    <a:xfrm>
                      <a:off x="0" y="0"/>
                      <a:ext cx="13001625" cy="841057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Working Capital Calculation As of November 30, 2024 Estimate Target Closing Estimate Account Nov 30, 2023 Dec 31, 2023 Jan 31, 2024 Feb 29, 2024 Mar 31, 2024 Apr 30, 2024 May 31, 2024 Jun 30, 2024 Jul 31, 2024 Aug 31, 2024 Sep 30, 2024 Oct 31, 2024 Nov 30, 2024 Dec 31, 2024 L3M Avg. as of Dec Jan 2, 2025 Current Assets Cash and Cash Equivalents Bank of America - SaaS 134.80 135.00 133.97 135.70 135.50 137.46 136.37 136.87 138.09 134.91 134.99 139.16 140.10 140.10 139.79 140.10 BMO - Vantiv USD (HARRIS DDA) 116,596.95 12,156.53 3,081.07 1,218.29 1,000.22 1,033.14 1,406.07 1,387.90 1,147.64 3,832.77 9,985.67 952.10 823.86 823.86 866.61 823.86 BMO Operating (HARRIS DDA) 10,287.45 43,141.73 3,891.76 19,554.65 17,827.27 1,529.63 9,322.34 9,097.50 15,472.61 19,024.51 9,832.70 4,087.83 5,478.15 5,478.15 5,014.71 5,478.15 RBC US Dollar Visa - Karthik 25.28 25.31 25.12 25.44 25.41 25.77 25.57 25.66 25.89 25.30 25.31 26.09 26.27 26.27 26.21 26.27 BMO Operating and BMO PAD Acct 1,387.72 4,118.91 2,015.95 2,503.12 6,706.88 2,339.17 2,741.57 3,658.10 995.75 6,579.65 2,884.95 3,516.81 6,877.41 6,877.41 5,757.21 6,877.41 BMO RM Bluesnap PP Account 911.16 2,595.20 505.44 1,148.55 1,792.34 2,796.09 3,732.91 498.25 786.11 705.20 2,211.23 1,083.84 835.26 835.26 918.12 835.26 BMO RM Paysafe PP Account 893.02 893.02 0.00 0.00 0.00 0.00 0.00 0.00 0.00 0.00 0.00 0.00 0.00 0.00 0.00 0.00 RBC Bluesnap PP Canada 147,557.89 53,898.24 903.24 179.69 618.65 558.12 384.53 152.96 379.70 476.05 107.04 484.49 663.10 663.10 603.56 663.10 RBC Current Segregated share redemption account 798.75 761.75 0.00 0.00 0.00 0.00 0.00 0.00 0.00 0.00 0.00 0.00 0.00 0.00 0.00 0.00 RBC Operating Account 88,784.88 12,006.25 55,323.94 44,025.74 38,434.89 60,814.75 58,697.73 28,155.67 22,577.70 34,252.64 44,582.99 67,305.48 313,547.99 303,798.88 228,217.45 303,798.88 RBC RM Paysafe AMEX PP 480.49 474.49 0.00 0.00 0.00 0.00 0.00 0.00 0.00 0.00 0.00 0.00 0.00 0.00 0.00 0.00 RBC - GIC Acct. 20,000.00 20,000.00 20,000.00 20,000.00 20,000.00 20,000.00 20,000.00 20,000.00 20,000.00 20,000.00 20,000.00 20,000.00 20,000.00 20,000.00 20,000.00 20,000.00 RBC SaaS Revenue Account 82.55 871.65 1,188.19 84.60 7,854.80 1,240.71 284.13 459.58 2,220.78 169.18 9,103.70 963.55 6,438.20 6,438.20 4,613.32 6,438.20 RBC USD Bank Account 6,671.03 10,133.09 9,906.65 8,770.77 8,269.10 6,468.62 6,500.89 6,507.54 7,048.65 7,232.63 7,609.99 8,101.31 7,064.05 7,064.05 7,409.80 7,064.05 Total Cash and Cash Equivalents 394,611.96 161,211.18 96,975.33 97,646.56 102,665.06 96,943.46 103,232.10 70,080.04 70,792.92 92,432.83 106,478.57 106,660.66 361,894.38 352,145.27 273,566.77 352,145.27 Accounts Receivable 107,414.50 252,862.13 339,275.34 293,494.64 284,293.97 295,402.25 301,129.33 295,156.16 282,723.86 310,804.91 321,439.80 285,510.35 221,059.84 186,059.84 230,876.68 186,059.84 Bluesnap monthly net payout receivable 219,750.78 99,779.83 0.00 0.00 0.00 0.00 0.00 0.00 0.00 0.00 0.00 0.00 73,613.28 73,613.28 49,075.52 73,613.28 Deposits Made 20,220.00 20,250.00 20,095.50 20,355.00 20,325.00 20,619.00 20,455.50 20,530.50 20,713.50 20,236.50 20,248.50 20,874.00 21,015.00 21,015.00 20,968.00 21,015.00 Prepaid Expenses 95,078.37 90,750.57 84,386.74 78,347.31 73,176.39 80,624.89 82,763.89 84,954.48 79,771.66 79,210.71 75,538.93 81,800.46 109,361.27 109,361.27 100,174.33 109,361.27 Paysafe NetBanx Merchant Account - 99895845 (248.74) (248.74) (248.74) (248.74) (248.74) (248.74) (248.74) (248.74) (248.74) (248.74) (248.74) (248.74) (248.74) (248.74) (248.74) (248.74) Paysafe NetBanx Merchant Account - 99908118 (11,983.65) (11,983.65) (11,983.65) (11,983.65) (11,983.65) (11,983.65) (11,983.65) (11,983.65) (11,983.65) (11,983.65) (11,983.65) (11,983.65) (11,983.65) (11,983.65) (11,983.65) (11,983.65) Tenant Rent Receivable (BMO PAD) 23,019.54 13,009.56 14,419.56 10,584.56 7,684.56 7,684.56 7,684.56 7,684.56 7,684.56 11,474.56 11,474.56 12,594.56 12,458.56 12,458.56 12,503.89 12,458.56 Total Current Assets 847,862.76 625,630.88 542,920.08 488,195.67 475,912.59 489,041.76 503,032.99 466,173.35 449,454.11 501,927.12 522,947.97 495,207.64 787,169.94 742,420.83 674,932.80 742,420.83 Liabilities Current Liabilities Accounts Payable 572,003.22 552,239.37 522,879.17 522,463.73 523,650.32 558,624.38 465,784.30 480,621.71 448,911.11 449,866.27 460,082.78 554,563.41 482,697.56 482,697.56 506,652.84 482,697.56 Bank of America 1,443.38 1,445.53 1,434.50 1,453.02 1,450.88 1,471.87 1,460.20 1,465.55 0.00 0.00 0.00 0.00 0.00 0.00 0.00 0.00 Bank of America- Savings 34.04 34.09 33.83 34.26 34.21 34.71 34.43 34.56 0.00 0.00 0.00 0.00 0.00 0.00 0.00 0.00 Bluesnap monthly net payout payable 260,863.15 153,017.46 53,892.80 0.00 0.00 0.00 0.00 0.00 0.00 0.00 0.00 59,691.20 87,742.02 77,992.91 75,142.04 77,992.91 Business Fundamentals #1 35.05 35.10 34.83 35.28 35.23 35.74 35.46 35.59 0.00 0.00 0.00 0.00 0.00 0.00 0.00 0.00 Business Fundamentals #2 35.05 35.10 34.83 35.28 35.23 35.74 35.46 35.59 0.00 0.00 0.00 0.00 0.00 0.00 0.00 0.00 Deferred Revenue - Credit Reporting (BlueSnap) 9,080.58 8,063.55 8,390.32 8,369.80 8,460.82 8,804.60 8,817.77 8,145.73 8,306.14 8,367.59 9,562.60 11,205.14 11,679.40 11,679.40 11,521.32 11,679.40 Deferred Revenue - Credit Reporting (Paysafe) 3,900.41 2,828.12 1,907.10 1,164.39 595.98 293.62 93.46 0.00 0.00 0.00 0.00 0.00 0.00 0.00 0.00 0.00 Deferred Revenue - SaaS 24,156.30 23,526.03 19,539.81 17,400.90 16,659.87 12,990.93 15,900.90 15,694.37 19,749.56 16,679.65 24,936.83 22,988.40 20,501.71 20,501.71 21,330.61 20,501.71 Employee Wages Payable 62,916.50 63,009.85 62,529.10 63,336.56 63,243.22 64,158.03 63,649.28 63,882.65 64,452.07 62,967.84 63,005.18 64,951.48 65,390.22 65,390.22 65,243.97 65,390.22 Other Payable 20,915.51 20,946.55 20,786.73 21,055.16 21,024.13 21,328.24 21,159.11 21,236.69 21,425.99 20,932.58 20,944.99 21,592.01 21,737.86 21,737.86 21,689.24 21,737.86 Rounding (4.27) (4.28) (4.25) (4.30) (4.28) (4.36) (4.32) (4.34) (4.38) (4.28) (4.28) (4.41) (4.45) (4.45) (4.44) (4.45) Vacation Payable 47,577.23 41,600.92 43,837.60 49,688.74 50,746.57 55,024.19 55,700.72 59,860.38 51,471.30 49,957.24 54,499.82 55,801.12 57,328.24 52,828.24 55,319.20 52,828.24 Expense Payable 0.00 0.00 0.00 0.00 0.00 0.00 0.00 0.00 0.00 0.00 105,000.00 105,000.00 0.00 0.00 35,000.00 0.00 GST/HST Payable 1,682.31 2,425.85 735.24 1,414.80 2,084.91 792.44 1,493.68 2,477.04 3,304.27 1,523.58 2,824.19 757.26 1,502.30 1,502.30 1,253.95 1,502.30 PST Payable 388.50 388.50 (90.72) 0.00 0.00 0.00 0.00 0.00 0.00 0.00 0.00 0.00 217.01 217.01 144.67 217.01 RBC - Corp. Credit Card (cancelled) 2,102.52 2,102.52 2,102.52 2,102.52 2,102.52 2,102.52 2,102.52 2,102.52 2,102.52 2,102.52 2,102.52 2,102.52 2,102.52 2,102.52 2,102.52 2,102.52 RBC Corporate CC - 0641 (active) 15,372.39 15,309.22 15,399.63 12,988.05 13,314.83 15,139.93 15,945.36 11,300.73 15,825.08 14,657.59 17,539.22 13,691.51 12,569.98 12,569.98 12,943.82 27,569.98 Tenant Rent Funds Collected (Geoswift &amp; Loadhub) 3,283.28 2,260.00 1,010.00 1,510.00 1,410.00 1,010.00 5,469.30 1,010.00 1,010.00 10,591.13 650.00 2,115.00 7,110.00 7,110.00 5,445.00 7,110.00 Total Current Liabilities 1,025,785.14 889,263.46 754,453.04 703,048.21 704,844.44 741,842.56 657,677.62 667,898.77 636,553.66 637,641.71 761,143.85 914,454.64 770,574.38 756,325.27 813,784.76 771,325.27 Reported NWC (177,922.38) (263,632.58) (211,532.96) (214,852.54) (228,931.85) (252,800.80) (154,644.63) (201,725.42) (187,099.55) (135,714.59) (238,195.88) (419,247.00) 16,595.56 (13,904.44) (138,851.96) (28,904.44) Definitional Adjustments Cash and Cash equivalents (394,611.96) (161,211.18) (96,975.33) (97,646.56) (102,665.06) (96,943.46) (103,232.10) (70,080.04) (70,792.92) (92,432.83) (106,478.57) (106,660.66) (361,894.38) (352,145.27) (273,566.77) (352,145.27) Indebtedness Grant Thornton Limited 124,651.30 124,651.30 124,651.30 124,651.30 124,651.30 124,651.30 124,651.30 124,651.30 124,651.30 124,651.30 124,651.30 124,651.30 124,651.30 124,651.30 124,651.30 124,651.30 Borden Ladner Gervais (BLG) 95,428.64 95,428.64 95,428.64 95,428.64 95,428.64 95,428.64 95,428.64 95,428.64 95,428.64 95,428.64 95,428.64 95,428.64 95,428.64 95,428.64 95,428.64 95,428.64 Transaction Related AP 0.00 Fasken Martineau LLP 77,446.00 77,446.00 77,446.00 77,446.00 77,446.00 77,446.00 77,446.00 77,446.00 74,946.00 74,946.00 74,946.00 74,946.00 74,946.00 74,946.00 74,946.00 74,946.00 Reunion Management Consulting Group ULC 44,100.00 44,100.00 44,100.00 44,100.00 44,100.00 44,100.00 44,100.00 44,100.00 44,100.00 44,100.00 44,100.00 44,100.00 44,100.00 44,100.00 44,100.00 44,100.00 Shareholder Loan (126.04) (126.23) (125.26) (126.88) (126.69) (128.53) (127.51) (127.97) (129.11) (126.14) (126.22) (130.11) (130.99) (130.99) (130.70) (130.99) McCarthy Tétrault LLP 35,000.02 35,000.02 35,000.02 35,000.02 35,000.02 35,000.02 35,000.02 35,000.02 30,000.02 30,000.02 25,000.02 25,000.02 0.00 0.00 8,333.34 0.00 Ayrshire Real Estate Management Inc. 31,500.00 31,500.00 31,500.00 31,500.00 31,500.00 31,500.00 31,500.00 31,500.00 31,500.00 31,500.00 31,500.00 31,500.00 31,500.00 31,500.00 31,500.00 31,500.00 EKB 50,694.35 50,694.35 50,694.35 50,694.35 50,694.35 105,558.69 974.49 974.49 9,355.29 9,355.29 9,355.29 9,355.29 26,620.32 26,620.32 20,865.31 26,620.32 Software Equity Group (SEG) 15,294.50 15,294.50 15,294.50 15,428.43 23,681.71 0.00 0.00 0.00 0.00 0.00 0.00 0.00 0.00 0.00 0.00 0.00 Other Adjustments Expense Payable 0.00 0.00 0.00 0.00 0.00 0.00 0.00 0.00 0.00 0.00 105,000.00 105,000.00 0.00 0.00 35,000.00 0.00 Bluesnap monthly net payout payable 260,863.15 153,017.46 53,892.80 0.00 0.00 0.00 0.00 0.00 0.00 0.00 0.00 59,691.20 87,742.02 77,992.91 75,142.04 0.00 &lt; not adjusted out in closing estimate to account for payable DEFINITIONAL NWC 162,317.58 202,162.28 219,374.06 161,622.76 150,778.42 163,811.87 151,096.21 137,167.02 151,959.66 181,707.69 165,180.58 43,634.68 139,558.47 109,058.47 97,417.20 16,065.56 Estimated NWC Adjustment (+/-) (81,351.65)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7896225"/>
            <wp:effectExtent l="0" t="0" r="0" b="0"/>
            <wp:docPr id="188"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39" descr=""/>
                    <pic:cNvPicPr>
                      <a:picLocks noChangeAspect="1" noChangeArrowheads="1"/>
                    </pic:cNvPicPr>
                  </pic:nvPicPr>
                  <pic:blipFill>
                    <a:blip r:embed="rId204"/>
                    <a:stretch>
                      <a:fillRect/>
                    </a:stretch>
                  </pic:blipFill>
                  <pic:spPr bwMode="auto">
                    <a:xfrm>
                      <a:off x="0" y="0"/>
                      <a:ext cx="13001625" cy="78962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Payslate Group Aged Receivables Summary Jan-24 Feb-24 Mar-24 Apr-24 May-24 Jun-24 Jul-24 Aug-24 Sep-24 Oct-24 Nov-24 BlueSnap 215,938 196,575 201,177 208,516 217,829 192,559 160,505 195,083 190,274 143,283 69,098 Midwest Property Management Limited Partnership 18,813 18,130 18,760 9,696 9,671 20,683 22,330 22,719 22,194 22,110 22,569 Clear View Property Management Ltd. 17,332 18,669 17,013 18,379 15,289 14,420 15,711 16,560 17,826 19,134 15,736 Summit Property Management 6,810 13,865 7,436 14,951 7,553 7,193 7,661 7,526 6,754 7,215 7,337 Trivest Developments Corporation 15,214 2,448 2,937 3,427 3,917 4,406 4,896 5,385 5,875 6,364 6,854 Metro Core Realty Ltd. 3,075 3,075 3,075 3,075 6,357 6,357 6,357 6,357 6,357 6,357 6,357 Shelter Canadian Properties Ltd - - - - 33 112 3,030 8,871 15,601 22,002 28,409 Westland Real Estate Group 5,650 10,355 2,889 2,605 6,011 7,130 2,755 2,267 2,367 2,488 1,667 Kaneff Properties Ltd. 8,312 4,167 4,197 4,164 2,091 4,133 6,167 4,066 2,018 4,025 4,001 Murray Hills Development Ltd 4,351 2,920 1,511 2,678 2,949 4,391 3,032 3,069 1,485 2,643 4,213 Action Team Realty - - - 4,124 4,091 4,106 4,143 4,047 4,050 4,175 4,203 Seller Financed Mortgages - - 3,360 3,360 3,360 3,360 3,360 3,360 3,360 3,360 3,360 West Coast Realty Ltd 1,835 1,957 2,078 2,200 2,321 2,442 2,563 2,684 2,806 2,927 3,048 Gather Coliving Inc 2,048 2,086 2,124 2,164 2,203 2,239 2,275 2,309 2,339 3,052 3,084 Apartment Owners Association of California, Inc. 10,469 - - - - - 11,336 - - - - Harmony Communities 2,073 2,079 2,070 2,090 2,098 2,102 2,085 2,280 2,310 2,337 2,315 Woodsmere Holdings Corp. 6,216 - - - - - - - 6,216 6,216 6,216 Groupe Denux 1,316 1,316 1,344 1,372 1,372 1,372 1,372 1,372 2,744 4,116 5,516 Associated Property Management (2001) LTD 1,008 1,176 1,344 1,512 1,680 1,848 2,016 2,184 2,352 2,520 2,688 Solutions 105 Consulting Ltd - - - - - - 3,503 3,503 3,503 3,503 3,503 Mastercraft Management Corporation - - - - - 3,390 3,390 3,390 - - - Real Canadian Property Management 1,331 898 902 907 921 904 1,350 890 490 502 1,002 Axwell Management Inc 1,680 1,890 2,100 420 420 630 420 210 420 630 210 Jaffer Properties Inc. 740 619 810 589 781 777 966 789 789 781 785 5908 Holdings Ltd 499 328 336 340 338 503 490 484 3,692 338 352 Exclusive Rentals 249 252 254 258 259 262 2 952 1,931 2,911 3,887 Maligne Developments Ltd 731 731 731 731 731 731 731 731 731 731 1,096 GoGo Real Estate LLC 372 501 562 634 691 757 827 870 933 1,026 1,097 Devon Properties Ltd. 622 523 593 562 599 610 630 653 653 653 659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7896225"/>
            <wp:effectExtent l="0" t="0" r="0" b="0"/>
            <wp:docPr id="189"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40" descr=""/>
                    <pic:cNvPicPr>
                      <a:picLocks noChangeAspect="1" noChangeArrowheads="1"/>
                    </pic:cNvPicPr>
                  </pic:nvPicPr>
                  <pic:blipFill>
                    <a:blip r:embed="rId205"/>
                    <a:stretch>
                      <a:fillRect/>
                    </a:stretch>
                  </pic:blipFill>
                  <pic:spPr bwMode="auto">
                    <a:xfrm>
                      <a:off x="0" y="0"/>
                      <a:ext cx="13001625" cy="78962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Palmas Del Vista LLC 804 814 813 825 818 - - - 1,620 - - Albert Langbid, CPM® | Licensed Property Manager 806 538 269 538 269 538 806 790 790 253 253 Real Property Management Results LTD - - - - - - 1,332 1,332 1,332 1,338 1,434 Hannah Property Management Ltd. 418 373 373 373 373 396 746 373 746 1,119 1,119 Invest Gain Ltee 486 488 556 617 688 760 826 209 202 267 280 Food Hall Enterprises, LLC 612 314 305 205 406 402 405 593 595 825 423 Penta Management 565 565 565 565 565 565 565 565 - - - Seattle Furnished Suites 335 339 363 393 414 440 468 482 506 546 575 Real Property Management Associates - - - - 261 521 748 754 571 589 923 Tribe CoWorking - - - - 560 560 560 560 560 560 560 Real Property Management ACE 302 302 302 302 302 302 302 302 302 302 302 Rosedale Student Residences Management LTD - - - - - - - - 1,344 1,344 1,344 Alifa Holdings Inc. 132 88 148 208 266 326 386 443 503 110 170 Arbutus Quality Property Management 860 123 187 140 202 139 62 120 163 225 1,645 Andre Pasche (PM) 170 222 228 282 334 388 56 110 168 226 287 Signature Properties Inc. 163 324 489 326 325 325 - - - - - North44 Property Management Inc. 1,646 - - - - - - - - - - Jaffer Real Estate Limited Partnership VII Inc. 154 103 154 154 154 206 154 154 206 154 206 Sunstar Realty Ltd. 118 118 120 120 120 118 118 118 235 351 468 Real Property Management Service 404 203 103 204 201 199 - - 88 88 97 North44 Property Management - US 838 548 - - - - - - - - - Peter McFarlane 101 111 115 119 129 139 149 159 169 179 189 D&amp;C Carnahan Management Ltd. 339 339 339 339 - - - - - - - Capstone Real Estate Services Inc. 155 194 39 78 132 171 78 117 155 194 233 Luxury Student Rentals Inc 95 95 98 97 97 97 97 97 196 294 404 Alta Place property inc. c/o the macdane group of companies 162 114 117 60 66 130 141 156 163 83 170 161 Laurier Properties Limited Partnership 51 46 50 93 85 127 127 168 210 210 174 Unico One Developments Ltd. - - - - 336 336 336 137 - - - Real Property Management Central 221 442 221 221 - - - - - - - Westwynd Realty 112 140 56 84 112 140 84 112 140 28 56 Real Property Management Hestia 384 392 16 26 35 14 19 24 30 35 10 Real Property Management Bravo 960 - - - - - - - - - - AG Property Services 228 229 450 26 - - - - - - - GH Capital Corporation - 678 - - - - - - - - - Koncept Investments 610 - - - - - - -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7896225"/>
            <wp:effectExtent l="0" t="0" r="0" b="0"/>
            <wp:docPr id="190"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41" descr=""/>
                    <pic:cNvPicPr>
                      <a:picLocks noChangeAspect="1" noChangeArrowheads="1"/>
                    </pic:cNvPicPr>
                  </pic:nvPicPr>
                  <pic:blipFill>
                    <a:blip r:embed="rId206"/>
                    <a:stretch>
                      <a:fillRect/>
                    </a:stretch>
                  </pic:blipFill>
                  <pic:spPr bwMode="auto">
                    <a:xfrm>
                      <a:off x="0" y="0"/>
                      <a:ext cx="13001625" cy="78962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Sola Corporation 38 38 38 77 115 153 38 38 - - - Real Property Management Riverview 24 38 28 32 16 20 38 56 59 80 22 2242119 Alberta Ltd. - - 22 24 48 70 20 42 62 82 103 Pikestaff Contracting - - - - - - - - - 354 42 Rakotta Real Estate - 315 - - - - - - - - - RE/MAX Solutions Barros Group 29 29 29 29 29 29 29 29 29 29 43 Rennie Marketing Systems 20 24 27 30 34 34 37 40 40 - - Red Key Realty &amp; Property Management Ltd. 21 21 21 21 21 21 21 21 42 63 95 Real Property Management Kingdom 12 18 21 24 27 30 29 31 33 35 34 Marwest Management Canada Ltd. (Porchlight) 128 128 - - - - - - - - - Skywater Property Management Inc 40 9 9 - 7 16 26 36 46 57 25 Delta Omicron Society 18 14 16 12 12 20 6 14 44 60 78 Summit Circle Development 15 48 0 - - - - - - - - Real Property Management Haven Inc - - - - 1 2 5 7 13 22 28 Fraser and Karen Hartley 10 10 2 2 4 4 4 2 4 6 2 Real Property Management Kempenfelt - - 3 5 1 2 2 2 3 3 5 Total 339,275 293,495 284,294 295,402 301,129 295,156 282,724 310,805 321,440 285,510 221,060 - - - - (0) - - 0 0 - - Aged Payables Summary Jan-24 Feb-24 Mar-24 Apr-24 May-24 Jun-24 Jul-24 Aug-24 Sep-24 Oct-24 Nov-24 Grant Thornton Limited 124,651 124,651 124,651 124,651 124,651 124,651 124,651 124,651 124,651 124,651 124,651 Borden Ladner Gervais (BLG) 95,429 95,429 95,429 95,429 95,429 95,429 95,429 95,429 95,429 95,429 95,429 Fasken Martineau LLP 77,446 77,446 77,446 77,446 77,446 77,446 74,946 74,946 74,946 74,946 74,946 Reunion Management Consulting Group ULC 44,100 44,100 44,100 44,100 44,100 44,100 44,100 44,100 44,100 44,100 44,100 McCarthy Tétrault LLP 35,000 35,000 35,000 35,000 35,000 35,000 30,000 30,000 25,000 25,000 - Yardi Canada Ltd. - - - - - - - - - - 31,107 Ayrshire Real Estate Management Inc. 31,500 31,500 31,500 31,500 31,500 31,500 31,500 31,500 31,500 31,500 31,500 EKB 50,694 50,694 50,694 105,559 974 974 9,355 9,355 9,355 9,355 26,620 Minister of Finance (BC EHT) 17,198 17,198 17,198 17,198 17,198 17,198 17,198 17,198 17,198 17,198 17,198 KPMG - - - - - - - - 5,618 95,005 - Techcel 9,822 8,542 7,800 7,479 11,886 7,974 8,545 8,160 7,548 9,157 15,799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7896225"/>
            <wp:effectExtent l="0" t="0" r="0" b="0"/>
            <wp:docPr id="191"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142" descr=""/>
                    <pic:cNvPicPr>
                      <a:picLocks noChangeAspect="1" noChangeArrowheads="1"/>
                    </pic:cNvPicPr>
                  </pic:nvPicPr>
                  <pic:blipFill>
                    <a:blip r:embed="rId207"/>
                    <a:stretch>
                      <a:fillRect/>
                    </a:stretch>
                  </pic:blipFill>
                  <pic:spPr bwMode="auto">
                    <a:xfrm>
                      <a:off x="0" y="0"/>
                      <a:ext cx="13001625" cy="78962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Software Equity Group (SEG) 15,295 15,428 23,682 - - - - - - - - BMO PAD 3,613 3,593 3,857 3,897 3,588 3,618 3,837 4,462 3,647 3,850 3,609 Zendesk 404 543 812 965 1,227 18,348 1,519 1,754 1,894 139 140 Jumpcloud 1,754 1,769 1,764 1,797 2,298 2,305 2,328 2,274 2,280 2,349 2,361 United Healthcare 3,444 3,489 3,483 3,534 3,506 3,894 (3,929) (3,839) 5,857 - 3,950 MRI Software, LLC - - - 3,445 3,408 3,418 3,453 3,373 - - - Tokenex 2,691 2,714 2,706 2,756 2,726 - - - - - - Minister of Finance (BC PST) 774 997 487 797 984 1,826 1,678 942 1,671 381 - Target Defense - - - - - - - - - 10,453 - 1401598 B.C - - - - 3,000 6,000 - - - - - Google Inc. 1,138 1,018 760 768 804 810 814 814 813 707 783 Stoel RIves LLP 3,850 3,883 - - - - - - - - - Domo, Inc. - - - - 3,749 3,760 - - - - - New Relic 800 801 526 534 530 526 535 538 554 732 568 Canada Life (Formerly Great West Life) - - - - - - 2,724 - - 2,562 2,562 NationWide Self Storage - - - - - - 997 997 1,173 1,177 1,177 Audrey You - - - - - - - - 4,000 - - Edge Credit Reporting 762 1,134 - - - - - 233 203 - - MailChimp - - - - - - - 43 792 792 417 Capterra 808 815 - - - - - - - - - Smart &amp; Biggar - - - - - - - - - 1,412 1,412 TitanHQ - - - - - - - - - - 761 OpenVPN Inc. - - - - - - - 1,133 - - - e-OSCAR - - 41 41 41 82 83 - 40 42 - Certn(Canada)Inc. - - - 5 - 26 26 26 - - 5 Paysafe 5 5 5 5 5 5 5 5 5 5 5 Google Voice Canada Corp - - - - - - - - - 30 31 Wagepoint Payment Services Inc. - - - - - - (2,656) - - - - Total 521,175.62 520,749.86 521,941.32 556,904.97 464,047.78 478,889.97 447,136.62 448,094.43 458,273.53 550,970.52 479,130.32 (1,703.52) (1,713.87) (1,708.96) (1,719.38) (1,736.54) (1,731.75) (1,774.50) (1,771.83) (1,809.27) (3,592.90) (3,567.24)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7896225"/>
            <wp:effectExtent l="0" t="0" r="0" b="0"/>
            <wp:docPr id="192"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43" descr=""/>
                    <pic:cNvPicPr>
                      <a:picLocks noChangeAspect="1" noChangeArrowheads="1"/>
                    </pic:cNvPicPr>
                  </pic:nvPicPr>
                  <pic:blipFill>
                    <a:blip r:embed="rId208"/>
                    <a:stretch>
                      <a:fillRect/>
                    </a:stretch>
                  </pic:blipFill>
                  <pic:spPr bwMode="auto">
                    <a:xfrm>
                      <a:off x="0" y="0"/>
                      <a:ext cx="13001625" cy="78962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Aged Receivables Summary Payslate Inc. Contact Jan-24 Feb-24 Mar-24 Apr-24 May-24 Jun-24 Jul-24 Aug-24 Sep-24 Oct-24 Nov-24 161 Laurier Properties Limited Partnership 51.49 45.52 49.50 93.03 85.07 126.61 126.61 168.15 209.69 209.69 174.12 2242119 Alberta Ltd. - - 21.89 23.88 47.76 69.65 19.90 41.79 61.69 81.59 103.48 5908 Holdings Ltd 499.49 328.35 336.31 340.29 338.30 503.47 489.54 483.57 3,692.33 338.30 352.23 AG Property Services 227.85 228.90 449.93 26.25 Albert Langbid, CPM® | Licensed Property Manager 806.40 537.60 268.80 537.60 268.80 537.60 806.40 790.44 790.44 252.84 252.84 Alifa Holdings Inc. 132.30 88.20 148.06 207.92 265.79 325.65 385.51 443.38 503.24 110.25 170.11 Alta Place property inc. c/o the macdane group of companies 161.50 113.50 117.00 59.50 66.00 130.00 141.00 155.50 162.50 82.50 170.00 Andre Pasche (PM) 169.50 221.63 227.60 281.72 333.85 387.97 56.11 110.23 168.33 226.43 286.52 Arbutus Quality Property Management 841.17 114.84 179.19 126.72 188.10 119.79 42.57 96.03 155.43 216.81 1,633.61 Associated Property Management (2001) LTD 1,008.00 1,176.00 1,344.00 1,512.00 1,680.00 1,848.00 2,016.00 2,184.00 2,352.00 2,520.00 2,688.00 Axwell Management Inc 1,680.00 1,890.00 2,100.00 420.00 420.00 630.00 420.00 210.00 420.00 630.00 210.00 BlueSnap 116,620.21 108,390.43 118,777.88 137,106.84 156,153.17 136,481.09 111,741.34 147,831.24 151,816.04 115,645.53 53,521.74 Capstone Real Estate Services Inc. 155.40 194.25 38.85 77.70 132.30 171.15 77.70 116.55 155.40 194.25 233.10 Clear View Property Management Ltd. 17,332.25 18,668.95 17,012.92 18,379.34 15,288.67 14,420.20 15,711.46 16,559.66 17,826.10 19,133.98 15,735.72 D&amp;C Carnahan Management Ltd. 339.00 339.00 339.00 339.00 Delta Omicron Society 17.91 13.93 16.27 11.94 11.94 19.90 5.97 13.93 43.78 59.70 77.61 Devon Properties Ltd. 622.40 523.20 593.20 561.60 598.80 610.40 629.60 653.20 652.80 652.80 659.20 Exclusive Rentals 249.22 252.39 253.57 257.53 258.71 261.88 2.00 952.00 1,931.00 2,911.00 3,887.00 Fraser and Karen Hartley 9.95 9.95 1.99 1.99 3.98 3.98 3.98 1.99 3.98 5.97 1.99 Gather Coliving Inc 2,048.09 2,085.90 2,123.71 2,163.51 2,203.31 2,239.13 2,274.95 2,308.78 2,338.63 3,052.45 3,084.29 GH Capital Corporation - 678.00 Groupe Denux 1,316.00 1,316.00 1,344.00 1,372.00 1,372.00 1,372.00 1,372.00 1,372.00 2,744.00 4,116.00 5,516.00 Hannah Property Management Ltd. 418.10 372.90 372.90 372.90 372.90 395.50 745.80 372.90 745.80 1,118.70 1,118.70 Harmony Communities 2,073.00 2,079.00 2,070.00 2,090.00 2,098.00 2,102.00 2,085.00 2,280.00 2,310.00 2,337.00 2,315.00 Invest Gain Ltee 485.67 488.29 555.70 616.53 687.90 760.26 825.63 209.39 202.11 267.13 280.35 Jaffer Properties Inc. 740.47 619.24 810.44 589.36 780.56 776.58 965.79 788.52 788.52 780.56 784.54 Jaffer Real Estate Limited Partnership VII Inc. 154.35 102.90 154.35 154.35 154.35 205.80 154.35 154.35 205.80 154.35 205.80 Kaneff Properties Ltd. 8,311.50 4,166.64 4,197.33 4,163.67 2,091.24 4,132.98 6,166.80 4,065.66 2,017.98 4,025.07 4,001.31 Luxury Student Rentals Inc 95.37 95.37 97.75 96.56 96.56 96.56 96.56 97.35 195.89 294.43 404.27 Maligne Developments Ltd 730.80 730.80 730.80 730.80 730.80 730.80 730.80 730.80 730.80 730.80 1,096.20 Marwest Management Canada Ltd. (Porchlight) 127.72 127.72 Mastercraft Management Corporation - - - - - 3,390.00 3,390.00 3,390.00 Metro Core Realty Ltd. 3,075.24 3,075.24 3,075.24 3,075.24 6,357.12 6,357.12 6,357.12 6,357.12 6,357.12 6,357.12 6,357.12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7896225"/>
            <wp:effectExtent l="0" t="0" r="0" b="0"/>
            <wp:docPr id="193"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44" descr=""/>
                    <pic:cNvPicPr>
                      <a:picLocks noChangeAspect="1" noChangeArrowheads="1"/>
                    </pic:cNvPicPr>
                  </pic:nvPicPr>
                  <pic:blipFill>
                    <a:blip r:embed="rId209"/>
                    <a:stretch>
                      <a:fillRect/>
                    </a:stretch>
                  </pic:blipFill>
                  <pic:spPr bwMode="auto">
                    <a:xfrm>
                      <a:off x="0" y="0"/>
                      <a:ext cx="13001625" cy="78962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Midwest Property Management Limited Partnership 18,813.28 18,130.49 18,759.58 9,696.07 9,670.92 20,683.22 22,329.98 22,718.54 22,194.31 22,110.44 22,568.94 Murray Hills Development Ltd 3,236.15 2,189.10 1,093.75 2,171.85 2,202.45 3,278.25 2,206.55 2,243.85 1,128.20 2,247.25 3,420.05 North44 Property Management Inc. 1,645.96 Penta Management 565.00 565.00 565.00 565.00 565.00 565.00 565.00 565.00 Peter McFarlane 101.19 111.14 115.12 119.10 129.05 139.00 148.95 158.90 168.85 178.80 188.75 Pikestaff Contracting - - - - - - - - - 353.88 41.76 Rakotta Real Estate - 315.00 RE/MAX Solutions Barros Group 29.48 29.48 29.48 29.48 29.48 29.48 29.48 29.48 29.48 29.48 43.04 Real Canadian Property Management 1,331.40 897.75 901.95 907.20 920.85 904.05 1,350.30 890.40 490.35 501.90 1,001.70 Real Property Management ACE 302.40 302.40 302.40 302.40 302.40 302.40 302.40 302.40 302.40 302.40 302.40 Real Property Management Bravo 959.96 Real Property Management Central 221.21 442.42 221.21 221.21 Real Property Management Associates - - - - 261.21 521.42 747.63 753.63 571.42 589.05 923.26 Real Property Management Haven Inc - - - - 1.00 2.00 5.00 7.00 13.00 22.00 28.00 Real Property Management Hestia 384.41 392.41 16.00 26.00 35.00 14.00 19.00 24.00 30.00 35.00 10.00 Real Property Management Kempenfelt - - 3.00 5.00 1.00 2.00 2.00 2.00 3.00 3.00 5.00 Real Property Management Kingdom 12.00 18.00 21.00 24.00 27.00 30.00 29.00 31.00 33.00 35.00 34.00 Real Property Management Results LTD - - - - - - 1,332.45 1,332.45 1,332.45 1,338.45 1,434.45 Real Property Management Riverview 24.00 38.00 28.00 32.00 16.00 20.00 38.00 56.00 59.00 80.00 22.00 Real Property Management Service 403.91 203.34 102.66 204.13 201.36 198.59 - - 88.03 87.63 96.73 Red Key Realty &amp; Property Management Ltd. 21.00 21.00 21.00 21.00 21.00 21.00 21.00 21.00 42.00 63.00 94.50 Rennie Marketing Systems 20.20 23.56 26.92 30.28 33.64 33.64 37.00 40.36 40.36 Rosedale Student Residences Management LTD - - - - - - - - 1,344.00 1,344.00 1,344.00 Seller Financed Mortgages - - 3,360.00 3,360.00 3,360.00 3,360.00 3,360.00 3,360.00 3,360.00 3,360.00 3,360.00 Shelter Canadian Properties Ltd - - - - 33.00 112.00 3,030.05 8,871.09 15,600.84 22,001.55 28,409.04 Signature Properties Inc. 162.70 324.40 488.60 325.90 324.90 324.90 Skywater Property Management Inc 40.00 9.00 9.00 - 7.00 16.00 26.35 35.70 45.70 57.05 24.70 Sola Corporation 38.33 38.33 38.33 76.66 114.99 153.32 38.33 38.33 Solutions 105 Consulting Ltd - - - - - - 3,502.80 3,502.80 3,502.80 3,502.80 3,502.80 Summit Circle Development 15.40 47.88 0.12 Summit Property Management 6,810.44 13,864.96 7,435.93 14,951.29 7,552.76 7,193.09 7,661.30 7,526.32 6,753.95 7,214.55 7,337.08 Sunstar Realty Ltd. 117.77 118.10 119.62 120.46 120.29 117.94 117.77 118.44 235.20 350.95 467.88 Tribe CoWorking - - - - 560.00 560.00 560.00 560.00 560.00 560.00 560.00 Trivest Developments Corporation 15,214.28 2,447.85 2,937.42 3,426.99 3,916.56 4,406.13 4,895.70 5,385.27 5,874.84 6,364.41 6,853.98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7896225"/>
            <wp:effectExtent l="0" t="0" r="0" b="0"/>
            <wp:docPr id="194"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45" descr=""/>
                    <pic:cNvPicPr>
                      <a:picLocks noChangeAspect="1" noChangeArrowheads="1"/>
                    </pic:cNvPicPr>
                  </pic:nvPicPr>
                  <pic:blipFill>
                    <a:blip r:embed="rId210"/>
                    <a:stretch>
                      <a:fillRect/>
                    </a:stretch>
                  </pic:blipFill>
                  <pic:spPr bwMode="auto">
                    <a:xfrm>
                      <a:off x="0" y="0"/>
                      <a:ext cx="13001625" cy="78962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Unico One Developments Ltd. - - - - 336.00 336.00 336.00 136.63 West Coast Realty Ltd 1,834.97 1,956.50 2,078.03 2,199.56 2,321.09 2,442.22 2,563.35 2,684.48 2,805.61 2,926.74 3,047.87 Westland Real Estate Group 5,650.47 10,354.91 2,889.17 2,604.50 6,011.23 7,129.90 2,755.27 2,266.84 2,367.38 2,487.75 1,666.71 Westwynd Realty 112.00 140.00 56.00 84.00 112.00 140.00 84.00 112.00 140.00 28.00 56.00 Woodsmere Holdings Corp. 6,216.00 - - - - - - - 6,216.00 6,216.00 6,216.00 Total 224,784.26 202,055.66 199,427.47 217,293.85 232,273.16 232,241.62 215,935.15 256,712.44 274,913.57 250,896.33 198,381.49 Percentage of total 100% 100% 100% 100% 100% 100% 100% 100% 100% 100% 100% Aged Payables Summary Payslate Inc. Contact Jan-24 Feb-24 Mar-24 Apr-24 May-24 Jun-24 Jul-24 Aug-24 Sep-24 Oct-24 Nov-24 1401598 B.C - - - - 3,000.00 6,000.00 118 Audrey You - - - - - - - - 4,000.00 125 Ayrshire Real Estate Management Inc. 31,500.00 31,500.00 31,500.00 31,500.00 31,500.00 31,500.00 31,500.00 31,500.00 31,500.00 31,500.00 31,500.00 104 BMO PAD 3,612.91 3,593.22 3,857.07 3,897.27 3,587.79 3,617.75 3,836.83 4,461.75 3,647.27 3,850.23 3,609.28 110 Borden Ladner Gervais (BLG) 95,428.64 95,428.64 95,428.64 95,428.64 95,428.64 95,428.64 95,428.64 95,428.64 95,428.64 95,428.64 95,428.64 99 Canada Life (Formerly Great West Life) - - - - - - 2,723.78 - - 2,562.13 2,562.13 123 Capterra 807.88 814.96 - 128 Certn(Canada)Inc. - - - 5.24 - 26.28 26.28 26.28 5.24 133 Domo, Inc. - - - - 3,748.50 3,759.77 - 121 Edge Credit Reporting 762.01 1,134.29 - - - - - 233.16 202.92 - 126 EKB 50,694.35 50,694.35 50,694.35 105,558.69 974.49 974.49 9,355.29 9,355.29 9,355.29 9,355.29 26,620.32 105 Fasken Martineau LLP 77,446.00 77,446.00 77,446.00 77,446.00 77,446.00 77,446.00 74,946.00 74,946.00 74,946.00 74,946.00 74,946.00 100 Fasken Martineau LLP (GBP) 1,703.52 1,713.87 1,708.96 1,719.38 1,736.54 1,731.75 1,774.50 1,771.83 1,809.27 3,592.90 3,567.24 #N/A Google Inc. 1,137.56 1,018.13 759.89 768.21 804.11 809.78 813.56 813.90 813.05 707.12 782.88 119 Google Voice Canada Corp - - - - - - - - - 30.19 31.14 135 Grant Thornton Limited 124,651.30 124,651.30 124,651.30 124,651.30 124,651.30 124,651.30 124,651.30 124,651.30 124,651.30 124,651.30 124,651.30 98 Jumpcloud 1,754.01 1,769.37 1,764.30 1,796.63 2,297.63 2,304.54 2,327.96 2,274.40 2,280.26 2,349.22 2,360.85 112 KPMG - - - - - - - - 5,617.50 95,005.05 - 107 MailChimp - - - - - - - 42.80 791.80 791.80 417.30 127 McCarthy Tétrault LLP 35,000.02 35,000.02 35,000.02 35,000.02 35,000.02 35,000.02 30,000.02 30,000.02 25,000.02 25,000.02 - 102 Minister of Finance (BC EHT) 17,197.78 17,197.78 17,197.78 17,197.78 17,197.78 17,197.78 17,197.78 17,197.78 17,197.78 17,197.78 17,197.78 106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7896225"/>
            <wp:effectExtent l="0" t="0" r="0" b="0"/>
            <wp:docPr id="195"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46" descr=""/>
                    <pic:cNvPicPr>
                      <a:picLocks noChangeAspect="1" noChangeArrowheads="1"/>
                    </pic:cNvPicPr>
                  </pic:nvPicPr>
                  <pic:blipFill>
                    <a:blip r:embed="rId211"/>
                    <a:stretch>
                      <a:fillRect/>
                    </a:stretch>
                  </pic:blipFill>
                  <pic:spPr bwMode="auto">
                    <a:xfrm>
                      <a:off x="0" y="0"/>
                      <a:ext cx="13001625" cy="78962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Minister of Finance (BC PST) 774.49 996.71 487.03 797.14 983.94 1,826.04 1,677.80 941.73 1,671.43 381.04 - 116 MRI Software, LLC - - - 3,445.05 3,407.67 3,417.92 3,452.67 3,373.22 - 114 NationWide Self Storage - - - - - - 997.10 997.10 1,172.60 1,176.60 1,176.60 124 New Relic 799.51 801.29 526.19 533.62 529.59 526.35 535.24 537.66 553.59 731.54 568.43 122 OpenVPN Inc. - - - - - - - 1,133.42 - 131 Paysafe 4.50 4.50 4.50 4.50 4.50 4.50 4.50 4.50 4.50 4.50 4.50 134 Reunion Management Consulting Group ULC 44,100.00 44,100.00 44,100.00 44,100.00 44,100.00 44,100.00 44,100.00 44,100.00 44,100.00 44,100.00 44,100.00 101 Smart &amp; Biggar - - - - - - - - - 1,411.60 1,411.60 129 Software Equity Group (SEG) 15,294.50 15,428.43 23,681.71 109 Stoel RIves LLP 3,849.72 3,883.43 120 Target Defense - - - - - - - - - 10,452.74 117 Tokenex 2,690.70 2,714.26 2,706.48 2,756.08 2,726.18 115 Techcel 9,822.06 8,541.78 7,800.07 7,479.15 11,886.15 7,974.48 8,545.49 8,160.12 7,548.23 9,156.61 15,799.25 108 TitanHQ 760.50 130 Wagepoint Payment Services Inc. - - - - - - (2,656.47) 136 Yardi Canada Ltd. 31,106.95 103 Zendesk 403.59 542.84 811.92 964.60 1,226.79 18,347.71 1,519.21 1,754.09 1,893.92 139.37 140.06 111 Total Aged Payables 519,435.05 518,975.17 520,126.21 555,049.30 462,237.62 476,645.10 452,757.48 453,704.99 454,185.37 554,521.67 478,747.99 Percentage of total 100.00% 100.00% 100.00% 100.00% 100.00% 100.00% 100.00% 100.00% 100.00% 100.00% 100.00%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7896225"/>
            <wp:effectExtent l="0" t="0" r="0" b="0"/>
            <wp:docPr id="196"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47" descr=""/>
                    <pic:cNvPicPr>
                      <a:picLocks noChangeAspect="1" noChangeArrowheads="1"/>
                    </pic:cNvPicPr>
                  </pic:nvPicPr>
                  <pic:blipFill>
                    <a:blip r:embed="rId212"/>
                    <a:stretch>
                      <a:fillRect/>
                    </a:stretch>
                  </pic:blipFill>
                  <pic:spPr bwMode="auto">
                    <a:xfrm>
                      <a:off x="0" y="0"/>
                      <a:ext cx="13001625" cy="78962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Accounts Receivable Aging Summary Payslate USA 1 2 3 4 5 6 7 8 9 10 11 FX rate 1.3397 1.357 1.355 1.3746 1.3637 1.3687 1.3809 1.3491 1.3499 1.3916 1.401 Contact Jan-24 Feb-24 Mar-24 Apr-24 May-24 Jun-24 Jul-24 Aug-24 Sep-24 Oct-24 Nov-24 Jan-24 Feb-24 Mar-24 Apr-24 May-24 Jun-24 Jul-24 Aug-24 Sep-24 Oct-24 Nov-24 Action Team Realty - - - 3,000.00 3,000.00 3,000.00 3,000.00 3,000.00 3,000.00 3,000.00 3,000.00 - - - 4,123.80 4,091.10 4,106.10 4,142.70 4,047.30 4,049.70 4,174.80 4,203.00 Apartment Owners Association of California, Inc.7,814.11 - - - - - 8,209.50 - - 0.00 0.00 10,468.56 - - - - - 11,336.50 - - - - Arbutus Quality Property Management 13.93 5.97 5.97 9.95 9.95 13.93 13.93 17.91 5.97 5.97 7.96 18.66 8.10 8.09 13.68 13.57 19.07 19.24 24.16 8.06 8.31 11.15 BlueSnap 74,134.60 64,984.97 60,810.93 51,948.69 45,226.62 40,971.46 35,313.29 35,024.57 28,489.36 19,860.32 11,118.10 99,318.12 88,184.60 82,398.81 71,408.67 61,675.54 56,077.64 48,764.12 47,251.65 38,457.79 27,637.62 15,576.46 Food Hall Enterprises, LLC 457.10 231.15 224.85 149.45 297.85 293.65 293.30 439.25 440.65 592.90 301.70 612.38 313.67 304.67 205.43 406.18 401.92 405.02 592.59 594.83 825.08 422.68 GoGo Real Estate LLC 278.00 369.00 415.00 461.00 507.00 553.00 599.00 645.00 691.00 737.00 783.00 372.44 500.73 562.33 633.69 691.40 756.89 827.16 870.17 932.78 1,025.61 1,096.98 Koncept Investments 455.00 609.56 - - - - - - - - - - Murray Hills Development Ltd 832.40 538.35 307.60 367.95 547.30 813.30 597.90 611.50 264.60 284.65 565.95 1,115.17 730.54 416.80 505.78 746.35 1,113.16 825.64 824.97 357.18 396.12 792.90 North44 Property Management - US 625.20 403.85 - - - - - - - 0.00 0.00 837.58 548.02 - - - - - - - - - Palmas Del Vista LLC 600.00 600.00 600.00 600.00 600.00 - - - 1,200.00 0.00 0.00 803.82 814.20 813.00 824.76 818.22 - - - 1,619.88 - - Seattle Furnished Suites 249.90 249.90 267.75 285.60 303.45 321.30 339.15 357.00 374.85 392.70 410.55 334.79 339.11 362.80 392.59 413.81 439.76 468.33 481.63 506.01 546.48 575.18 Total 85,460.24 67,383.19 62,632.10 56,822.64 50,492.17 45,966.64 48,366.07 40,095.23 34,466.43 24,873.54 16,187.26 114,491.08 91,438.99 84,866.50 78,108.40 68,856.17 62,914.54 66,788.71 54,092.47 46,526.23 34,614.02 22,678.35 Percentage of total 100.00% 100.00% 100.00% 100.00% 100.00% 100.00% 100.00% 100.00% 100.00% 100.00% 100.00% Accounts Payable Aging Summary Payslate USA 1 2 3 4 5 6 7 8 9 10 11 FX rate Contact Jan-24 Feb-24 Mar-24 Apr-24 May-24 Jun-24 Jul-24 Aug-24 Sep-24 Oct-24 Nov-24 e-OSCAR 30.00 30.00 30.00 60.00 60.00 30.00 30.00 - - - 40.65 41.24 40.91 82.12 82.85 - 40.50 41.75 - United Healthcare 2,570.79 2,570.79 2,570.79 2,570.79 2,570.79 2,845.40 (2,845.40) (2,845.40) 4,338.79 - 2,819.11 3,444.09 3,488.56 3,483.42 3,533.81 3,505.79 3,894.50 (3,929.21) (3,838.73) 5,856.93 - 3,949.57 Total 2,570.79 2,570.79 2,600.79 2,600.79 2,600.79 2,905.40 (2,785.40) (2,845.40) 4,368.79 30.00 2,819.11 3,444.09 3,488.56 3,524.07 3,575.05 3,546.70 3,976.62 (3,846.36) (3,838.73) 5,897.43 41.75 3,949.57 Percentage of total 100.00% 100.00% 100.00% 100.00% 100.00% 100.00% 100.00% 100.00% 100.00% 100.00% 100.00%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7896225"/>
            <wp:effectExtent l="0" t="0" r="0" b="0"/>
            <wp:docPr id="197"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148" descr=""/>
                    <pic:cNvPicPr>
                      <a:picLocks noChangeAspect="1" noChangeArrowheads="1"/>
                    </pic:cNvPicPr>
                  </pic:nvPicPr>
                  <pic:blipFill>
                    <a:blip r:embed="rId213"/>
                    <a:stretch>
                      <a:fillRect/>
                    </a:stretch>
                  </pic:blipFill>
                  <pic:spPr bwMode="auto">
                    <a:xfrm>
                      <a:off x="0" y="0"/>
                      <a:ext cx="13001625" cy="78962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Working Capital Calculation As of November 30, 2024 1.348 1.35 1.3397 1.357 1.355 1.3746 1.3637 1.3687 1.3809 1.3491 1.3499 1.3916 1.401 Account Nov 30, 2023 Dec 31, 2023 Jan 31, 2024 Feb 29, 2024 Mar 31, 2024 Apr 30, 2024 May 31, 2024 Jun 30, 2024 Jul 31, 2024 Aug 31, 2024 Sep 30, 2024 Oct 31, 2024 Nov 30, 2024 Assets Current Assets Cash and Cash Equivalents Bank of America - SaaS 100.00 100.00 100.00 100.00 100.00 100.00 100.00 100.00 100.00 100.00 100.00 100.00 100.00 BMO - Vantiv USD (HARRIS DDA) 86,496.25 9,004.84 2,299.82 897.78 738.17 751.59 1,031.07 1,014.03 831.08 2,840.98 7,397.34 684.18 588.05 BMO Operating (HARRIS DDA) 7,631.64 31,956.84 2,904.95 14,410.21 13,156.66 1,112.78 6,836.06 6,646.82 11,204.73 14,101.63 7,284.02 2,937.50 3,910.17 RBC US Dollar Visa - Karthik 18.75 18.75 18.75 18.75 18.75 18.75 18.75 18.75 18.75 18.75 18.75 18.75 18.75 Total Cash and Cash Equivalents 94,246.64 41,080.43 5,323.52 15,426.74 14,013.58 1,983.12 7,985.88 7,779.60 12,154.56 17,061.36 14,800.11 3,740.43 4,616.97 Accounts Receivable 11,503.76 50,625.66 85,460.24 67,383.19 62,632.10 53,822.64 50,492.17 45,966.64 48,366.07 40,095.23 34,466.43 24,873.54 16,088.91 Bluesnap monthly net payout receivable 93,044.01 43,024.20 0.00 0.00 0.00 0.00 0.00 0.00 0.00 0.00 0.00 0.00 11,079.27 Deposits Made 15,000.00 15,000.00 15,000.00 15,000.00 15,000.00 15,000.00 15,000.00 15,000.00 15,000.00 15,000.00 15,000.00 15,000.00 15,000.00 Prepaid Expenses 12,459.81 12,146.33 11,832.85 11,519.37 11,205.89 20,610.19 20,610.19 20,610.19 20,610.19 20,610.19 20,610.19 20,610.19 20,610.19 Receivable Interdivision Transactions - Payslate Inc. 167,655.27 200,871.28 231,394.87 255,671.43 276,113.63 300,302.63 300,421.23 300,421.23 300,968.53 301,234.53 301,859.96 302,222.91 302,222.91 Shareholder Loan (93.50) (93.50) (93.50) (93.50) (93.50) (93.50) (93.50) (93.50) (93.50) (93.50) (93.50) (93.50) (93.50) Total Current Assets 393,815.99 362,654.40 348,917.98 364,907.23 378,871.70 391,625.08 394,415.97 389,684.16 397,005.85 393,907.81 386,643.19 366,353.57 369,524.75 Liabilities and Equity Liabilities Current Liabilities Accounts Payable 2,570.79 2,570.79 2,570.79 2,570.79 2,600.79 2,600.79 2,600.79 2,905.40 (2,785.40) (2,845.40) 4,368.79 30.00 2,819.11 Bank of America 1,070.76 1,070.76 1,070.76 1,070.76 1,070.76 1,070.76 1,070.76 1,070.76 0.00 0.00 0.00 0.00 0.00 Bank of America- Savings 25.25 25.25 25.25 25.25 25.25 25.25 25.25 25.25 0.00 0.00 0.00 0.00 0.00 Bluesnap monthly net payout payable 84,060.25 36,408.74 0.00 0.00 0.00 0.00 0.00 0.00 0.00 0.00 0.00 0.00 0.00 Business Fundamentals #1 26.00 26.00 26.00 26.00 26.00 26.00 26.00 26.00 0.00 0.00 0.00 0.00 0.00 Business Fundamentals #2 26.00 26.00 26.00 26.00 26.00 26.00 26.00 26.00 0.00 0.00 0.00 0.00 0.00 Deferred Revenue - Credit Reporting (BlueSnap) 3,555.02 2,648.03 2,643.34 2,585.21 2,683.95 2,724.29 2,689.19 2,293.96 2,153.75 1,946.52 1,831.72 1,825.43 1,872.38 Deferred Revenue - Credit Reporting (Paysafe) 2,102.89 1,565.77 1,073.70 638.52 320.20 161.80 50.04 0.00 0.00 0.00 0.00 0.00 0.00 Deferred Revenue - SaaS 4,845.35 4,153.16 3,460.97 2,768.78 2,076.59 1,384.40 3,442.21 2,500.02 5,000.02 4,500.02 5,200.02 4,698.37 4,000.02 Employee Wages Payable 46,673.96 46,673.96 46,673.96 46,673.96 46,673.96 46,673.96 46,673.96 46,673.96 46,673.96 46,673.96 46,673.96 46,673.96 46,673.96 Other Payable 15,515.96 15,515.96 15,515.96 15,515.96 15,515.96 15,515.96 15,515.96 15,515.96 15,515.96 15,515.96 15,515.96 15,515.96 15,515.96 Payable Interdivision Transactions - Payslate Inc. 78,343.48 78,343.48 86,673.48 95,835.32 103,465.32 108,600.32 108,600.32 110,490.32 115,705.32 117,700.32 119,380.32 121,130.32 138,639.10 Rounding (3.17) (3.17) (3.17) (3.17) (3.16) (3.17) (3.17) (3.17) (3.17) (3.17) (3.17) (3.17) (3.17) Vacation Payable 794.16 765.63 443.59 603.85 764.11 924.37 700.00 860.26 1,020.52 1,180.78 956.42 924.36 507.69 Total Current Liabilities 239,606.70 189,790.36 160,200.63 168,337.23 175,245.73 179,730.73 181,417.31 182,384.72 183,280.96 184,668.99 193,924.02 190,795.23 210,025.05 Payslate USA Assets Current Assets Cash and Cash Equivalents Bank of America - SaaS 134.80 135.00 133.97 135.70 135.50 137.46 136.37 136.87 138.09 134.91 134.99 139.16 140.10 BMO - Vantiv USD (HARRIS DDA) 116,596.95 12,156.53 3,081.07 1,218.29 1,000.22 1,033.14 1,406.07 1,387.90 1,147.64 3,832.77 9,985.67 952.10 823.86 BMO Operating (HARRIS DDA) 10,287.45 43,141.73 3,891.76 19,554.65 17,827.27 1,529.63 9,322.34 9,097.50 15,472.61 19,024.51 9,832.70 4,087.83 5,478.15 RBC US Dollar Visa - Karthik 25.28 25.31 25.12 25.44 25.41 25.77 25.57 25.66 25.89 25.30 25.31 26.09 26.27 Total Cash and Cash Equivalents 127,044.47 55,458.58 7,131.92 20,934.09 18,988.40 2,726.00 10,890.34 10,647.94 16,784.23 23,017.48 19,978.67 5,205.18 6,468.37 Accounts Receivable 15,507.07 68,344.64 114,491.08 91,438.99 84,866.50 78,108.40 68,856.17 62,914.54 66,788.71 54,092.47 46,526.23 34,614.02 22,678.35 Bluesnap monthly net payout receivable 125,423.33 58,082.67 0.00 0.00 0.00 0.00 0.00 0.00 0.00 0.00 0.00 0.00 15,522.06 Deposits Made 20,220.00 20,250.00 20,095.50 20,355.00 20,325.00 20,619.00 20,455.50 20,530.50 20,713.50 20,236.50 20,248.50 20,874.00 21,015.00 Prepaid Expenses 16,795.82 16,397.55 15,852.47 15,631.79 15,183.98 28,330.77 28,106.12 28,209.17 28,460.61 27,805.21 27,821.70 28,681.14 28,874.88 Receivable Interdivision Transactions - Payslate Inc. 225,999.30 271,176.23 309,999.71 346,946.13 374,133.97 412,796.00 409,684.43 411,186.54 415,607.44 406,395.50 407,480.76 420,573.40 423,414.30 Shareholder Loan (126.04) (126.23) (125.26) (126.88) (126.69) (128.53) (127.51) (127.97) (129.11) (126.14) (126.22) (130.11) (130.99) Total Current Assets 403,819.48 434,124.86 460,313.50 474,245.02 494,382.75 539,725.64 526,974.71 522,712.77 531,441.15 508,403.55 501,950.97 504,612.45 511,373.59 Liabilities and Equity Liabilities Current Liabilities Accounts Payable 3,465.42 3,470.57 3,444.09 3,488.56 3,524.07 3,575.05 3,546.70 3,976.62 (3,846.36) (3,838.73) 5,897.43 41.75 3,949.57 Bank of America 1,443.38 1,445.53 1,434.50 1,453.02 1,450.88 1,471.87 1,460.20 1,465.55 0.00 0.00 0.00 0.00 0.00 Bank of America- Savings 34.04 34.09 33.83 34.26 34.21 34.71 34.43 34.56 0.00 0.00 0.00 0.00 0.00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7896225"/>
            <wp:effectExtent l="0" t="0" r="0" b="0"/>
            <wp:docPr id="198"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49" descr=""/>
                    <pic:cNvPicPr>
                      <a:picLocks noChangeAspect="1" noChangeArrowheads="1"/>
                    </pic:cNvPicPr>
                  </pic:nvPicPr>
                  <pic:blipFill>
                    <a:blip r:embed="rId214"/>
                    <a:stretch>
                      <a:fillRect/>
                    </a:stretch>
                  </pic:blipFill>
                  <pic:spPr bwMode="auto">
                    <a:xfrm>
                      <a:off x="0" y="0"/>
                      <a:ext cx="13001625" cy="78962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Bluesnap monthly net payout payable 113,313.22 49,151.80 0.00 0.00 0.00 0.00 0.00 0.00 0.00 0.00 0.00 0.00 0.00 Business Fundamentals #1 35.05 35.10 34.83 35.28 35.23 35.74 35.46 35.59 0.00 0.00 0.00 0.00 0.00 Business Fundamentals #2 35.05 35.10 34.83 35.28 35.23 35.74 35.46 35.59 0.00 0.00 0.00 0.00 0.00 Deferred Revenue - Credit Reporting (BlueSnap) 4,792.17 3,574.84 3,541.28 3,508.13 3,636.75 3,744.81 3,667.25 3,139.74 2,974.11 2,626.05 2,472.64 2,540.27 2,623.20 Deferred Revenue - Credit Reporting (Paysafe) 2,834.70 2,113.79 1,438.44 866.47 433.87 222.41 68.24 0.00 0.00 0.00 0.00 0.00 0.00 Deferred Revenue - SaaS 6,531.53 5,606.77 4,636.66 3,757.23 2,813.78 1,903.00 4,694.14 3,421.78 6,904.53 6,070.98 7,019.51 6,538.25 5,604.03 Employee Wages Payable 62,916.50 63,009.85 62,529.10 63,336.56 63,243.22 64,158.03 63,649.28 63,882.65 64,452.07 62,967.84 63,005.18 64,951.48 65,390.22 Other Payable 20,915.51 20,946.55 20,786.73 21,055.16 21,024.13 21,328.24 21,159.11 21,236.69 21,425.99 20,932.58 20,944.99 21,592.01 21,737.86 Payable Interdivision Transactions - Payslate Inc. 105,607.01 105,763.70 116,116.46 130,048.53 140,195.51 149,282.00 148,098.26 151,228.10 159,777.48 158,789.50 161,151.49 168,564.95 194,233.38 Rounding (4.27) (4.28) (4.25) (4.30) (4.28) (4.36) (4.32) (4.34) (4.38) (4.28) (4.28) (4.41) (4.44) Vacation Payable 1,070.53 1,033.60 594.28 819.42 1,035.37 1,270.64 954.59 1,177.44 1,409.24 1,592.99 1,291.07 1,286.34 711.27 Total Current Liabilities 322,989.83 256,216.99 214,620.78 228,433.62 237,457.96 247,057.86 247,398.79 249,629.97 253,092.68 249,136.93 261,778.03 265,510.64 294,245.10 Payslate USA Bank BMO Operating and BMO PAD Acct 0.00 4,118.91 2,015.95 2,503.12 6,706.88 2,339.17 2,741.57 3,658.10 995.75 6,579.65 2,884.95 3,516.81 6,877.41 BMO RM Bluesnap PP Account 911.16 2,595.20 505.44 1,148.55 1,792.34 2,796.09 3,732.91 498.25 786.11 705.20 2,211.23 1,083.84 835.26 BMO RM Paysafe PP Account 893.02 893.02 0.00 0.00 0.00 0.00 0.00 0.00 0.00 0.00 0.00 0.00 0.00 RBC Bluesnap PP Canada 147,557.89 53,898.24 903.24 179.69 618.65 558.12 384.53 152.96 379.70 476.05 107.04 484.49 663.10 RBC Current Segregated share redemption account 798.75 761.75 0.00 0.00 0.00 0.00 0.00 0.00 0.00 0.00 0.00 0.00 0.00 RBC Operating Account 88,784.88 12,006.25 55,323.94 44,025.74 38,434.89 60,814.75 58,697.73 28,155.67 22,577.70 34,252.64 44,582.99 67,305.48 313,547.99 RBC RM Paysafe AMEX PP 480.49 474.49 0.00 0.00 0.00 0.00 0.00 0.00 0.00 0.00 0.00 0.00 0.00 RBC SaaS Revenue Account 82.55 871.65 1,188.19 84.60 7,854.80 1,240.71 284.13 459.58 2,220.78 169.18 9,103.70 963.55 6,438.20 RBC USD Bank Account 6,671.03 10,133.09 9,906.65 8,770.77 8,269.10 6,468.62 6,500.89 6,507.54 7,048.65 7,232.63 7,609.99 8,101.31 7,064.05 Total Bank 246,179.77 85,752.60 69,843.41 56,712.47 63,676.66 74,217.46 72,341.76 39,432.10 34,008.69 49,415.35 66,499.90 81,455.48 335,426.01 Current Assets Accounts Receivable 91,907.43 184,517.49 224,784.26 202,055.65 199,427.47 217,293.85 232,273.16 232,241.62 215,935.15 256,712.44 274,913.57 250,896.33 198,381.49 Bluesnap monthly net payout receivable 94,327.45 41,697.16 0.00 0.00 0.00 0.00 0.00 0.00 0.00 0.00 0.00 0.00 58,091.22 Investment in RentMoola Payment Solutions Ltd. 182.86 182.86 182.86 182.86 182.86 182.86 182.86 182.86 182.86 182.86 182.86 182.86 182.86 Other Receivables 0.00 0.00 0.00 0.00 0.00 0.00 185,000.00 185,000.00 111,000.00 5,000.00 3,019.06 0.00 0.00 Paysafe NetBanx Merchant Account - 99895845 (248.74) (248.74) (248.74) (248.74) (248.74) (248.74) (248.74) (248.74) (248.74) (248.74) (248.74) (248.74) (248.74) Paysafe NetBanx Merchant Account - 99908118 (11,983.65) (11,983.65) (11,983.65) (11,983.65) (11,983.65) (11,983.65) (11,983.65) (11,983.65) (11,983.65) (11,983.65) (11,983.65) (11,983.65) (11,983.65) Prepaid Expenses 78,282.55 74,353.02 68,534.27 62,715.52 57,992.41 52,294.12 54,657.77 56,745.31 51,311.05 51,405.50 47,717.23 53,119.32 80,486.39 RBC - GIC Acct. 20,000.00 20,000.00 20,000.00 20,000.00 20,000.00 20,000.00 20,000.00 20,000.00 20,000.00 20,000.00 20,000.00 20,000.00 20,000.00 Tenant Rent Receivable (BMO PAD) 23,019.54 13,009.56 14,419.56 10,584.56 7,684.56 7,684.56 7,684.56 7,684.56 7,684.56 11,474.56 11,474.56 12,594.56 12,458.56 Total Current Assets 295,487.44 321,527.70 315,688.56 283,306.20 273,054.91 285,223.00 487,565.96 489,621.96 393,881.23 332,542.97 345,074.89 324,560.68 357,368.13 Liabilities Current Liabilities Accounts Payable 568,537.80 548,768.80 519,435.08 518,975.17 520,126.25 555,049.33 462,237.60 476,645.09 452,757.47 453,705.00 454,185.35 554,521.66 478,747.99 Ayrshire Revolving Loan 731,294.00 731,294.00 841,294.00 916,294.00 981,294.00 1,057,294.00 0.00 0.00 0.00 0.00 0.00 0.00 0.00 Ayrshire Senior Secured Term Facility 1,673,891.16 1,673,891.16 1,673,891.16 1,673,891.16 1,673,891.16 1,673,891.16 0.00 0.00 0.00 0.00 0.00 0.00 0.00 Bluesnap monthly net payout payable 147,549.93 103,865.66 53,892.80 0.00 0.00 0.00 0.00 0.00 0.00 0.00 0.00 59,691.20 87,742.02 BMO Operating and BMO PAD Acct 1,387.72 0.00 0.00 0.00 0.00 0.00 0.00 0.00 0.00 0.00 0.00 0.00 0.00 Deferred Revenue - Credit Reporting (BlueSnap) 4,288.41 4,488.71 4,849.04 4,861.67 4,824.07 5,059.79 5,150.52 5,005.99 5,332.03 5,741.54 7,089.96 8,664.87 9,056.20 Deferred Revenue - Credit Reporting (Paysafe) 1,065.71 714.33 468.66 297.92 162.11 71.21 25.22 0.00 0.00 0.00 0.00 0.00 0.00 Deferred Revenue - SaaS 17,624.77 17,919.26 14,903.15 13,643.67 13,846.09 11,087.93 11,206.76 12,272.59 12,845.03 10,608.67 17,917.32 16,450.15 14,897.68 Expense Payable 0.00 0.00 0.00 0.00 0.00 0.00 0.00 0.00 0.00 0.00 105,000.00 105,000.00 0.00 GST/HST Payable 1,682.31 2,425.85 735.24 1,414.80 2,084.91 792.44 1,493.68 2,477.04 3,304.27 1,523.58 2,824.19 757.26 1,502.30 Interest Payable - Ayrshire Revolving Loan 29,150.04 36,603.23 44,283.27 52,531.22 61,976.74 71,755.20 0.00 0.00 0.00 0.00 0.00 0.00 0.00 Interest Payable - Ayrshire Senior Secured Term Facility 108,963.43 126,023.36 143,083.29 159,042.58 176,102.51 192,612.12 0.00 0.00 0.00 0.00 0.00 0.00 0.00 PST Payable 388.50 388.50 (90.72) 0.00 0.00 0.00 0.00 0.00 0.00 0.00 0.00 0.00 217.01 RBC - Corp. Credit Card (cancelled) 2,102.52 2,102.52 2,102.52 2,102.52 2,102.52 2,102.52 2,102.52 2,102.52 2,102.52 2,102.52 2,102.52 2,102.52 2,102.52 RBC Corporate CC - 0641 (active) 15,372.39 15,309.22 15,399.63 12,988.05 13,314.83 15,139.93 15,945.36 11,300.73 15,825.08 14,657.59 17,539.22 13,691.51 12,569.98 Rounding 0.00 0.00 0.00 0.00 0.00 0.00 0.00 0.00 0.00 0.00 0.00 0.00 (0.01) Tenant Rent Funds Collected (Geoswift &amp; Loadhub) 3,283.28 2,260.00 1,010.00 1,510.00 1,410.00 1,010.00 5,469.30 1,010.00 1,010.00 10,591.13 650.00 2,115.00 7,110.00 Vacation Payable 46,506.70 40,567.32 43,243.32 48,869.32 49,711.20 53,753.55 54,746.13 58,682.94 50,062.06 48,364.25 53,208.75 54,514.78 56,616.97 Total Current Liabilities 3,353,088.67 3,306,621.92 3,358,500.44 3,406,422.08 3,500,846.39 3,639,619.18 558,377.09 569,496.90 543,238.46 547,294.28 660,517.31 817,508.95 670,562.66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9"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50" descr=""/>
                    <pic:cNvPicPr>
                      <a:picLocks noChangeAspect="1" noChangeArrowheads="1"/>
                    </pic:cNvPicPr>
                  </pic:nvPicPr>
                  <pic:blipFill>
                    <a:blip r:embed="rId2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- 3 - 1390-1182-7473.14 EXHIBIT D SAMPLE GROSS PROFIT CALCULATION See attached.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0"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51" descr=""/>
                    <pic:cNvPicPr>
                      <a:picLocks noChangeAspect="1" noChangeArrowheads="1"/>
                    </pic:cNvPicPr>
                  </pic:nvPicPr>
                  <pic:blipFill>
                    <a:blip r:embed="rId2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Gross Profit Calculation CAD Payslate Inc. Account 2023 2024 YTD Revenue(1) SaaS Revenue 118,513.69 124,234.80 Settlement Revenues (Amex) 40.70 0.00 Settlement Revenues (Background Check Direct bill to PM) 150.00 0.00 Settlement Revenues (BlueSnap - Monthly Invoice) 1,418,047.30 1,913,030.83 Settlement Revenues (BlueSnap- Credit Reporting) 1,496.73 10,236.01 Settlement Revenues (BMO PAD) 7,225.99 1,528.05 Settlement Revenues (Direct bill to PM) 244,319.04 262,170.69 Settlement Revenues (Geoswift and loadhub) 1,497.16 963.35 Settlement Revenues (NSF Fees Direct bill to PM) 84,734.49 34,462.62 Settlement Revenues (Paypal) 0.00 0.00 Settlement Revenues (Paysafe - Credit Reporting) 5,924.67 714.33 Settlement Revenues (Paysafe - Monthly Invoice) 131,911.33 0.00 Settlement Revenues (Paysafe - Splitpay) 518,135.66 0.00 Settlement Revenues (Vantiv) 0.00 0.00 Tenant Insurance - Apollo 0.00 0.00 Tenant Insurance - Nuera 0.00 0.00 Total Trading Income 2,531,996.76 2,347,340.68 Cost of Goods Sold(2) Merchant Test Transaction Expense 527.34 103.20 Transaction Fees - Deficiencies with Account Management 929.87 1,406.87 Transaction Fees (Amex) 94.89 0.00 Transaction fees (Background Checking) 114.76 161.14 Transaction Fees (BlueSnap - Monthly Invoice) 889,041.14 1,201,187.78 Transaction Fees (BMO PAD) 1,104.19 496.41 Transaction Fees (Credit Reporting) 5,252.50 3,190.13 Transaction Fees (Geoswift and Loadhub) 793.30 637.36 Transaction Fees (Paypal) 0.00 0.00 Transaction Fees (Paysafe - Monthly Invoice) 140,788.93 0.00 Transaction Fees (Paysafe - Splitpay) 375,835.84 0.00 Transaction Fees (Stripe - SaaS payments) 1,469.27 2,470.77 Transaction fees (Txt2Pay) 7,754.13 7,242.52 Transaction Fees (Vantiv) 0.00 0.00 Transactions Fees: Other Costs (Revenue Share) 0.00 5,906.75 Total Cost of Sales 1,423,706.16 1,222,802.93 Gross Profit 1,108,290.60 1,124,537.75 (1) Includes all historical revenue accounts in Xero not listed (2) Only includes third party denominated transaction costs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1"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152" descr=""/>
                    <pic:cNvPicPr>
                      <a:picLocks noChangeAspect="1" noChangeArrowheads="1"/>
                    </pic:cNvPicPr>
                  </pic:nvPicPr>
                  <pic:blipFill>
                    <a:blip r:embed="rId2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Gross Profit Calculation USD Payslate USA Account 2023 2024 YTD Revenue(1) Advertising Revenue 0.00 0.00 SaaS Revenue 15,009.12 15,153.84 SaaS Revenue - One time set-up fee (1,000.00) 0.00 Settlement Revenue (Pay Near Me) 1.30 0.00 Settlement Revenues (BlueSnap - Credit Reporting) 1,194.77 4,672.34 Settlement Revenues (BlueSnap - Monthly Invoice) 660,985.57 447,071.52 Settlement Revenues (Direct bill to PM) 20,339.09 3,211.74 Settlement Revenues (Paypal) 0.00 0.00 Settlement Revenues (Paysafe - Credit Reporting) 9,268.84 1,565.77 Settlement Revenues (Paysafe - Monthly Invoice) 1,969.04 0.00 Settlement Revenues (Paysafe - Splitpay NSF) 0.00 0.00 Settlement Revenues (Paysafe - Splitpay) 292,959.25 0.00 Settlement Revenues: Vantiv 0.00 0.00 Total Income 1,000,726.98 471,675.21 Cost of Goods Sold(2) Service Fee Expense 0.00 0.00 Test Transaction Expense 33.99 8.11 Transaction Fees - SaaS returned payments 0.00 0.00 Transaction Fees (BlueSnap - Monthly Invoice) 279,667.34 218,378.45 Transaction fees (Credit Reporting) 0.00 0.00 Transaction Fees (Deficiencies with Account Management) 775.00 0.00 Transaction Fees (PayNearMe) 0.00 0.00 Transaction Fees (Paypal) 0.00 0.00 Transaction Fees (Paysafe - Monthly Invoice) 1,313.27 0.00 Transaction Fees (Paysafe - Splitpay) 198,780.68 45.00 Transaction Fees (Revenue Share) 0.00 0.00 Transaction fees (Txt2Pay) 71.10 0.00 Transaction Fees (Vantiv) 0.00 0.00 Total Cost of Goods Sold 480,641.38 218,431.56 Gross Profit 520,085.60 253,243.65 (1) Includes all historical revenue accounts in Xero not listed (2) Only includes third party denominated transaction costs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44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31.1</w:t>
      </w:r>
    </w:p>
    <w:p>
      <w:pPr>
        <w:pStyle w:val="TextBody"/>
        <w:bidi w:val="0"/>
        <w:spacing w:lineRule="auto" w:line="448" w:before="0" w:after="0"/>
        <w:jc w:val="center"/>
        <w:rPr>
          <w:rFonts w:ascii="Times New Roman;serif" w:hAnsi="Times New Roman;serif"/>
          <w:b/>
          <w:color w:val="000000"/>
          <w:sz w:val="20"/>
        </w:rPr>
      </w:pPr>
      <w:r>
        <w:rPr>
          <w:rFonts w:ascii="Times New Roman;serif" w:hAnsi="Times New Roman;serif"/>
          <w:b/>
          <w:color w:val="000000"/>
          <w:sz w:val="20"/>
        </w:rPr>
        <w:t>CERTIFICATION OF PRINCIPAL EXECUTIVE OFFICER PURSUANT TO</w:t>
      </w:r>
    </w:p>
    <w:p>
      <w:pPr>
        <w:pStyle w:val="TextBody"/>
        <w:bidi w:val="0"/>
        <w:spacing w:lineRule="auto" w:line="448" w:before="0" w:after="0"/>
        <w:jc w:val="center"/>
        <w:rPr>
          <w:rFonts w:ascii="Times New Roman;serif" w:hAnsi="Times New Roman;serif"/>
          <w:b/>
          <w:color w:val="000000"/>
          <w:sz w:val="20"/>
        </w:rPr>
      </w:pPr>
      <w:r>
        <w:rPr>
          <w:rFonts w:ascii="Times New Roman;serif" w:hAnsi="Times New Roman;serif"/>
          <w:b/>
          <w:color w:val="000000"/>
          <w:sz w:val="20"/>
        </w:rPr>
        <w:t>EXCHANGE ACT RULE 13a-14(a) AS ADOPTED PURSUANT TO</w:t>
      </w:r>
    </w:p>
    <w:p>
      <w:pPr>
        <w:pStyle w:val="TextBody"/>
        <w:bidi w:val="0"/>
        <w:spacing w:lineRule="auto" w:line="448" w:before="0" w:after="0"/>
        <w:jc w:val="center"/>
        <w:rPr>
          <w:rFonts w:ascii="Times New Roman;serif" w:hAnsi="Times New Roman;serif"/>
          <w:b/>
          <w:color w:val="000000"/>
          <w:sz w:val="20"/>
        </w:rPr>
      </w:pPr>
      <w:r>
        <w:rPr>
          <w:rFonts w:ascii="Times New Roman;serif" w:hAnsi="Times New Roman;serif"/>
          <w:b/>
          <w:color w:val="000000"/>
          <w:sz w:val="20"/>
        </w:rPr>
        <w:t>SECTION 303 OF THE SARBANES-OXLEY ACT OF 2002</w:t>
      </w:r>
    </w:p>
    <w:p>
      <w:pPr>
        <w:pStyle w:val="TextBody"/>
        <w:bidi w:val="0"/>
        <w:spacing w:before="0" w:after="0"/>
        <w:jc w:val="center"/>
        <w:rPr/>
      </w:pPr>
      <w:r>
        <w:rPr/>
      </w:r>
    </w:p>
    <w:p>
      <w:pPr>
        <w:pStyle w:val="TextBody"/>
        <w:bidi w:val="0"/>
        <w:spacing w:lineRule="auto" w:line="448" w:before="0" w:after="0"/>
        <w:jc w:val="left"/>
        <w:rPr>
          <w:rFonts w:ascii="Times New Roman;serif" w:hAnsi="Times New Roman;serif"/>
          <w:b w:val="false"/>
          <w:color w:val="000000"/>
          <w:sz w:val="20"/>
        </w:rPr>
      </w:pPr>
      <w:r>
        <w:rPr>
          <w:rFonts w:ascii="Times New Roman;serif" w:hAnsi="Times New Roman;serif"/>
          <w:b w:val="false"/>
          <w:color w:val="000000"/>
          <w:sz w:val="20"/>
        </w:rPr>
        <w:t>I, Thomas C. Priore, certify that:</w:t>
      </w:r>
    </w:p>
    <w:p>
      <w:pPr>
        <w:pStyle w:val="TextBody"/>
        <w:bidi w:val="0"/>
        <w:spacing w:before="0" w:after="0"/>
        <w:jc w:val="left"/>
        <w:rPr/>
      </w:pPr>
      <w:r>
        <w:rPr/>
      </w:r>
    </w:p>
    <w:p>
      <w:pPr>
        <w:pStyle w:val="TextBody"/>
        <w:bidi w:val="0"/>
        <w:spacing w:lineRule="auto" w:line="44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Priority Technology Holdings, Inc.;</w:t>
      </w:r>
    </w:p>
    <w:p>
      <w:pPr>
        <w:pStyle w:val="TextBody"/>
        <w:bidi w:val="0"/>
        <w:spacing w:before="0" w:after="0"/>
        <w:jc w:val="left"/>
        <w:rPr/>
      </w:pPr>
      <w:r>
        <w:rPr/>
      </w:r>
    </w:p>
    <w:p>
      <w:pPr>
        <w:pStyle w:val="TextBody"/>
        <w:bidi w:val="0"/>
        <w:spacing w:lineRule="auto" w:line="44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44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44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44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44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44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448"/>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44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31.1</w:t>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75260"/>
                <wp:effectExtent l="0" t="0" r="0" b="0"/>
                <wp:wrapNone/>
                <wp:docPr id="202"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44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44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(e)All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44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(f)Any fraud, whether or not material, that involves management or other employees who have a significant role in the registrant's internal control over financial reporting.</w:t>
      </w:r>
    </w:p>
    <w:tbl>
      <w:tblPr>
        <w:tblW w:w="4650" w:type="dxa"/>
        <w:jc w:val="left"/>
        <w:tblInd w:w="0" w:type="dxa"/>
        <w:tblLayout w:type="fixed"/>
        <w:tblCellMar>
          <w:top w:w="28" w:type="dxa"/>
          <w:left w:w="28" w:type="dxa"/>
          <w:bottom w:w="28" w:type="dxa"/>
          <w:right w:w="28" w:type="dxa"/>
        </w:tblCellMar>
      </w:tblPr>
      <w:tblGrid>
        <w:gridCol w:w="493"/>
        <w:gridCol w:w="435"/>
        <w:gridCol w:w="437"/>
        <w:gridCol w:w="960"/>
        <w:gridCol w:w="960"/>
        <w:gridCol w:w="1365"/>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3285" w:type="dxa"/>
            <w:gridSpan w:val="3"/>
            <w:tcBorders/>
            <w:tcMar>
              <w:top w:w="0" w:type="dxa"/>
              <w:left w:w="0" w:type="dxa"/>
              <w:bottom w:w="0" w:type="dxa"/>
              <w:right w:w="0" w:type="dxa"/>
            </w:tcMar>
            <w:vAlign w:val="center"/>
          </w:tcPr>
          <w:p>
            <w:pPr>
              <w:pStyle w:val="TableContents"/>
              <w:bidi w:val="0"/>
              <w:spacing w:lineRule="atLeast" w:line="200" w:before="53" w:after="30"/>
              <w:jc w:val="center"/>
              <w:rPr>
                <w:rFonts w:ascii="Times New Roman;serif" w:hAnsi="Times New Roman;serif"/>
                <w:b w:val="false"/>
                <w:color w:val="000000"/>
                <w:sz w:val="20"/>
              </w:rPr>
            </w:pPr>
            <w:r>
              <w:rPr>
                <w:rFonts w:ascii="Times New Roman;serif" w:hAnsi="Times New Roman;serif"/>
                <w:b w:val="false"/>
                <w:color w:val="000000"/>
                <w:sz w:val="20"/>
              </w:rPr>
              <w:t>/s/ THOMAS C. PRIORE</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13" w:after="30"/>
              <w:jc w:val="center"/>
              <w:rPr>
                <w:rFonts w:ascii="Times New Roman;serif" w:hAnsi="Times New Roman;serif"/>
                <w:b w:val="false"/>
                <w:color w:val="000000"/>
                <w:sz w:val="20"/>
              </w:rPr>
            </w:pPr>
            <w:r>
              <w:rPr>
                <w:rFonts w:ascii="Times New Roman;serif" w:hAnsi="Times New Roman;serif"/>
                <w:b w:val="false"/>
                <w:color w:val="000000"/>
                <w:sz w:val="20"/>
              </w:rPr>
              <w:t>Thomas C. Priore</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lineRule="auto" w:line="240" w:before="53" w:after="30"/>
              <w:jc w:val="center"/>
              <w:rPr>
                <w:rFonts w:ascii="Times New Roman;serif" w:hAnsi="Times New Roman;serif"/>
                <w:b w:val="false"/>
                <w:i/>
                <w:color w:val="000000"/>
                <w:sz w:val="20"/>
              </w:rPr>
            </w:pPr>
            <w:r>
              <w:rPr>
                <w:rFonts w:ascii="Times New Roman;serif" w:hAnsi="Times New Roman;serif"/>
                <w:b w:val="false"/>
                <w:i/>
                <w:color w:val="000000"/>
                <w:sz w:val="20"/>
              </w:rPr>
              <w:t>Chief Executive Officer and Chairman</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lineRule="auto" w:line="240" w:before="53" w:after="30"/>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44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31.2</w:t>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75260"/>
                <wp:effectExtent l="0" t="0" r="0" b="0"/>
                <wp:wrapNone/>
                <wp:docPr id="203"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448" w:before="0" w:after="0"/>
        <w:jc w:val="center"/>
        <w:rPr>
          <w:rFonts w:ascii="Times New Roman;serif" w:hAnsi="Times New Roman;serif"/>
          <w:b/>
          <w:color w:val="000000"/>
          <w:sz w:val="20"/>
        </w:rPr>
      </w:pPr>
      <w:r>
        <w:rPr>
          <w:rFonts w:ascii="Times New Roman;serif" w:hAnsi="Times New Roman;serif"/>
          <w:b/>
          <w:color w:val="000000"/>
          <w:sz w:val="20"/>
        </w:rPr>
        <w:t>CERTIFICATION OF PRINCIPAL FINANCIAL OFFICER PURSUANT TO</w:t>
      </w:r>
    </w:p>
    <w:p>
      <w:pPr>
        <w:pStyle w:val="TextBody"/>
        <w:bidi w:val="0"/>
        <w:spacing w:lineRule="auto" w:line="448" w:before="0" w:after="0"/>
        <w:jc w:val="center"/>
        <w:rPr>
          <w:rFonts w:ascii="Times New Roman;serif" w:hAnsi="Times New Roman;serif"/>
          <w:b/>
          <w:color w:val="000000"/>
          <w:sz w:val="20"/>
        </w:rPr>
      </w:pPr>
      <w:r>
        <w:rPr>
          <w:rFonts w:ascii="Times New Roman;serif" w:hAnsi="Times New Roman;serif"/>
          <w:b/>
          <w:color w:val="000000"/>
          <w:sz w:val="20"/>
        </w:rPr>
        <w:t>EXCHANGE ACT RULE 13a-14(a) AS ADOPTED PURSUANT TO</w:t>
      </w:r>
    </w:p>
    <w:p>
      <w:pPr>
        <w:pStyle w:val="TextBody"/>
        <w:bidi w:val="0"/>
        <w:spacing w:lineRule="auto" w:line="448" w:before="0" w:after="0"/>
        <w:jc w:val="center"/>
        <w:rPr>
          <w:rFonts w:ascii="Times New Roman;serif" w:hAnsi="Times New Roman;serif"/>
          <w:b/>
          <w:color w:val="000000"/>
          <w:sz w:val="20"/>
        </w:rPr>
      </w:pPr>
      <w:r>
        <w:rPr>
          <w:rFonts w:ascii="Times New Roman;serif" w:hAnsi="Times New Roman;serif"/>
          <w:b/>
          <w:color w:val="000000"/>
          <w:sz w:val="20"/>
        </w:rPr>
        <w:t>SECTION 303 OF THE SARBANES-OXLEY ACT OF 2002</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448" w:before="0" w:after="0"/>
        <w:jc w:val="left"/>
        <w:rPr>
          <w:rFonts w:ascii="Times New Roman;serif" w:hAnsi="Times New Roman;serif"/>
          <w:b w:val="false"/>
          <w:color w:val="000000"/>
          <w:sz w:val="20"/>
        </w:rPr>
      </w:pPr>
      <w:r>
        <w:rPr>
          <w:rFonts w:ascii="Times New Roman;serif" w:hAnsi="Times New Roman;serif"/>
          <w:b w:val="false"/>
          <w:color w:val="000000"/>
          <w:sz w:val="20"/>
        </w:rPr>
        <w:t>I, Timothy M. O’Leary, certify that:</w:t>
      </w:r>
    </w:p>
    <w:p>
      <w:pPr>
        <w:pStyle w:val="TextBody"/>
        <w:bidi w:val="0"/>
        <w:spacing w:before="0" w:after="0"/>
        <w:jc w:val="left"/>
        <w:rPr/>
      </w:pPr>
      <w:r>
        <w:rPr/>
      </w:r>
    </w:p>
    <w:p>
      <w:pPr>
        <w:pStyle w:val="TextBody"/>
        <w:bidi w:val="0"/>
        <w:spacing w:lineRule="auto" w:line="44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Priority Technology Holdings, Inc.;</w:t>
      </w:r>
    </w:p>
    <w:p>
      <w:pPr>
        <w:pStyle w:val="TextBody"/>
        <w:bidi w:val="0"/>
        <w:spacing w:before="0" w:after="0"/>
        <w:jc w:val="left"/>
        <w:rPr/>
      </w:pPr>
      <w:r>
        <w:rPr/>
      </w:r>
    </w:p>
    <w:p>
      <w:pPr>
        <w:pStyle w:val="TextBody"/>
        <w:bidi w:val="0"/>
        <w:spacing w:lineRule="auto" w:line="44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44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44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44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44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448"/>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44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31.2</w:t>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75260"/>
                <wp:effectExtent l="0" t="0" r="0" b="0"/>
                <wp:wrapNone/>
                <wp:docPr id="204"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4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44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44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(e)All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448" w:before="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(f)Any fraud, whether or not material, that involves management or other employees who have a significant role in the registrant's internal control over financial reporting.</w:t>
      </w:r>
    </w:p>
    <w:tbl>
      <w:tblPr>
        <w:tblW w:w="3884" w:type="dxa"/>
        <w:jc w:val="left"/>
        <w:tblInd w:w="0" w:type="dxa"/>
        <w:tblLayout w:type="fixed"/>
        <w:tblCellMar>
          <w:top w:w="28" w:type="dxa"/>
          <w:left w:w="28" w:type="dxa"/>
          <w:bottom w:w="28" w:type="dxa"/>
          <w:right w:w="28" w:type="dxa"/>
        </w:tblCellMar>
      </w:tblPr>
      <w:tblGrid>
        <w:gridCol w:w="493"/>
        <w:gridCol w:w="435"/>
        <w:gridCol w:w="437"/>
        <w:gridCol w:w="736"/>
        <w:gridCol w:w="736"/>
        <w:gridCol w:w="1047"/>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2519" w:type="dxa"/>
            <w:gridSpan w:val="3"/>
            <w:tcBorders/>
            <w:tcMar>
              <w:top w:w="0" w:type="dxa"/>
              <w:left w:w="0" w:type="dxa"/>
              <w:bottom w:w="0" w:type="dxa"/>
              <w:right w:w="0" w:type="dxa"/>
            </w:tcMar>
            <w:vAlign w:val="center"/>
          </w:tcPr>
          <w:p>
            <w:pPr>
              <w:pStyle w:val="TableContents"/>
              <w:bidi w:val="0"/>
              <w:spacing w:lineRule="atLeast" w:line="200" w:before="53" w:after="30"/>
              <w:jc w:val="center"/>
              <w:rPr>
                <w:rFonts w:ascii="Times New Roman;serif" w:hAnsi="Times New Roman;serif"/>
                <w:b w:val="false"/>
                <w:color w:val="000000"/>
                <w:sz w:val="20"/>
              </w:rPr>
            </w:pPr>
            <w:r>
              <w:rPr>
                <w:rFonts w:ascii="Times New Roman;serif" w:hAnsi="Times New Roman;serif"/>
                <w:b w:val="false"/>
                <w:color w:val="000000"/>
                <w:sz w:val="20"/>
              </w:rPr>
              <w:t>/s/ TIMOTHY M. O’LEARY</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13" w:after="30"/>
              <w:jc w:val="center"/>
              <w:rPr>
                <w:rFonts w:ascii="Times New Roman;serif" w:hAnsi="Times New Roman;serif"/>
                <w:b w:val="false"/>
                <w:color w:val="000000"/>
                <w:sz w:val="20"/>
              </w:rPr>
            </w:pPr>
            <w:r>
              <w:rPr>
                <w:rFonts w:ascii="Times New Roman;serif" w:hAnsi="Times New Roman;serif"/>
                <w:b w:val="false"/>
                <w:color w:val="000000"/>
                <w:sz w:val="20"/>
              </w:rPr>
              <w:t>Timothy M. O’Leary</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53" w:after="30"/>
              <w:jc w:val="center"/>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53" w:after="30"/>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44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32</w:t>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75260"/>
                <wp:effectExtent l="0" t="0" r="0" b="0"/>
                <wp:wrapNone/>
                <wp:docPr id="205"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40.0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48" w:before="0" w:after="0"/>
        <w:jc w:val="center"/>
        <w:rPr>
          <w:rFonts w:ascii="Times New Roman;serif" w:hAnsi="Times New Roman;serif"/>
          <w:b/>
          <w:color w:val="000000"/>
          <w:sz w:val="20"/>
        </w:rPr>
      </w:pPr>
      <w:r>
        <w:rPr>
          <w:rFonts w:ascii="Times New Roman;serif" w:hAnsi="Times New Roman;serif"/>
          <w:b/>
          <w:color w:val="000000"/>
          <w:sz w:val="20"/>
        </w:rPr>
        <w:t>CERTIFICATION OF PRINCIPAL EXECUTIVE OFFICER AND PRINCIPAL FINANCIAL OFFICER</w:t>
      </w:r>
    </w:p>
    <w:p>
      <w:pPr>
        <w:pStyle w:val="TextBody"/>
        <w:bidi w:val="0"/>
        <w:spacing w:lineRule="auto" w:line="44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 AS ADOPTED PURSUANT TO SECTION 906 OF THE</w:t>
      </w:r>
    </w:p>
    <w:p>
      <w:pPr>
        <w:pStyle w:val="TextBody"/>
        <w:bidi w:val="0"/>
        <w:spacing w:lineRule="auto" w:line="448" w:before="0" w:after="0"/>
        <w:jc w:val="center"/>
        <w:rPr>
          <w:rFonts w:ascii="Times New Roman;serif" w:hAnsi="Times New Roman;serif"/>
          <w:b/>
          <w:color w:val="000000"/>
          <w:sz w:val="20"/>
        </w:rPr>
      </w:pPr>
      <w:r>
        <w:rPr>
          <w:rFonts w:ascii="Times New Roman;serif" w:hAnsi="Times New Roman;serif"/>
          <w:b/>
          <w:color w:val="000000"/>
          <w:sz w:val="20"/>
        </w:rPr>
        <w:t>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44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Priority Technology Holdings, Inc. (the "Company") for the quarter ended June 30, 2026 as filed with the Securities and Exchange Commission (the "Report"), each of the undersigned, on the dates indicated below, hereby certifies pursuant to 18 U.S.C. Section 1350, as adopted pursuant to Section 906 of the Sarbanes-Oxley Act of 2002, that:</w:t>
      </w:r>
    </w:p>
    <w:p>
      <w:pPr>
        <w:pStyle w:val="TextBody"/>
        <w:bidi w:val="0"/>
        <w:spacing w:before="0" w:after="0"/>
        <w:jc w:val="left"/>
        <w:rPr/>
      </w:pPr>
      <w:r>
        <w:rPr/>
      </w:r>
    </w:p>
    <w:p>
      <w:pPr>
        <w:pStyle w:val="TextBody"/>
        <w:bidi w:val="0"/>
        <w:spacing w:lineRule="auto" w:line="44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Act of 1934; and</w:t>
      </w:r>
    </w:p>
    <w:p>
      <w:pPr>
        <w:pStyle w:val="TextBody"/>
        <w:bidi w:val="0"/>
        <w:spacing w:lineRule="auto" w:line="44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 of the Company.</w:t>
      </w:r>
    </w:p>
    <w:p>
      <w:pPr>
        <w:pStyle w:val="TextBody"/>
        <w:bidi w:val="0"/>
        <w:spacing w:before="0" w:after="0"/>
        <w:jc w:val="left"/>
        <w:rPr/>
      </w:pPr>
      <w:r>
        <w:rPr/>
      </w:r>
    </w:p>
    <w:tbl>
      <w:tblPr>
        <w:tblW w:w="4650" w:type="dxa"/>
        <w:jc w:val="left"/>
        <w:tblInd w:w="0" w:type="dxa"/>
        <w:tblLayout w:type="fixed"/>
        <w:tblCellMar>
          <w:top w:w="28" w:type="dxa"/>
          <w:left w:w="28" w:type="dxa"/>
          <w:bottom w:w="28" w:type="dxa"/>
          <w:right w:w="28" w:type="dxa"/>
        </w:tblCellMar>
      </w:tblPr>
      <w:tblGrid>
        <w:gridCol w:w="493"/>
        <w:gridCol w:w="435"/>
        <w:gridCol w:w="437"/>
        <w:gridCol w:w="960"/>
        <w:gridCol w:w="960"/>
        <w:gridCol w:w="1365"/>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3285" w:type="dxa"/>
            <w:gridSpan w:val="3"/>
            <w:tcBorders/>
            <w:tcMar>
              <w:top w:w="0" w:type="dxa"/>
              <w:left w:w="0" w:type="dxa"/>
              <w:bottom w:w="0" w:type="dxa"/>
              <w:right w:w="0" w:type="dxa"/>
            </w:tcMar>
            <w:vAlign w:val="center"/>
          </w:tcPr>
          <w:p>
            <w:pPr>
              <w:pStyle w:val="TableContents"/>
              <w:bidi w:val="0"/>
              <w:spacing w:lineRule="atLeast" w:line="200" w:before="53" w:after="30"/>
              <w:jc w:val="left"/>
              <w:rPr>
                <w:rFonts w:ascii="Times New Roman;serif" w:hAnsi="Times New Roman;serif"/>
                <w:b w:val="false"/>
                <w:color w:val="000000"/>
                <w:sz w:val="20"/>
              </w:rPr>
            </w:pPr>
            <w:r>
              <w:rPr>
                <w:rFonts w:ascii="Times New Roman;serif" w:hAnsi="Times New Roman;serif"/>
                <w:b w:val="false"/>
                <w:color w:val="000000"/>
                <w:sz w:val="20"/>
              </w:rPr>
              <w:t>/s/ THOMAS C. PRIORE</w:t>
            </w:r>
          </w:p>
        </w:tc>
      </w:tr>
      <w:tr>
        <w:trPr/>
        <w:tc>
          <w:tcPr>
            <w:tcW w:w="1365" w:type="dxa"/>
            <w:gridSpan w:val="3"/>
            <w:tcBorders>
              <w:top w:val="single" w:sz="1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Thomas C. Priore</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 and Chairman</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spacing w:before="0" w:after="0"/>
        <w:jc w:val="center"/>
        <w:rPr/>
      </w:pPr>
      <w:r>
        <w:rPr/>
      </w:r>
    </w:p>
    <w:p>
      <w:pPr>
        <w:pStyle w:val="TextBody"/>
        <w:bidi w:val="0"/>
        <w:spacing w:before="0" w:after="0"/>
        <w:jc w:val="center"/>
        <w:rPr/>
      </w:pPr>
      <w:r>
        <w:rPr/>
      </w:r>
    </w:p>
    <w:tbl>
      <w:tblPr>
        <w:tblW w:w="3884" w:type="dxa"/>
        <w:jc w:val="left"/>
        <w:tblInd w:w="0" w:type="dxa"/>
        <w:tblLayout w:type="fixed"/>
        <w:tblCellMar>
          <w:top w:w="28" w:type="dxa"/>
          <w:left w:w="28" w:type="dxa"/>
          <w:bottom w:w="28" w:type="dxa"/>
          <w:right w:w="28" w:type="dxa"/>
        </w:tblCellMar>
      </w:tblPr>
      <w:tblGrid>
        <w:gridCol w:w="493"/>
        <w:gridCol w:w="435"/>
        <w:gridCol w:w="437"/>
        <w:gridCol w:w="736"/>
        <w:gridCol w:w="736"/>
        <w:gridCol w:w="1047"/>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2519" w:type="dxa"/>
            <w:gridSpan w:val="3"/>
            <w:tcBorders/>
            <w:tcMar>
              <w:top w:w="0" w:type="dxa"/>
              <w:left w:w="0" w:type="dxa"/>
              <w:bottom w:w="0" w:type="dxa"/>
              <w:right w:w="0" w:type="dxa"/>
            </w:tcMar>
            <w:vAlign w:val="center"/>
          </w:tcPr>
          <w:p>
            <w:pPr>
              <w:pStyle w:val="TableContents"/>
              <w:bidi w:val="0"/>
              <w:spacing w:lineRule="atLeast" w:line="200" w:before="53" w:after="30"/>
              <w:jc w:val="left"/>
              <w:rPr>
                <w:rFonts w:ascii="Times New Roman;serif" w:hAnsi="Times New Roman;serif"/>
                <w:b w:val="false"/>
                <w:color w:val="000000"/>
                <w:sz w:val="20"/>
              </w:rPr>
            </w:pPr>
            <w:r>
              <w:rPr>
                <w:rFonts w:ascii="Times New Roman;serif" w:hAnsi="Times New Roman;serif"/>
                <w:b w:val="false"/>
                <w:color w:val="000000"/>
                <w:sz w:val="20"/>
              </w:rPr>
              <w:t>/s/ TIMOTHY M. O’LEARY</w:t>
            </w:r>
          </w:p>
        </w:tc>
      </w:tr>
      <w:tr>
        <w:trPr/>
        <w:tc>
          <w:tcPr>
            <w:tcW w:w="1365" w:type="dxa"/>
            <w:gridSpan w:val="3"/>
            <w:tcBorders>
              <w:top w:val="single" w:sz="1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Timothy M. O’Leary</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1365" w:type="dxa"/>
            <w:gridSpan w:val="3"/>
            <w:tcBorders>
              <w:bottom w:val="single" w:sz="16"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448" w:before="0" w:after="0"/>
        <w:jc w:val="both"/>
        <w:rPr>
          <w:rFonts w:ascii="Times New Roman;serif" w:hAnsi="Times New Roman;serif"/>
          <w:b w:val="false"/>
          <w:color w:val="000000"/>
          <w:sz w:val="20"/>
        </w:rPr>
      </w:pPr>
      <w:r>
        <w:rPr>
          <w:rFonts w:ascii="Times New Roman;serif" w:hAnsi="Times New Roman;serif"/>
          <w:b w:val="false"/>
          <w:color w:val="000000"/>
          <w:sz w:val="20"/>
        </w:rPr>
        <w:t>The foregoing certifications are being furnished solely pursuant to 18 U.S.C. § 1350 and are not being filed as part of the Report on Form 10-Q or as a separate disclosure document.</w:t>
      </w:r>
    </w:p>
    <w:p>
      <w:pPr>
        <w:pStyle w:val="TextBody"/>
        <w:bidi w:val="0"/>
        <w:spacing w:before="0" w:after="1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75260"/>
                <wp:effectExtent l="0" t="0" r="0" b="0"/>
                <wp:wrapNone/>
                <wp:docPr id="206"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653558/000161577418006226/s111183_defm14a.htm" TargetMode="External"/><Relationship Id="rId4" Type="http://schemas.openxmlformats.org/officeDocument/2006/relationships/hyperlink" Target="https://www.sec.gov/Archives/edgar/data/1653558/000161577418006226/s111183_defm14a.htm" TargetMode="External"/><Relationship Id="rId5" Type="http://schemas.openxmlformats.org/officeDocument/2006/relationships/hyperlink" Target="https://www.sec.gov/Archives/edgar/data/1653558/000165355821000060/annex1certificateofamendme.htm" TargetMode="External"/><Relationship Id="rId6" Type="http://schemas.openxmlformats.org/officeDocument/2006/relationships/hyperlink" Target="https://www.sec.gov/Archives/edgar/data/1653558/000165355821000031/projectwarriorfinxera-merg.htm" TargetMode="External"/><Relationship Id="rId7" Type="http://schemas.openxmlformats.org/officeDocument/2006/relationships/hyperlink" Target="https://www.sec.gov/Archives/edgar/data/1653558/000165355821000060/annex1certificateofamendme.htm" TargetMode="External"/><Relationship Id="rId8" Type="http://schemas.openxmlformats.org/officeDocument/2006/relationships/hyperlink" Target="https://www.sec.gov/Archives/edgar/data/1653558/000165355821000060/annex1certificateofamendme.htm" TargetMode="External"/><Relationship Id="rId9" Type="http://schemas.openxmlformats.org/officeDocument/2006/relationships/hyperlink" Target="https://www.sec.gov/Archives/edgar/data/1653558/000161577418007231/s111606_ex3-1.htm" TargetMode="External"/><Relationship Id="rId10" Type="http://schemas.openxmlformats.org/officeDocument/2006/relationships/hyperlink" Target="https://www.sec.gov/Archives/edgar/data/1653558/000161577418007231/s111606_ex3-1.htm" TargetMode="External"/><Relationship Id="rId11" Type="http://schemas.openxmlformats.org/officeDocument/2006/relationships/hyperlink" Target="https://www.sec.gov/Archives/edgar/data/1653558/000161577418007231/s111606_ex3-2.htm" TargetMode="External"/><Relationship Id="rId12" Type="http://schemas.openxmlformats.org/officeDocument/2006/relationships/hyperlink" Target="https://www.sec.gov/Archives/edgar/data/1653558/000161577418007231/s111606_ex3-2.htm" TargetMode="External"/><Relationship Id="rId13" Type="http://schemas.openxmlformats.org/officeDocument/2006/relationships/hyperlink" Target="https://www.sec.gov/Archives/edgar/data/1653558/000161577418007231/s111606_ex10-1.htm" TargetMode="External"/><Relationship Id="rId14" Type="http://schemas.openxmlformats.org/officeDocument/2006/relationships/hyperlink" Target="https://www.sec.gov/Archives/edgar/data/1653558/000161577418007231/s111606_ex10-1.htm" TargetMode="External"/><Relationship Id="rId15" Type="http://schemas.openxmlformats.org/officeDocument/2006/relationships/hyperlink" Target="https://www.sec.gov/Archives/edgar/data/1653558/000161577418007231/s111606_ex10-2.htm" TargetMode="External"/><Relationship Id="rId16" Type="http://schemas.openxmlformats.org/officeDocument/2006/relationships/hyperlink" Target="https://www.sec.gov/Archives/edgar/data/1653558/000161577418007231/s111606_ex10-2.htm" TargetMode="External"/><Relationship Id="rId17" Type="http://schemas.openxmlformats.org/officeDocument/2006/relationships/hyperlink" Target="https://www.sec.gov/Archives/edgar/data/1653558/000165355822000052/definitiveproxystatement20.htm" TargetMode="External"/><Relationship Id="rId18" Type="http://schemas.openxmlformats.org/officeDocument/2006/relationships/hyperlink" Target="https://www.sec.gov/Archives/edgar/data/1653558/000165355822000052/definitiveproxystatement20.htm" TargetMode="External"/><Relationship Id="rId19" Type="http://schemas.openxmlformats.org/officeDocument/2006/relationships/hyperlink" Target="https://www.sec.gov/ix?doc=/Archives/edgar/data/0001653558/000165355826000090/prth-20260428.htm" TargetMode="External"/><Relationship Id="rId20" Type="http://schemas.openxmlformats.org/officeDocument/2006/relationships/hyperlink" Target="https://www.sec.gov/ix?doc=/Archives/edgar/data/0001653558/000165355826000090/prth-20260428.htm" TargetMode="External"/><Relationship Id="rId21" Type="http://schemas.openxmlformats.org/officeDocument/2006/relationships/hyperlink" Target="https://www.sec.gov/ix?doc=/Archives/edgar/data/0001653558/000165355826000090/prth-20260428.htm" TargetMode="External"/><Relationship Id="rId22" Type="http://schemas.openxmlformats.org/officeDocument/2006/relationships/hyperlink" Target="https://www.sec.gov/ix?doc=/Archives/edgar/data/0001653558/000165355826000090/prth-20260428.htm" TargetMode="External"/><Relationship Id="rId23" Type="http://schemas.openxmlformats.org/officeDocument/2006/relationships/hyperlink" Target="https://www.sec.gov/ix?doc=/Archives/edgar/data/0001653558/000165355826000090/prth-20260428.htm" TargetMode="External"/><Relationship Id="rId24" Type="http://schemas.openxmlformats.org/officeDocument/2006/relationships/hyperlink" Target="https://www.sec.gov/ix?doc=/Archives/edgar/data/0001653558/000165355826000090/prth-20260428.htm" TargetMode="External"/><Relationship Id="rId25" Type="http://schemas.openxmlformats.org/officeDocument/2006/relationships/hyperlink" Target="https://www.sec.gov/Archives/edgar/data/0001653558/000165355821000101/ex1021prioritytechnologyq2.htm" TargetMode="External"/><Relationship Id="rId26" Type="http://schemas.openxmlformats.org/officeDocument/2006/relationships/hyperlink" Target="https://www.sec.gov/Archives/edgar/data/0001653558/000165355821000101/ex1021prioritytechnologyq2.htm" TargetMode="External"/><Relationship Id="rId27" Type="http://schemas.openxmlformats.org/officeDocument/2006/relationships/hyperlink" Target="https://www.sec.gov/Archives/edgar/data/1653558/000165355822000028/prioritytechnology-ex1031x.htm" TargetMode="External"/><Relationship Id="rId28" Type="http://schemas.openxmlformats.org/officeDocument/2006/relationships/hyperlink" Target="https://www.sec.gov/Archives/edgar/data/1653558/000165355822000028/prioritytechnology-ex1031x.htm" TargetMode="External"/><Relationship Id="rId29" Type="http://schemas.openxmlformats.org/officeDocument/2006/relationships/hyperlink" Target="https://www.sec.gov/Archives/edgar/data/1653558/000165355825000102/ex1032amendmentno2to2021.htm" TargetMode="External"/><Relationship Id="rId30" Type="http://schemas.openxmlformats.org/officeDocument/2006/relationships/hyperlink" Target="https://www.sec.gov/Archives/edgar/data/1653558/000165355825000102/ex1032amendmentno2to2021.htm" TargetMode="External"/><Relationship Id="rId31" Type="http://schemas.openxmlformats.org/officeDocument/2006/relationships/hyperlink" Target="https://www.sec.gov/Archives/edgar/data/1653558/000161577418014981/s114881_ex10-6.htm" TargetMode="External"/><Relationship Id="rId32" Type="http://schemas.openxmlformats.org/officeDocument/2006/relationships/hyperlink" Target="https://www.sec.gov/Archives/edgar/data/1653558/000161577418014981/s114881_ex10-6.htm" TargetMode="External"/><Relationship Id="rId33" Type="http://schemas.openxmlformats.org/officeDocument/2006/relationships/hyperlink" Target="https://www.sec.gov/Archives/edgar/data/1653558/000161577418014981/s114881_ex10-7.htm" TargetMode="External"/><Relationship Id="rId34" Type="http://schemas.openxmlformats.org/officeDocument/2006/relationships/hyperlink" Target="https://www.sec.gov/Archives/edgar/data/1653558/000161577418014981/s114881_ex10-7.htm" TargetMode="External"/><Relationship Id="rId35" Type="http://schemas.openxmlformats.org/officeDocument/2006/relationships/hyperlink" Target="http://www.sec.gov/Archives/edgar/data/1653558/000162828019003666/prioritytechnology-ex1019.htm" TargetMode="External"/><Relationship Id="rId36" Type="http://schemas.openxmlformats.org/officeDocument/2006/relationships/hyperlink" Target="http://www.sec.gov/Archives/edgar/data/1653558/000162828019003666/prioritytechnology-ex1019.htm" TargetMode="External"/><Relationship Id="rId37" Type="http://schemas.openxmlformats.org/officeDocument/2006/relationships/hyperlink" Target="https://www.sec.gov/Archives/edgar/data/1653558/000165355820000148/assetpurchaseagreement.htm" TargetMode="External"/><Relationship Id="rId38" Type="http://schemas.openxmlformats.org/officeDocument/2006/relationships/hyperlink" Target="https://www.sec.gov/Archives/edgar/data/1653558/000165355820000148/assetpurchaseagreement.htm" TargetMode="External"/><Relationship Id="rId39" Type="http://schemas.openxmlformats.org/officeDocument/2006/relationships/hyperlink" Target="https://www.sec.gov/Archives/edgar/data/1653558/000165355822000094/ex1023formrestrictedstocku.htm" TargetMode="External"/><Relationship Id="rId40" Type="http://schemas.openxmlformats.org/officeDocument/2006/relationships/hyperlink" Target="https://www.sec.gov/Archives/edgar/data/1653558/000165355822000094/ex1023formrestrictedstocku.htm" TargetMode="External"/><Relationship Id="rId41" Type="http://schemas.openxmlformats.org/officeDocument/2006/relationships/hyperlink" Target="https://www.sec.gov/Archives/edgar/data/1653558/000165355823000030/prioritytechnology-ex108.htm" TargetMode="External"/><Relationship Id="rId42" Type="http://schemas.openxmlformats.org/officeDocument/2006/relationships/hyperlink" Target="https://www.sec.gov/Archives/edgar/data/1653558/000165355823000030/prioritytechnology-ex108.htm" TargetMode="External"/><Relationship Id="rId43" Type="http://schemas.openxmlformats.org/officeDocument/2006/relationships/hyperlink" Target="https://www.sec.gov/Archives/edgar/data/1653558/000165355823000056/ex1025priorityrecoupmentcl.htm" TargetMode="External"/><Relationship Id="rId44" Type="http://schemas.openxmlformats.org/officeDocument/2006/relationships/hyperlink" Target="https://www.sec.gov/Archives/edgar/data/1653558/000165355823000056/ex1025priorityrecoupmentcl.htm" TargetMode="External"/><Relationship Id="rId45" Type="http://schemas.openxmlformats.org/officeDocument/2006/relationships/hyperlink" Target="https://www.sec.gov/Archives/edgar/data/1653558/000165355823000087/ex101projectbellamy-amen.htm" TargetMode="External"/><Relationship Id="rId46" Type="http://schemas.openxmlformats.org/officeDocument/2006/relationships/hyperlink" Target="https://www.sec.gov/Archives/edgar/data/1653558/000165355823000087/ex101projectbellamy-amen.htm" TargetMode="External"/><Relationship Id="rId47" Type="http://schemas.openxmlformats.org/officeDocument/2006/relationships/hyperlink" Target="https://www.sec.gov/ix?doc=/Archives/edgar/data/1653558/000165355824000073/prth-20240516.htm" TargetMode="External"/><Relationship Id="rId48" Type="http://schemas.openxmlformats.org/officeDocument/2006/relationships/hyperlink" Target="https://www.sec.gov/ix?doc=/Archives/edgar/data/1653558/000165355824000073/prth-20240516.htm" TargetMode="External"/><Relationship Id="rId49" Type="http://schemas.openxmlformats.org/officeDocument/2006/relationships/hyperlink" Target="https://www.sec.gov/ix?doc=/Archives/edgar/data/0001653558/000165355824000153/prth-20241121.htm" TargetMode="External"/><Relationship Id="rId50" Type="http://schemas.openxmlformats.org/officeDocument/2006/relationships/hyperlink" Target="https://www.sec.gov/ix?doc=/Archives/edgar/data/0001653558/000165355824000153/prth-20241121.htm" TargetMode="External"/><Relationship Id="rId51" Type="http://schemas.openxmlformats.org/officeDocument/2006/relationships/hyperlink" Target="https://www.sec.gov/Archives/edgar/data/1653558/000165355825000091/ex101prthamendmentno2.htm" TargetMode="External"/><Relationship Id="rId52" Type="http://schemas.openxmlformats.org/officeDocument/2006/relationships/hyperlink" Target="https://www.sec.gov/Archives/edgar/data/1653558/000165355825000091/ex101prthamendmentno2.htm" TargetMode="External"/><Relationship Id="rId53" Type="http://schemas.openxmlformats.org/officeDocument/2006/relationships/hyperlink" Target="https://www.sec.gov/Archives/edgar/data/1653558/000165355825000107/prth-form8xkxexhibit101x.htm" TargetMode="External"/><Relationship Id="rId54" Type="http://schemas.openxmlformats.org/officeDocument/2006/relationships/hyperlink" Target="https://www.sec.gov/Archives/edgar/data/1653558/000165355825000107/prth-form8xkxexhibit101x.htm" TargetMode="External"/><Relationship Id="rId55" Type="http://schemas.openxmlformats.org/officeDocument/2006/relationships/hyperlink" Target="https://www.sec.gov/Archives/edgar/data/1653558/000165355825000107/prth-form8xkxexhibit102x.htm" TargetMode="External"/><Relationship Id="rId56" Type="http://schemas.openxmlformats.org/officeDocument/2006/relationships/hyperlink" Target="https://www.sec.gov/Archives/edgar/data/1653558/000165355825000107/prth-form8xkxexhibit102x.htm" TargetMode="External"/><Relationship Id="rId57" Type="http://schemas.openxmlformats.org/officeDocument/2006/relationships/hyperlink" Target="https://www.sec.gov/Archives/edgar/data/1653558/000165355825000107/prth-form8xkxexhibit103x.htm" TargetMode="External"/><Relationship Id="rId58" Type="http://schemas.openxmlformats.org/officeDocument/2006/relationships/hyperlink" Target="https://www.sec.gov/Archives/edgar/data/1653558/000165355825000107/prth-form8xkxexhibit103x.htm" TargetMode="External"/><Relationship Id="rId59" Type="http://schemas.openxmlformats.org/officeDocument/2006/relationships/hyperlink" Target="https://www.sec.gov/Archives/edgar/data/1653558/000165355825000107/assetpurchaseagreement-boo.htm" TargetMode="External"/><Relationship Id="rId60" Type="http://schemas.openxmlformats.org/officeDocument/2006/relationships/hyperlink" Target="https://www.sec.gov/Archives/edgar/data/1653558/000165355825000107/assetpurchaseagreement-boo.htm" TargetMode="External"/><Relationship Id="rId61" Type="http://schemas.openxmlformats.org/officeDocument/2006/relationships/hyperlink" Target="https://www.sec.gov/Archives/edgar/data/1653558/000162828025043526/a101assetpurchaseandcontri.htm" TargetMode="External"/><Relationship Id="rId62" Type="http://schemas.openxmlformats.org/officeDocument/2006/relationships/hyperlink" Target="https://www.sec.gov/Archives/edgar/data/1653558/000162828025043526/a101assetpurchaseandcontri.htm" TargetMode="External"/><Relationship Id="rId63" Type="http://schemas.openxmlformats.org/officeDocument/2006/relationships/hyperlink" Target="https://www.sec.gov/Archives/edgar/data/1653558/000162828025043526/prth-ex102xcoveramendmentx.htm" TargetMode="External"/><Relationship Id="rId64" Type="http://schemas.openxmlformats.org/officeDocument/2006/relationships/hyperlink" Target="https://www.sec.gov/Archives/edgar/data/1653558/000162828025043526/prth-ex102xcoveramendmentx.htm" TargetMode="External"/><Relationship Id="rId65" Type="http://schemas.openxmlformats.org/officeDocument/2006/relationships/hyperlink" Target="https://www.sec.gov/Archives/edgar/data/1653558/000165355826000102/ex211subsidiariesofpriorit.htm" TargetMode="External"/><Relationship Id="rId66" Type="http://schemas.openxmlformats.org/officeDocument/2006/relationships/hyperlink" Target="https://www.sec.gov/Archives/edgar/data/1653558/000165355826000102/ex211subsidiariesofpriorit.htm" TargetMode="External"/><Relationship Id="rId67" Type="http://schemas.openxmlformats.org/officeDocument/2006/relationships/image" Target="media/image2.jpeg"/><Relationship Id="rId68" Type="http://schemas.openxmlformats.org/officeDocument/2006/relationships/image" Target="media/image3.jpeg"/><Relationship Id="rId69" Type="http://schemas.openxmlformats.org/officeDocument/2006/relationships/image" Target="media/image4.jpeg"/><Relationship Id="rId70" Type="http://schemas.openxmlformats.org/officeDocument/2006/relationships/image" Target="media/image5.jpeg"/><Relationship Id="rId71" Type="http://schemas.openxmlformats.org/officeDocument/2006/relationships/image" Target="media/image6.jpeg"/><Relationship Id="rId72" Type="http://schemas.openxmlformats.org/officeDocument/2006/relationships/image" Target="media/image7.jpeg"/><Relationship Id="rId73" Type="http://schemas.openxmlformats.org/officeDocument/2006/relationships/image" Target="media/image8.jpeg"/><Relationship Id="rId74" Type="http://schemas.openxmlformats.org/officeDocument/2006/relationships/image" Target="media/image9.jpeg"/><Relationship Id="rId75" Type="http://schemas.openxmlformats.org/officeDocument/2006/relationships/image" Target="media/image10.jpeg"/><Relationship Id="rId76" Type="http://schemas.openxmlformats.org/officeDocument/2006/relationships/image" Target="media/image11.jpeg"/><Relationship Id="rId77" Type="http://schemas.openxmlformats.org/officeDocument/2006/relationships/image" Target="media/image12.jpeg"/><Relationship Id="rId78" Type="http://schemas.openxmlformats.org/officeDocument/2006/relationships/image" Target="media/image13.jpeg"/><Relationship Id="rId79" Type="http://schemas.openxmlformats.org/officeDocument/2006/relationships/image" Target="media/image14.jpeg"/><Relationship Id="rId80" Type="http://schemas.openxmlformats.org/officeDocument/2006/relationships/image" Target="media/image15.jpeg"/><Relationship Id="rId81" Type="http://schemas.openxmlformats.org/officeDocument/2006/relationships/image" Target="media/image16.jpeg"/><Relationship Id="rId82" Type="http://schemas.openxmlformats.org/officeDocument/2006/relationships/image" Target="media/image17.jpeg"/><Relationship Id="rId83" Type="http://schemas.openxmlformats.org/officeDocument/2006/relationships/image" Target="media/image18.jpeg"/><Relationship Id="rId84" Type="http://schemas.openxmlformats.org/officeDocument/2006/relationships/image" Target="media/image19.jpeg"/><Relationship Id="rId85" Type="http://schemas.openxmlformats.org/officeDocument/2006/relationships/image" Target="media/image20.jpeg"/><Relationship Id="rId86" Type="http://schemas.openxmlformats.org/officeDocument/2006/relationships/image" Target="media/image21.jpeg"/><Relationship Id="rId87" Type="http://schemas.openxmlformats.org/officeDocument/2006/relationships/image" Target="media/image22.jpeg"/><Relationship Id="rId88" Type="http://schemas.openxmlformats.org/officeDocument/2006/relationships/image" Target="media/image23.jpeg"/><Relationship Id="rId89" Type="http://schemas.openxmlformats.org/officeDocument/2006/relationships/image" Target="media/image24.jpeg"/><Relationship Id="rId90" Type="http://schemas.openxmlformats.org/officeDocument/2006/relationships/image" Target="media/image25.jpeg"/><Relationship Id="rId91" Type="http://schemas.openxmlformats.org/officeDocument/2006/relationships/image" Target="media/image26.jpeg"/><Relationship Id="rId92" Type="http://schemas.openxmlformats.org/officeDocument/2006/relationships/image" Target="media/image27.jpeg"/><Relationship Id="rId93" Type="http://schemas.openxmlformats.org/officeDocument/2006/relationships/image" Target="media/image28.jpeg"/><Relationship Id="rId94" Type="http://schemas.openxmlformats.org/officeDocument/2006/relationships/image" Target="media/image29.jpeg"/><Relationship Id="rId95" Type="http://schemas.openxmlformats.org/officeDocument/2006/relationships/image" Target="media/image30.jpeg"/><Relationship Id="rId96" Type="http://schemas.openxmlformats.org/officeDocument/2006/relationships/image" Target="media/image31.jpeg"/><Relationship Id="rId97" Type="http://schemas.openxmlformats.org/officeDocument/2006/relationships/image" Target="media/image32.jpeg"/><Relationship Id="rId98" Type="http://schemas.openxmlformats.org/officeDocument/2006/relationships/image" Target="media/image33.jpeg"/><Relationship Id="rId99" Type="http://schemas.openxmlformats.org/officeDocument/2006/relationships/image" Target="media/image34.jpeg"/><Relationship Id="rId100" Type="http://schemas.openxmlformats.org/officeDocument/2006/relationships/image" Target="media/image35.jpeg"/><Relationship Id="rId101" Type="http://schemas.openxmlformats.org/officeDocument/2006/relationships/image" Target="media/image36.jpeg"/><Relationship Id="rId102" Type="http://schemas.openxmlformats.org/officeDocument/2006/relationships/image" Target="media/image37.jpeg"/><Relationship Id="rId103" Type="http://schemas.openxmlformats.org/officeDocument/2006/relationships/image" Target="media/image38.jpeg"/><Relationship Id="rId104" Type="http://schemas.openxmlformats.org/officeDocument/2006/relationships/image" Target="media/image39.jpeg"/><Relationship Id="rId105" Type="http://schemas.openxmlformats.org/officeDocument/2006/relationships/image" Target="media/image40.jpeg"/><Relationship Id="rId106" Type="http://schemas.openxmlformats.org/officeDocument/2006/relationships/image" Target="media/image41.jpeg"/><Relationship Id="rId107" Type="http://schemas.openxmlformats.org/officeDocument/2006/relationships/image" Target="media/image42.jpeg"/><Relationship Id="rId108" Type="http://schemas.openxmlformats.org/officeDocument/2006/relationships/image" Target="media/image43.jpeg"/><Relationship Id="rId109" Type="http://schemas.openxmlformats.org/officeDocument/2006/relationships/image" Target="media/image44.jpeg"/><Relationship Id="rId110" Type="http://schemas.openxmlformats.org/officeDocument/2006/relationships/image" Target="media/image45.jpeg"/><Relationship Id="rId111" Type="http://schemas.openxmlformats.org/officeDocument/2006/relationships/image" Target="media/image46.jpeg"/><Relationship Id="rId112" Type="http://schemas.openxmlformats.org/officeDocument/2006/relationships/image" Target="media/image47.jpeg"/><Relationship Id="rId113" Type="http://schemas.openxmlformats.org/officeDocument/2006/relationships/image" Target="media/image48.jpeg"/><Relationship Id="rId114" Type="http://schemas.openxmlformats.org/officeDocument/2006/relationships/image" Target="media/image49.jpeg"/><Relationship Id="rId115" Type="http://schemas.openxmlformats.org/officeDocument/2006/relationships/image" Target="media/image50.jpeg"/><Relationship Id="rId116" Type="http://schemas.openxmlformats.org/officeDocument/2006/relationships/image" Target="media/image51.jpeg"/><Relationship Id="rId117" Type="http://schemas.openxmlformats.org/officeDocument/2006/relationships/image" Target="media/image52.jpeg"/><Relationship Id="rId118" Type="http://schemas.openxmlformats.org/officeDocument/2006/relationships/image" Target="media/image53.jpeg"/><Relationship Id="rId119" Type="http://schemas.openxmlformats.org/officeDocument/2006/relationships/image" Target="media/image54.jpeg"/><Relationship Id="rId120" Type="http://schemas.openxmlformats.org/officeDocument/2006/relationships/image" Target="media/image55.jpeg"/><Relationship Id="rId121" Type="http://schemas.openxmlformats.org/officeDocument/2006/relationships/image" Target="media/image56.jpeg"/><Relationship Id="rId122" Type="http://schemas.openxmlformats.org/officeDocument/2006/relationships/image" Target="media/image57.jpeg"/><Relationship Id="rId123" Type="http://schemas.openxmlformats.org/officeDocument/2006/relationships/image" Target="media/image58.jpeg"/><Relationship Id="rId124" Type="http://schemas.openxmlformats.org/officeDocument/2006/relationships/image" Target="media/image59.jpeg"/><Relationship Id="rId125" Type="http://schemas.openxmlformats.org/officeDocument/2006/relationships/image" Target="media/image60.jpeg"/><Relationship Id="rId126" Type="http://schemas.openxmlformats.org/officeDocument/2006/relationships/image" Target="media/image61.jpeg"/><Relationship Id="rId127" Type="http://schemas.openxmlformats.org/officeDocument/2006/relationships/image" Target="media/image62.jpeg"/><Relationship Id="rId128" Type="http://schemas.openxmlformats.org/officeDocument/2006/relationships/image" Target="media/image63.jpeg"/><Relationship Id="rId129" Type="http://schemas.openxmlformats.org/officeDocument/2006/relationships/image" Target="media/image64.jpeg"/><Relationship Id="rId130" Type="http://schemas.openxmlformats.org/officeDocument/2006/relationships/image" Target="media/image65.jpeg"/><Relationship Id="rId131" Type="http://schemas.openxmlformats.org/officeDocument/2006/relationships/image" Target="media/image66.jpeg"/><Relationship Id="rId132" Type="http://schemas.openxmlformats.org/officeDocument/2006/relationships/image" Target="media/image67.jpeg"/><Relationship Id="rId133" Type="http://schemas.openxmlformats.org/officeDocument/2006/relationships/image" Target="media/image68.jpeg"/><Relationship Id="rId134" Type="http://schemas.openxmlformats.org/officeDocument/2006/relationships/image" Target="media/image69.jpeg"/><Relationship Id="rId135" Type="http://schemas.openxmlformats.org/officeDocument/2006/relationships/image" Target="media/image70.jpeg"/><Relationship Id="rId136" Type="http://schemas.openxmlformats.org/officeDocument/2006/relationships/image" Target="media/image71.jpeg"/><Relationship Id="rId137" Type="http://schemas.openxmlformats.org/officeDocument/2006/relationships/image" Target="media/image72.jpeg"/><Relationship Id="rId138" Type="http://schemas.openxmlformats.org/officeDocument/2006/relationships/image" Target="media/image73.jpeg"/><Relationship Id="rId139" Type="http://schemas.openxmlformats.org/officeDocument/2006/relationships/image" Target="media/image74.jpeg"/><Relationship Id="rId140" Type="http://schemas.openxmlformats.org/officeDocument/2006/relationships/image" Target="media/image75.jpeg"/><Relationship Id="rId141" Type="http://schemas.openxmlformats.org/officeDocument/2006/relationships/image" Target="media/image76.jpeg"/><Relationship Id="rId142" Type="http://schemas.openxmlformats.org/officeDocument/2006/relationships/image" Target="media/image77.jpeg"/><Relationship Id="rId143" Type="http://schemas.openxmlformats.org/officeDocument/2006/relationships/image" Target="media/image78.jpeg"/><Relationship Id="rId144" Type="http://schemas.openxmlformats.org/officeDocument/2006/relationships/image" Target="media/image79.jpeg"/><Relationship Id="rId145" Type="http://schemas.openxmlformats.org/officeDocument/2006/relationships/image" Target="media/image80.jpeg"/><Relationship Id="rId146" Type="http://schemas.openxmlformats.org/officeDocument/2006/relationships/image" Target="media/image81.jpeg"/><Relationship Id="rId147" Type="http://schemas.openxmlformats.org/officeDocument/2006/relationships/image" Target="media/image82.jpeg"/><Relationship Id="rId148" Type="http://schemas.openxmlformats.org/officeDocument/2006/relationships/image" Target="media/image83.jpeg"/><Relationship Id="rId149" Type="http://schemas.openxmlformats.org/officeDocument/2006/relationships/image" Target="media/image84.jpeg"/><Relationship Id="rId150" Type="http://schemas.openxmlformats.org/officeDocument/2006/relationships/image" Target="media/image85.jpeg"/><Relationship Id="rId151" Type="http://schemas.openxmlformats.org/officeDocument/2006/relationships/image" Target="media/image86.jpeg"/><Relationship Id="rId152" Type="http://schemas.openxmlformats.org/officeDocument/2006/relationships/image" Target="media/image87.jpeg"/><Relationship Id="rId153" Type="http://schemas.openxmlformats.org/officeDocument/2006/relationships/image" Target="media/image88.jpeg"/><Relationship Id="rId154" Type="http://schemas.openxmlformats.org/officeDocument/2006/relationships/image" Target="media/image89.jpeg"/><Relationship Id="rId155" Type="http://schemas.openxmlformats.org/officeDocument/2006/relationships/image" Target="media/image90.jpeg"/><Relationship Id="rId156" Type="http://schemas.openxmlformats.org/officeDocument/2006/relationships/image" Target="media/image91.jpeg"/><Relationship Id="rId157" Type="http://schemas.openxmlformats.org/officeDocument/2006/relationships/image" Target="media/image92.jpeg"/><Relationship Id="rId158" Type="http://schemas.openxmlformats.org/officeDocument/2006/relationships/image" Target="media/image93.jpeg"/><Relationship Id="rId159" Type="http://schemas.openxmlformats.org/officeDocument/2006/relationships/image" Target="media/image94.jpeg"/><Relationship Id="rId160" Type="http://schemas.openxmlformats.org/officeDocument/2006/relationships/image" Target="media/image95.jpeg"/><Relationship Id="rId161" Type="http://schemas.openxmlformats.org/officeDocument/2006/relationships/image" Target="media/image96.jpeg"/><Relationship Id="rId162" Type="http://schemas.openxmlformats.org/officeDocument/2006/relationships/image" Target="media/image97.jpeg"/><Relationship Id="rId163" Type="http://schemas.openxmlformats.org/officeDocument/2006/relationships/image" Target="media/image98.jpeg"/><Relationship Id="rId164" Type="http://schemas.openxmlformats.org/officeDocument/2006/relationships/image" Target="media/image99.jpeg"/><Relationship Id="rId165" Type="http://schemas.openxmlformats.org/officeDocument/2006/relationships/image" Target="media/image100.jpeg"/><Relationship Id="rId166" Type="http://schemas.openxmlformats.org/officeDocument/2006/relationships/image" Target="media/image101.jpeg"/><Relationship Id="rId167" Type="http://schemas.openxmlformats.org/officeDocument/2006/relationships/image" Target="media/image102.jpeg"/><Relationship Id="rId168" Type="http://schemas.openxmlformats.org/officeDocument/2006/relationships/image" Target="media/image103.jpeg"/><Relationship Id="rId169" Type="http://schemas.openxmlformats.org/officeDocument/2006/relationships/image" Target="media/image104.jpeg"/><Relationship Id="rId170" Type="http://schemas.openxmlformats.org/officeDocument/2006/relationships/image" Target="media/image105.jpeg"/><Relationship Id="rId171" Type="http://schemas.openxmlformats.org/officeDocument/2006/relationships/image" Target="media/image106.jpeg"/><Relationship Id="rId172" Type="http://schemas.openxmlformats.org/officeDocument/2006/relationships/image" Target="media/image107.jpeg"/><Relationship Id="rId173" Type="http://schemas.openxmlformats.org/officeDocument/2006/relationships/image" Target="media/image108.jpeg"/><Relationship Id="rId174" Type="http://schemas.openxmlformats.org/officeDocument/2006/relationships/image" Target="media/image109.jpeg"/><Relationship Id="rId175" Type="http://schemas.openxmlformats.org/officeDocument/2006/relationships/image" Target="media/image110.jpeg"/><Relationship Id="rId176" Type="http://schemas.openxmlformats.org/officeDocument/2006/relationships/image" Target="media/image111.jpeg"/><Relationship Id="rId177" Type="http://schemas.openxmlformats.org/officeDocument/2006/relationships/image" Target="media/image112.jpeg"/><Relationship Id="rId178" Type="http://schemas.openxmlformats.org/officeDocument/2006/relationships/image" Target="media/image113.jpeg"/><Relationship Id="rId179" Type="http://schemas.openxmlformats.org/officeDocument/2006/relationships/image" Target="media/image114.jpeg"/><Relationship Id="rId180" Type="http://schemas.openxmlformats.org/officeDocument/2006/relationships/image" Target="media/image115.jpeg"/><Relationship Id="rId181" Type="http://schemas.openxmlformats.org/officeDocument/2006/relationships/image" Target="media/image116.jpeg"/><Relationship Id="rId182" Type="http://schemas.openxmlformats.org/officeDocument/2006/relationships/image" Target="media/image117.jpeg"/><Relationship Id="rId183" Type="http://schemas.openxmlformats.org/officeDocument/2006/relationships/image" Target="media/image118.jpeg"/><Relationship Id="rId184" Type="http://schemas.openxmlformats.org/officeDocument/2006/relationships/image" Target="media/image119.jpeg"/><Relationship Id="rId185" Type="http://schemas.openxmlformats.org/officeDocument/2006/relationships/image" Target="media/image120.jpeg"/><Relationship Id="rId186" Type="http://schemas.openxmlformats.org/officeDocument/2006/relationships/image" Target="media/image121.jpeg"/><Relationship Id="rId187" Type="http://schemas.openxmlformats.org/officeDocument/2006/relationships/image" Target="media/image122.jpeg"/><Relationship Id="rId188" Type="http://schemas.openxmlformats.org/officeDocument/2006/relationships/image" Target="media/image123.jpeg"/><Relationship Id="rId189" Type="http://schemas.openxmlformats.org/officeDocument/2006/relationships/image" Target="media/image124.jpeg"/><Relationship Id="rId190" Type="http://schemas.openxmlformats.org/officeDocument/2006/relationships/image" Target="media/image125.jpeg"/><Relationship Id="rId191" Type="http://schemas.openxmlformats.org/officeDocument/2006/relationships/image" Target="media/image126.jpeg"/><Relationship Id="rId192" Type="http://schemas.openxmlformats.org/officeDocument/2006/relationships/image" Target="media/image127.jpeg"/><Relationship Id="rId193" Type="http://schemas.openxmlformats.org/officeDocument/2006/relationships/image" Target="media/image128.jpeg"/><Relationship Id="rId194" Type="http://schemas.openxmlformats.org/officeDocument/2006/relationships/image" Target="media/image129.jpeg"/><Relationship Id="rId195" Type="http://schemas.openxmlformats.org/officeDocument/2006/relationships/image" Target="media/image130.jpeg"/><Relationship Id="rId196" Type="http://schemas.openxmlformats.org/officeDocument/2006/relationships/image" Target="media/image131.jpeg"/><Relationship Id="rId197" Type="http://schemas.openxmlformats.org/officeDocument/2006/relationships/image" Target="media/image132.jpeg"/><Relationship Id="rId198" Type="http://schemas.openxmlformats.org/officeDocument/2006/relationships/image" Target="media/image133.jpeg"/><Relationship Id="rId199" Type="http://schemas.openxmlformats.org/officeDocument/2006/relationships/image" Target="media/image134.jpeg"/><Relationship Id="rId200" Type="http://schemas.openxmlformats.org/officeDocument/2006/relationships/image" Target="media/image135.jpeg"/><Relationship Id="rId201" Type="http://schemas.openxmlformats.org/officeDocument/2006/relationships/image" Target="media/image136.jpeg"/><Relationship Id="rId202" Type="http://schemas.openxmlformats.org/officeDocument/2006/relationships/image" Target="media/image137.jpeg"/><Relationship Id="rId203" Type="http://schemas.openxmlformats.org/officeDocument/2006/relationships/image" Target="media/image138.jpeg"/><Relationship Id="rId204" Type="http://schemas.openxmlformats.org/officeDocument/2006/relationships/image" Target="media/image139.jpeg"/><Relationship Id="rId205" Type="http://schemas.openxmlformats.org/officeDocument/2006/relationships/image" Target="media/image140.jpeg"/><Relationship Id="rId206" Type="http://schemas.openxmlformats.org/officeDocument/2006/relationships/image" Target="media/image141.jpeg"/><Relationship Id="rId207" Type="http://schemas.openxmlformats.org/officeDocument/2006/relationships/image" Target="media/image142.jpeg"/><Relationship Id="rId208" Type="http://schemas.openxmlformats.org/officeDocument/2006/relationships/image" Target="media/image143.jpeg"/><Relationship Id="rId209" Type="http://schemas.openxmlformats.org/officeDocument/2006/relationships/image" Target="media/image144.jpeg"/><Relationship Id="rId210" Type="http://schemas.openxmlformats.org/officeDocument/2006/relationships/image" Target="media/image145.jpeg"/><Relationship Id="rId211" Type="http://schemas.openxmlformats.org/officeDocument/2006/relationships/image" Target="media/image146.jpeg"/><Relationship Id="rId212" Type="http://schemas.openxmlformats.org/officeDocument/2006/relationships/image" Target="media/image147.jpeg"/><Relationship Id="rId213" Type="http://schemas.openxmlformats.org/officeDocument/2006/relationships/image" Target="media/image148.jpeg"/><Relationship Id="rId214" Type="http://schemas.openxmlformats.org/officeDocument/2006/relationships/image" Target="media/image149.jpeg"/><Relationship Id="rId215" Type="http://schemas.openxmlformats.org/officeDocument/2006/relationships/image" Target="media/image150.jpeg"/><Relationship Id="rId216" Type="http://schemas.openxmlformats.org/officeDocument/2006/relationships/image" Target="media/image151.jpeg"/><Relationship Id="rId217" Type="http://schemas.openxmlformats.org/officeDocument/2006/relationships/image" Target="media/image152.jpeg"/><Relationship Id="rId218" Type="http://schemas.openxmlformats.org/officeDocument/2006/relationships/fontTable" Target="fontTable.xml"/><Relationship Id="rId2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74887</Words>
  <Characters>427687</Characters>
  <CharactersWithSpaces>501621</CharactersWithSpaces>
  <Paragraphs>3952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exhibit1027letuspurchase</dc:title>
</cp:coreProperties>
</file>