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August 9, 2021</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w:t>
      </w:r>
    </w:p>
    <w:p>
      <w:pPr>
        <w:spacing w:after="0" w:line="128"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u w:val="single" w:color="auto"/>
          <w:color w:val="auto"/>
        </w:rPr>
        <w:t>Priority Technology Holdings, Inc.</w:t>
      </w:r>
    </w:p>
    <w:p>
      <w:pPr>
        <w:spacing w:after="0" w:line="30"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226"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320" w:type="dxa"/>
            <w:vAlign w:val="bottom"/>
          </w:tcPr>
          <w:p>
            <w:pPr>
              <w:spacing w:after="0"/>
              <w:rPr>
                <w:sz w:val="13"/>
                <w:szCs w:val="13"/>
                <w:color w:val="auto"/>
              </w:rPr>
            </w:pPr>
          </w:p>
        </w:tc>
        <w:tc>
          <w:tcPr>
            <w:tcW w:w="2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001-37872</w:t>
            </w:r>
          </w:p>
        </w:tc>
        <w:tc>
          <w:tcPr>
            <w:tcW w:w="12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Borders>
              <w:bottom w:val="single" w:sz="8" w:color="auto"/>
            </w:tcBorders>
          </w:tcPr>
          <w:p>
            <w:pPr>
              <w:jc w:val="right"/>
              <w:ind w:right="1440"/>
              <w:spacing w:after="0"/>
              <w:rPr>
                <w:sz w:val="20"/>
                <w:szCs w:val="20"/>
                <w:color w:val="auto"/>
              </w:rPr>
            </w:pPr>
            <w:r>
              <w:rPr>
                <w:rFonts w:ascii="Arial" w:cs="Arial" w:eastAsia="Arial" w:hAnsi="Arial"/>
                <w:sz w:val="12"/>
                <w:szCs w:val="12"/>
                <w:b w:val="1"/>
                <w:bCs w:val="1"/>
                <w:color w:val="auto"/>
              </w:rPr>
              <w:t>47-4257046</w:t>
            </w:r>
          </w:p>
        </w:tc>
        <w:tc>
          <w:tcPr>
            <w:tcW w:w="20" w:type="dxa"/>
            <w:vAlign w:val="bottom"/>
          </w:tcPr>
          <w:p>
            <w:pPr>
              <w:spacing w:after="0"/>
              <w:rPr>
                <w:sz w:val="13"/>
                <w:szCs w:val="13"/>
                <w:color w:val="auto"/>
              </w:rPr>
            </w:pPr>
          </w:p>
        </w:tc>
      </w:tr>
      <w:tr>
        <w:trPr>
          <w:trHeight w:val="142"/>
        </w:trPr>
        <w:tc>
          <w:tcPr>
            <w:tcW w:w="4000" w:type="dxa"/>
            <w:vAlign w:val="bottom"/>
            <w:gridSpan w:val="2"/>
          </w:tcPr>
          <w:p>
            <w:pPr>
              <w:jc w:val="center"/>
              <w:ind w:right="360"/>
              <w:spacing w:after="0"/>
              <w:rPr>
                <w:sz w:val="20"/>
                <w:szCs w:val="20"/>
                <w:color w:val="auto"/>
              </w:rPr>
            </w:pPr>
            <w:r>
              <w:rPr>
                <w:rFonts w:ascii="Arial" w:cs="Arial" w:eastAsia="Arial" w:hAnsi="Arial"/>
                <w:sz w:val="12"/>
                <w:szCs w:val="12"/>
                <w:color w:val="auto"/>
                <w:w w:val="93"/>
              </w:rPr>
              <w:t>(State or other jurisdiction of incorporation)</w:t>
            </w:r>
          </w:p>
        </w:tc>
        <w:tc>
          <w:tcPr>
            <w:tcW w:w="3700" w:type="dxa"/>
            <w:vAlign w:val="bottom"/>
            <w:gridSpan w:val="4"/>
          </w:tcPr>
          <w:p>
            <w:pPr>
              <w:jc w:val="center"/>
              <w:ind w:right="340"/>
              <w:spacing w:after="0"/>
              <w:rPr>
                <w:sz w:val="20"/>
                <w:szCs w:val="20"/>
                <w:color w:val="auto"/>
              </w:rPr>
            </w:pPr>
            <w:r>
              <w:rPr>
                <w:rFonts w:ascii="Arial" w:cs="Arial" w:eastAsia="Arial" w:hAnsi="Arial"/>
                <w:sz w:val="12"/>
                <w:szCs w:val="12"/>
                <w:color w:val="auto"/>
                <w:w w:val="92"/>
              </w:rPr>
              <w:t>(Commission File Number)</w:t>
            </w:r>
          </w:p>
        </w:tc>
        <w:tc>
          <w:tcPr>
            <w:tcW w:w="3580" w:type="dxa"/>
            <w:vAlign w:val="bottom"/>
          </w:tcPr>
          <w:p>
            <w:pPr>
              <w:jc w:val="center"/>
              <w:spacing w:after="0"/>
              <w:rPr>
                <w:sz w:val="20"/>
                <w:szCs w:val="20"/>
                <w:color w:val="auto"/>
              </w:rPr>
            </w:pPr>
            <w:r>
              <w:rPr>
                <w:rFonts w:ascii="Arial" w:cs="Arial" w:eastAsia="Arial" w:hAnsi="Arial"/>
                <w:sz w:val="12"/>
                <w:szCs w:val="12"/>
                <w:color w:val="auto"/>
                <w:w w:val="94"/>
              </w:rPr>
              <w:t>(I.R.S. Employer Identification No.)</w:t>
            </w:r>
          </w:p>
        </w:tc>
        <w:tc>
          <w:tcPr>
            <w:tcW w:w="20" w:type="dxa"/>
            <w:vAlign w:val="bottom"/>
          </w:tcPr>
          <w:p>
            <w:pPr>
              <w:spacing w:after="0"/>
              <w:rPr>
                <w:sz w:val="12"/>
                <w:szCs w:val="12"/>
                <w:color w:val="auto"/>
              </w:rPr>
            </w:pPr>
          </w:p>
        </w:tc>
      </w:tr>
      <w:tr>
        <w:trPr>
          <w:trHeight w:val="428"/>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89"/>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jc w:val="right"/>
              <w:ind w:right="2380"/>
              <w:spacing w:after="0"/>
              <w:rPr>
                <w:sz w:val="20"/>
                <w:szCs w:val="20"/>
                <w:color w:val="auto"/>
              </w:rPr>
            </w:pPr>
            <w:r>
              <w:rPr>
                <w:rFonts w:ascii="Arial" w:cs="Arial" w:eastAsia="Arial" w:hAnsi="Arial"/>
                <w:sz w:val="12"/>
                <w:szCs w:val="12"/>
                <w:b w:val="1"/>
                <w:bCs w:val="1"/>
                <w:color w:val="auto"/>
              </w:rPr>
              <w:t>30004</w:t>
            </w: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91"/>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4000" w:type="dxa"/>
            <w:vAlign w:val="bottom"/>
            <w:gridSpan w:val="2"/>
          </w:tcPr>
          <w:p>
            <w:pPr>
              <w:ind w:left="1140"/>
              <w:spacing w:after="0"/>
              <w:rPr>
                <w:sz w:val="20"/>
                <w:szCs w:val="20"/>
                <w:color w:val="auto"/>
              </w:rPr>
            </w:pPr>
            <w:r>
              <w:rPr>
                <w:rFonts w:ascii="Arial" w:cs="Arial" w:eastAsia="Arial" w:hAnsi="Arial"/>
                <w:sz w:val="12"/>
                <w:szCs w:val="12"/>
                <w:b w:val="1"/>
                <w:bCs w:val="1"/>
                <w:color w:val="auto"/>
              </w:rPr>
              <w:t>Alpharetta,</w:t>
            </w:r>
          </w:p>
        </w:tc>
        <w:tc>
          <w:tcPr>
            <w:tcW w:w="3700" w:type="dxa"/>
            <w:vAlign w:val="bottom"/>
            <w:gridSpan w:val="4"/>
          </w:tcPr>
          <w:p>
            <w:pPr>
              <w:ind w:left="120"/>
              <w:spacing w:after="0"/>
              <w:rPr>
                <w:sz w:val="20"/>
                <w:szCs w:val="20"/>
                <w:color w:val="auto"/>
              </w:rPr>
            </w:pPr>
            <w:r>
              <w:rPr>
                <w:rFonts w:ascii="Arial" w:cs="Arial" w:eastAsia="Arial" w:hAnsi="Arial"/>
                <w:sz w:val="12"/>
                <w:szCs w:val="12"/>
                <w:b w:val="1"/>
                <w:bCs w:val="1"/>
                <w:color w:val="auto"/>
              </w:rPr>
              <w:t>Georgia</w:t>
            </w: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000" w:type="dxa"/>
            <w:vAlign w:val="bottom"/>
            <w:tcBorders>
              <w:top w:val="single" w:sz="8" w:color="auto"/>
            </w:tcBorders>
            <w:gridSpan w:val="2"/>
          </w:tcPr>
          <w:p>
            <w:pPr>
              <w:jc w:val="center"/>
              <w:ind w:left="1660"/>
              <w:spacing w:after="0"/>
              <w:rPr>
                <w:sz w:val="20"/>
                <w:szCs w:val="20"/>
                <w:color w:val="auto"/>
              </w:rPr>
            </w:pPr>
            <w:r>
              <w:rPr>
                <w:rFonts w:ascii="Arial" w:cs="Arial" w:eastAsia="Arial" w:hAnsi="Arial"/>
                <w:sz w:val="12"/>
                <w:szCs w:val="12"/>
                <w:color w:val="auto"/>
                <w:w w:val="92"/>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Arial" w:cs="Arial" w:eastAsia="Arial" w:hAnsi="Arial"/>
                <w:sz w:val="12"/>
                <w:szCs w:val="12"/>
                <w:color w:val="auto"/>
                <w:w w:val="91"/>
              </w:rPr>
              <w:t>(Zip Code)</w:t>
            </w:r>
          </w:p>
        </w:tc>
        <w:tc>
          <w:tcPr>
            <w:tcW w:w="20" w:type="dxa"/>
            <w:vAlign w:val="bottom"/>
            <w:tcBorders>
              <w:top w:val="single" w:sz="8" w:color="auto"/>
            </w:tcBorders>
          </w:tcPr>
          <w:p>
            <w:pPr>
              <w:spacing w:after="0"/>
              <w:rPr>
                <w:sz w:val="12"/>
                <w:szCs w:val="12"/>
                <w:color w:val="auto"/>
              </w:rPr>
            </w:pPr>
          </w:p>
        </w:tc>
      </w:tr>
    </w:tbl>
    <w:p>
      <w:pPr>
        <w:spacing w:after="0" w:line="19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u w:val="single" w:color="auto"/>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568" w:type="dxa"/>
        <w:tblCellMar>
          <w:top w:w="0" w:type="dxa"/>
          <w:left w:w="0" w:type="dxa"/>
          <w:bottom w:w="0" w:type="dxa"/>
          <w:right w:w="0" w:type="dxa"/>
        </w:tblCellMar>
      </w:tblPr>
      <w:tr>
        <w:trPr>
          <w:trHeight w:val="153"/>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Arial" w:cs="Arial" w:eastAsia="Arial" w:hAnsi="Arial"/>
                <w:sz w:val="12"/>
                <w:szCs w:val="12"/>
                <w:color w:val="auto"/>
                <w:w w:val="96"/>
              </w:rPr>
              <w:t>Securities registered pursuant to Section 12(b) of the Act:</w:t>
            </w:r>
          </w:p>
        </w:tc>
        <w:tc>
          <w:tcPr>
            <w:tcW w:w="3520" w:type="dxa"/>
            <w:vAlign w:val="bottom"/>
          </w:tcPr>
          <w:p>
            <w:pPr>
              <w:spacing w:after="0"/>
              <w:rPr>
                <w:sz w:val="13"/>
                <w:szCs w:val="13"/>
                <w:color w:val="auto"/>
              </w:rPr>
            </w:pPr>
          </w:p>
        </w:tc>
      </w:tr>
      <w:tr>
        <w:trPr>
          <w:trHeight w:val="225"/>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Title of each class</w:t>
            </w:r>
          </w:p>
        </w:tc>
        <w:tc>
          <w:tcPr>
            <w:tcW w:w="2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center"/>
              <w:ind w:right="840"/>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2"/>
        </w:trPr>
        <w:tc>
          <w:tcPr>
            <w:tcW w:w="360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Common stock, $0.001 par value</w:t>
            </w:r>
          </w:p>
        </w:tc>
        <w:tc>
          <w:tcPr>
            <w:tcW w:w="3060" w:type="dxa"/>
            <w:vAlign w:val="bottom"/>
            <w:gridSpan w:val="3"/>
          </w:tcPr>
          <w:p>
            <w:pPr>
              <w:jc w:val="center"/>
              <w:ind w:right="1080"/>
              <w:spacing w:after="0"/>
              <w:rPr>
                <w:sz w:val="20"/>
                <w:szCs w:val="20"/>
                <w:color w:val="auto"/>
              </w:rPr>
            </w:pPr>
            <w:r>
              <w:rPr>
                <w:rFonts w:ascii="Arial" w:cs="Arial" w:eastAsia="Arial" w:hAnsi="Arial"/>
                <w:sz w:val="12"/>
                <w:szCs w:val="12"/>
                <w:color w:val="auto"/>
                <w:w w:val="91"/>
              </w:rPr>
              <w:t>PRTH</w:t>
            </w:r>
          </w:p>
        </w:tc>
        <w:tc>
          <w:tcPr>
            <w:tcW w:w="3520" w:type="dxa"/>
            <w:vAlign w:val="bottom"/>
          </w:tcPr>
          <w:p>
            <w:pPr>
              <w:jc w:val="center"/>
              <w:ind w:right="840"/>
              <w:spacing w:after="0"/>
              <w:rPr>
                <w:sz w:val="20"/>
                <w:szCs w:val="20"/>
                <w:color w:val="auto"/>
              </w:rPr>
            </w:pPr>
            <w:r>
              <w:rPr>
                <w:rFonts w:ascii="Arial" w:cs="Arial" w:eastAsia="Arial" w:hAnsi="Arial"/>
                <w:sz w:val="12"/>
                <w:szCs w:val="12"/>
                <w:color w:val="auto"/>
                <w:w w:val="92"/>
              </w:rPr>
              <w:t>Nasdaq Global Market</w:t>
            </w:r>
          </w:p>
        </w:tc>
      </w:tr>
    </w:tbl>
    <w:p>
      <w:pPr>
        <w:spacing w:after="0" w:line="216" w:lineRule="exact"/>
        <w:rPr>
          <w:sz w:val="24"/>
          <w:szCs w:val="24"/>
          <w:color w:val="auto"/>
        </w:rPr>
      </w:pPr>
    </w:p>
    <w:p>
      <w:pPr>
        <w:ind w:left="8" w:right="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120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0" w:lineRule="exact"/>
        <w:rPr>
          <w:sz w:val="24"/>
          <w:szCs w:val="24"/>
          <w:color w:val="auto"/>
        </w:rPr>
      </w:pPr>
    </w:p>
    <w:p>
      <w:pPr>
        <w:ind w:left="8"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351790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2"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36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On August 9, 2021, Priority Technology Holdings, Inc. (“Priority”) issued a press release announcing its financial results for the quarter ended June 30, 2021. A copy of that press release is attached as Exhibit 99.1 to this Current Report on Form 8-K.</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99" w:lineRule="exact"/>
        <w:rPr>
          <w:sz w:val="20"/>
          <w:szCs w:val="20"/>
          <w:color w:val="auto"/>
        </w:rPr>
      </w:pPr>
    </w:p>
    <w:p>
      <w:pPr>
        <w:spacing w:after="0"/>
        <w:rPr>
          <w:sz w:val="20"/>
          <w:szCs w:val="20"/>
          <w:color w:val="auto"/>
        </w:rPr>
      </w:pPr>
      <w:r>
        <w:rPr>
          <w:rFonts w:ascii="Arial" w:cs="Arial" w:eastAsia="Arial" w:hAnsi="Arial"/>
          <w:sz w:val="10"/>
          <w:szCs w:val="10"/>
          <w:color w:val="auto"/>
        </w:rPr>
        <w:t>On August 9, 2021, Priority will hold an earnings conference call and webcast at 11:00 a.m. (Eastern Time) to discuss the financial results for the second quarter of 2021. The press release referenced in Item 2.02 contains information</w:t>
      </w:r>
    </w:p>
    <w:p>
      <w:pPr>
        <w:spacing w:after="0" w:line="5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about how to access the conference call and webcast. A copy of the slide presentation to be used during the earnings call and webcast is furnished as Exhibit 99.2 to this Current Report on Form 8-K. The slide presentation also will be available on our website, www.prth.com under the “Investor Relations” section.</w:t>
      </w:r>
    </w:p>
    <w:p>
      <w:pPr>
        <w:spacing w:after="0" w:line="133" w:lineRule="exact"/>
        <w:rPr>
          <w:sz w:val="20"/>
          <w:szCs w:val="20"/>
          <w:color w:val="auto"/>
        </w:rPr>
      </w:pPr>
    </w:p>
    <w:p>
      <w:pPr>
        <w:ind w:right="20"/>
        <w:spacing w:after="0" w:line="374" w:lineRule="auto"/>
        <w:rPr>
          <w:sz w:val="20"/>
          <w:szCs w:val="20"/>
          <w:color w:val="auto"/>
        </w:rPr>
      </w:pPr>
      <w:r>
        <w:rPr>
          <w:rFonts w:ascii="Arial" w:cs="Arial" w:eastAsia="Arial" w:hAnsi="Arial"/>
          <w:sz w:val="11"/>
          <w:szCs w:val="11"/>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(d) Exhibits – The following exhibit is furnished as part of this Current Report on Form 8-K.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Exhibit No.</w:t>
            </w:r>
          </w:p>
        </w:tc>
        <w:tc>
          <w:tcPr>
            <w:tcW w:w="3940" w:type="dxa"/>
            <w:vAlign w:val="bottom"/>
            <w:gridSpan w:val="3"/>
          </w:tcPr>
          <w:p>
            <w:pPr>
              <w:spacing w:after="0"/>
              <w:rPr>
                <w:sz w:val="20"/>
                <w:szCs w:val="20"/>
                <w:color w:val="auto"/>
              </w:rPr>
            </w:pPr>
            <w:r>
              <w:rPr>
                <w:rFonts w:ascii="Arial" w:cs="Arial" w:eastAsia="Arial" w:hAnsi="Arial"/>
                <w:sz w:val="12"/>
                <w:szCs w:val="12"/>
                <w:b w:val="1"/>
                <w:bCs w:val="1"/>
                <w:color w:val="auto"/>
              </w:rPr>
              <w:t>Description of Exhibit</w:t>
            </w:r>
          </w:p>
        </w:tc>
      </w:tr>
      <w:tr>
        <w:trPr>
          <w:trHeight w:val="126"/>
        </w:trPr>
        <w:tc>
          <w:tcPr>
            <w:tcW w:w="220" w:type="dxa"/>
            <w:vAlign w:val="bottom"/>
            <w:tcBorders>
              <w:bottom w:val="single" w:sz="8" w:color="0000FF"/>
            </w:tcBorders>
          </w:tcPr>
          <w:p>
            <w:pPr>
              <w:spacing w:after="0" w:line="126" w:lineRule="exact"/>
              <w:rPr>
                <w:rFonts w:ascii="Arial" w:cs="Arial" w:eastAsia="Arial" w:hAnsi="Arial"/>
                <w:sz w:val="12"/>
                <w:szCs w:val="12"/>
                <w:color w:val="0000FF"/>
                <w:w w:val="85"/>
              </w:rPr>
            </w:pPr>
            <w:hyperlink w:anchor="page3">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1</w:t>
              </w:r>
            </w:hyperlink>
          </w:p>
        </w:tc>
        <w:tc>
          <w:tcPr>
            <w:tcW w:w="940" w:type="dxa"/>
            <w:vAlign w:val="bottom"/>
          </w:tcPr>
          <w:p>
            <w:pPr>
              <w:spacing w:after="0"/>
              <w:rPr>
                <w:sz w:val="10"/>
                <w:szCs w:val="10"/>
                <w:color w:val="auto"/>
              </w:rPr>
            </w:pPr>
          </w:p>
        </w:tc>
        <w:tc>
          <w:tcPr>
            <w:tcW w:w="3540" w:type="dxa"/>
            <w:vAlign w:val="bottom"/>
            <w:tcBorders>
              <w:bottom w:val="single" w:sz="8" w:color="0000FF"/>
            </w:tcBorders>
            <w:gridSpan w:val="2"/>
          </w:tcPr>
          <w:p>
            <w:pPr>
              <w:spacing w:after="0" w:line="126" w:lineRule="exact"/>
              <w:rPr>
                <w:rFonts w:ascii="Arial" w:cs="Arial" w:eastAsia="Arial" w:hAnsi="Arial"/>
                <w:sz w:val="12"/>
                <w:szCs w:val="12"/>
                <w:color w:val="0000FF"/>
                <w:w w:val="90"/>
              </w:rPr>
            </w:pPr>
            <w:hyperlink w:anchor="page3">
              <w:r>
                <w:rPr>
                  <w:rFonts w:ascii="Arial" w:cs="Arial" w:eastAsia="Arial" w:hAnsi="Arial"/>
                  <w:sz w:val="12"/>
                  <w:szCs w:val="12"/>
                  <w:color w:val="0000FF"/>
                  <w:w w:val="90"/>
                </w:rPr>
                <w:t>Press Release of Priority Technology Holdings, Inc. dated August 9, 2021</w:t>
              </w:r>
            </w:hyperlink>
          </w:p>
        </w:tc>
        <w:tc>
          <w:tcPr>
            <w:tcW w:w="400" w:type="dxa"/>
            <w:vAlign w:val="bottom"/>
          </w:tcPr>
          <w:p>
            <w:pPr>
              <w:spacing w:after="0"/>
              <w:rPr>
                <w:sz w:val="10"/>
                <w:szCs w:val="10"/>
                <w:color w:val="auto"/>
              </w:rPr>
            </w:pPr>
          </w:p>
        </w:tc>
      </w:tr>
      <w:tr>
        <w:trPr>
          <w:trHeight w:val="133"/>
        </w:trPr>
        <w:tc>
          <w:tcPr>
            <w:tcW w:w="220" w:type="dxa"/>
            <w:vAlign w:val="bottom"/>
          </w:tcPr>
          <w:p>
            <w:pPr>
              <w:spacing w:after="0" w:line="133" w:lineRule="exact"/>
              <w:rPr>
                <w:rFonts w:ascii="Arial" w:cs="Arial" w:eastAsia="Arial" w:hAnsi="Arial"/>
                <w:sz w:val="12"/>
                <w:szCs w:val="12"/>
                <w:color w:val="0000FF"/>
                <w:w w:val="85"/>
              </w:rPr>
            </w:pPr>
            <w:hyperlink w:anchor="page13">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2</w:t>
              </w:r>
            </w:hyperlink>
          </w:p>
        </w:tc>
        <w:tc>
          <w:tcPr>
            <w:tcW w:w="940" w:type="dxa"/>
            <w:vAlign w:val="bottom"/>
          </w:tcPr>
          <w:p>
            <w:pPr>
              <w:spacing w:after="0"/>
              <w:rPr>
                <w:sz w:val="11"/>
                <w:szCs w:val="11"/>
                <w:color w:val="auto"/>
              </w:rPr>
            </w:pPr>
          </w:p>
        </w:tc>
        <w:tc>
          <w:tcPr>
            <w:tcW w:w="3940" w:type="dxa"/>
            <w:vAlign w:val="bottom"/>
            <w:gridSpan w:val="3"/>
          </w:tcPr>
          <w:p>
            <w:pPr>
              <w:spacing w:after="0" w:line="133" w:lineRule="exact"/>
              <w:rPr>
                <w:rFonts w:ascii="Arial" w:cs="Arial" w:eastAsia="Arial" w:hAnsi="Arial"/>
                <w:sz w:val="12"/>
                <w:szCs w:val="12"/>
                <w:color w:val="0000FF"/>
              </w:rPr>
            </w:pPr>
            <w:hyperlink w:anchor="page13">
              <w:r>
                <w:rPr>
                  <w:rFonts w:ascii="Arial" w:cs="Arial" w:eastAsia="Arial" w:hAnsi="Arial"/>
                  <w:sz w:val="12"/>
                  <w:szCs w:val="12"/>
                  <w:color w:val="0000FF"/>
                </w:rPr>
                <w:t>Slide Presentation</w:t>
              </w:r>
            </w:hyperlink>
          </w:p>
        </w:tc>
      </w:tr>
      <w:tr>
        <w:trPr>
          <w:trHeight w:val="20"/>
        </w:trPr>
        <w:tc>
          <w:tcPr>
            <w:tcW w:w="2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160"/>
        </w:trPr>
        <w:tc>
          <w:tcPr>
            <w:tcW w:w="220" w:type="dxa"/>
            <w:vAlign w:val="bottom"/>
          </w:tcPr>
          <w:p>
            <w:pPr>
              <w:spacing w:after="0"/>
              <w:rPr>
                <w:sz w:val="20"/>
                <w:szCs w:val="20"/>
                <w:color w:val="auto"/>
              </w:rPr>
            </w:pPr>
            <w:r>
              <w:rPr>
                <w:rFonts w:ascii="Arial" w:cs="Arial" w:eastAsia="Arial" w:hAnsi="Arial"/>
                <w:sz w:val="12"/>
                <w:szCs w:val="12"/>
                <w:color w:val="auto"/>
                <w:w w:val="99"/>
              </w:rPr>
              <w:t>104</w:t>
            </w:r>
          </w:p>
        </w:tc>
        <w:tc>
          <w:tcPr>
            <w:tcW w:w="940" w:type="dxa"/>
            <w:vAlign w:val="bottom"/>
          </w:tcPr>
          <w:p>
            <w:pPr>
              <w:spacing w:after="0"/>
              <w:rPr>
                <w:sz w:val="13"/>
                <w:szCs w:val="13"/>
                <w:color w:val="auto"/>
              </w:rPr>
            </w:pPr>
          </w:p>
        </w:tc>
        <w:tc>
          <w:tcPr>
            <w:tcW w:w="3940" w:type="dxa"/>
            <w:vAlign w:val="bottom"/>
            <w:gridSpan w:val="3"/>
          </w:tcPr>
          <w:p>
            <w:pPr>
              <w:spacing w:after="0"/>
              <w:rPr>
                <w:sz w:val="20"/>
                <w:szCs w:val="20"/>
                <w:color w:val="auto"/>
              </w:rPr>
            </w:pPr>
            <w:r>
              <w:rPr>
                <w:rFonts w:ascii="Arial" w:cs="Arial" w:eastAsia="Arial" w:hAnsi="Arial"/>
                <w:sz w:val="12"/>
                <w:szCs w:val="12"/>
                <w:color w:val="auto"/>
                <w:w w:val="92"/>
              </w:rPr>
              <w:t>The cover page from this Current Report on Form 8-K, formatted in Inline XBRL.</w:t>
            </w:r>
          </w:p>
        </w:tc>
      </w:tr>
    </w:tbl>
    <w:p>
      <w:pPr>
        <w:spacing w:after="0" w:line="3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Dated: August 9, 2021</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Michael Vollkommer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Michael Vollkommer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Title:  Chief Financial Officer</w:t>
      </w:r>
    </w:p>
    <w:p>
      <w:pPr>
        <w:sectPr>
          <w:pgSz w:w="11900" w:h="16838" w:orient="portrait"/>
          <w:cols w:equalWidth="0" w:num="1">
            <w:col w:w="11300"/>
          </w:cols>
          <w:pgMar w:left="300" w:top="667" w:right="2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2"/>
          <w:szCs w:val="12"/>
          <w:b w:val="1"/>
          <w:bCs w:val="1"/>
          <w:color w:val="auto"/>
        </w:rPr>
        <w:t>Priority Technology Holdings, Inc. Announces Second Quarter 2021 Financial Results</w:t>
      </w:r>
    </w:p>
    <w:p>
      <w:pPr>
        <w:spacing w:after="0" w:line="3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Strong Second Quarter Financial Performance and Increased Full Year Guidance</w:t>
      </w:r>
    </w:p>
    <w:p>
      <w:pPr>
        <w:spacing w:after="0" w:line="3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Capital Refinancing Strengthened the Balance Sheet, Increased Liquidity and Reduced Leverage</w:t>
      </w: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Pending Acquisition of Finxera Expected to Close in Third Quarter 2021</w:t>
      </w:r>
    </w:p>
    <w:p>
      <w:pPr>
        <w:spacing w:after="0" w:line="72"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ALPHARETTA, Ga., Aug. 9, 2021 /PRNewswire/ -- Priority Technology Holdings, Inc. (NASDAQ: PRTH) ("Priority" or the "Company"), a leading payments technology company helping customers collect, store and send money, today announced its second quarter 2021 financial results.</w:t>
      </w:r>
    </w:p>
    <w:p>
      <w:pPr>
        <w:spacing w:after="0" w:line="37"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u w:val="single" w:color="auto"/>
          <w:color w:val="auto"/>
        </w:rPr>
        <w:t>Highlights of Consolidated Results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Second Quarter 2021, Compared with Second Quarter 2020</w:t>
      </w:r>
    </w:p>
    <w:p>
      <w:pPr>
        <w:spacing w:after="0" w:line="74" w:lineRule="exact"/>
        <w:rPr>
          <w:sz w:val="20"/>
          <w:szCs w:val="20"/>
          <w:color w:val="auto"/>
        </w:rPr>
      </w:pPr>
    </w:p>
    <w:p>
      <w:pPr>
        <w:ind w:right="100"/>
        <w:spacing w:after="0" w:line="266" w:lineRule="auto"/>
        <w:rPr>
          <w:sz w:val="20"/>
          <w:szCs w:val="20"/>
          <w:color w:val="auto"/>
        </w:rPr>
      </w:pPr>
      <w:r>
        <w:rPr>
          <w:rFonts w:ascii="Arial" w:cs="Arial" w:eastAsia="Arial" w:hAnsi="Arial"/>
          <w:sz w:val="12"/>
          <w:szCs w:val="12"/>
          <w:color w:val="auto"/>
        </w:rPr>
        <w:t>The second quarter 2020 includes results of the RentPayment business sold to MRI Software in September 2020. Financial highlights of second quarter 2021 compared with second quarter 2020, are as follows (gross profit, gross profit margin, and adjusted EBITDA are non-GAAP measures</w:t>
      </w:r>
      <w:r>
        <w:rPr>
          <w:rFonts w:ascii="Arial" w:cs="Arial" w:eastAsia="Arial" w:hAnsi="Arial"/>
          <w:sz w:val="15"/>
          <w:szCs w:val="15"/>
          <w:color w:val="auto"/>
          <w:vertAlign w:val="superscript"/>
        </w:rPr>
        <w:t>1</w:t>
      </w:r>
      <w:r>
        <w:rPr>
          <w:rFonts w:ascii="Arial" w:cs="Arial" w:eastAsia="Arial" w:hAnsi="Arial"/>
          <w:sz w:val="12"/>
          <w:szCs w:val="12"/>
          <w:color w:val="auto"/>
        </w:rPr>
        <w:t>):</w:t>
      </w:r>
    </w:p>
    <w:p>
      <w:pPr>
        <w:spacing w:after="0" w:line="7" w:lineRule="exact"/>
        <w:rPr>
          <w:sz w:val="20"/>
          <w:szCs w:val="20"/>
          <w:color w:val="auto"/>
        </w:rPr>
      </w:pPr>
    </w:p>
    <w:p>
      <w:pPr>
        <w:ind w:left="540" w:hanging="212"/>
        <w:spacing w:after="0"/>
        <w:tabs>
          <w:tab w:leader="none" w:pos="54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Revenue of $125.0 million increased 35.4% from $92.4 million.</w:t>
      </w:r>
    </w:p>
    <w:p>
      <w:pPr>
        <w:spacing w:after="0" w:line="69" w:lineRule="exact"/>
        <w:rPr>
          <w:rFonts w:ascii="Arial" w:cs="Arial" w:eastAsia="Arial" w:hAnsi="Arial"/>
          <w:sz w:val="12"/>
          <w:szCs w:val="12"/>
          <w:color w:val="auto"/>
        </w:rPr>
      </w:pPr>
    </w:p>
    <w:p>
      <w:pPr>
        <w:ind w:left="540" w:hanging="212"/>
        <w:spacing w:after="0"/>
        <w:tabs>
          <w:tab w:leader="none" w:pos="540" w:val="left"/>
        </w:tabs>
        <w:numPr>
          <w:ilvl w:val="0"/>
          <w:numId w:val="2"/>
        </w:numPr>
        <w:rPr>
          <w:rFonts w:ascii="Arial" w:cs="Arial" w:eastAsia="Arial" w:hAnsi="Arial"/>
          <w:sz w:val="12"/>
          <w:szCs w:val="12"/>
          <w:color w:val="auto"/>
        </w:rPr>
      </w:pPr>
      <w:r>
        <w:rPr>
          <w:rFonts w:ascii="Arial" w:cs="Arial" w:eastAsia="Arial" w:hAnsi="Arial"/>
          <w:sz w:val="12"/>
          <w:szCs w:val="12"/>
          <w:color w:val="auto"/>
        </w:rPr>
        <w:t>Gross profit of $35.2 million increased 17.4% from $30.0 million.</w:t>
      </w:r>
    </w:p>
    <w:p>
      <w:pPr>
        <w:spacing w:after="0" w:line="60" w:lineRule="exact"/>
        <w:rPr>
          <w:rFonts w:ascii="Arial" w:cs="Arial" w:eastAsia="Arial" w:hAnsi="Arial"/>
          <w:sz w:val="12"/>
          <w:szCs w:val="12"/>
          <w:color w:val="auto"/>
        </w:rPr>
      </w:pPr>
    </w:p>
    <w:p>
      <w:pPr>
        <w:ind w:left="540" w:hanging="212"/>
        <w:spacing w:after="0"/>
        <w:tabs>
          <w:tab w:leader="none" w:pos="540" w:val="left"/>
        </w:tabs>
        <w:numPr>
          <w:ilvl w:val="0"/>
          <w:numId w:val="2"/>
        </w:numPr>
        <w:rPr>
          <w:rFonts w:ascii="Arial" w:cs="Arial" w:eastAsia="Arial" w:hAnsi="Arial"/>
          <w:sz w:val="12"/>
          <w:szCs w:val="12"/>
          <w:color w:val="auto"/>
        </w:rPr>
      </w:pPr>
      <w:r>
        <w:rPr>
          <w:rFonts w:ascii="Arial" w:cs="Arial" w:eastAsia="Arial" w:hAnsi="Arial"/>
          <w:sz w:val="12"/>
          <w:szCs w:val="12"/>
          <w:color w:val="auto"/>
        </w:rPr>
        <w:t>Gross profit margin of 28.1% decreased from 32.4%.</w:t>
      </w:r>
    </w:p>
    <w:p>
      <w:pPr>
        <w:spacing w:after="0" w:line="69" w:lineRule="exact"/>
        <w:rPr>
          <w:rFonts w:ascii="Arial" w:cs="Arial" w:eastAsia="Arial" w:hAnsi="Arial"/>
          <w:sz w:val="12"/>
          <w:szCs w:val="12"/>
          <w:color w:val="auto"/>
        </w:rPr>
      </w:pPr>
    </w:p>
    <w:p>
      <w:pPr>
        <w:ind w:left="540" w:hanging="212"/>
        <w:spacing w:after="0"/>
        <w:tabs>
          <w:tab w:leader="none" w:pos="54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Income from operations of $7.4 million increased 83.7% from $4.0 million, including non-recurring expenses of $1.8 million and $1.4 million in second quarter 2021 and 2020, respectively.</w:t>
      </w:r>
    </w:p>
    <w:p>
      <w:pPr>
        <w:spacing w:after="0" w:line="69" w:lineRule="exact"/>
        <w:rPr>
          <w:rFonts w:ascii="Arial" w:cs="Arial" w:eastAsia="Arial" w:hAnsi="Arial"/>
          <w:sz w:val="12"/>
          <w:szCs w:val="12"/>
          <w:color w:val="auto"/>
        </w:rPr>
      </w:pPr>
    </w:p>
    <w:p>
      <w:pPr>
        <w:ind w:left="540" w:hanging="212"/>
        <w:spacing w:after="0"/>
        <w:tabs>
          <w:tab w:leader="none" w:pos="540" w:val="left"/>
        </w:tabs>
        <w:numPr>
          <w:ilvl w:val="0"/>
          <w:numId w:val="2"/>
        </w:numPr>
        <w:rPr>
          <w:rFonts w:ascii="Arial" w:cs="Arial" w:eastAsia="Arial" w:hAnsi="Arial"/>
          <w:sz w:val="12"/>
          <w:szCs w:val="12"/>
          <w:color w:val="auto"/>
        </w:rPr>
      </w:pPr>
      <w:r>
        <w:rPr>
          <w:rFonts w:ascii="Arial" w:cs="Arial" w:eastAsia="Arial" w:hAnsi="Arial"/>
          <w:sz w:val="12"/>
          <w:szCs w:val="12"/>
          <w:color w:val="auto"/>
        </w:rPr>
        <w:t>Loss before income taxes of $8.0 million includes $8.3 million of debt extinguishment and modification costs, and compares with a loss before income taxes of $7.4 million in second quarter 2020.</w:t>
      </w:r>
    </w:p>
    <w:p>
      <w:pPr>
        <w:spacing w:after="0" w:line="60" w:lineRule="exact"/>
        <w:rPr>
          <w:rFonts w:ascii="Arial" w:cs="Arial" w:eastAsia="Arial" w:hAnsi="Arial"/>
          <w:sz w:val="12"/>
          <w:szCs w:val="12"/>
          <w:color w:val="auto"/>
        </w:rPr>
      </w:pPr>
    </w:p>
    <w:p>
      <w:pPr>
        <w:ind w:left="540" w:right="180" w:hanging="212"/>
        <w:spacing w:after="0" w:line="261" w:lineRule="auto"/>
        <w:tabs>
          <w:tab w:leader="none" w:pos="537" w:val="left"/>
        </w:tabs>
        <w:numPr>
          <w:ilvl w:val="0"/>
          <w:numId w:val="2"/>
        </w:numPr>
        <w:rPr>
          <w:rFonts w:ascii="Arial" w:cs="Arial" w:eastAsia="Arial" w:hAnsi="Arial"/>
          <w:sz w:val="12"/>
          <w:szCs w:val="12"/>
          <w:color w:val="auto"/>
        </w:rPr>
      </w:pPr>
      <w:r>
        <w:rPr>
          <w:rFonts w:ascii="Arial" w:cs="Arial" w:eastAsia="Arial" w:hAnsi="Arial"/>
          <w:sz w:val="12"/>
          <w:szCs w:val="12"/>
          <w:color w:val="auto"/>
        </w:rPr>
        <w:t>Diluted loss per share of $0.35, which includes the impact of $8.3 million of debt extinguishment and modification costs and a $10.8 million non-controlling interest preferred unit redemption in second quarter 2021, compares with a diluted loss per share of $0.12 in second quarter 2020.</w:t>
      </w:r>
    </w:p>
    <w:p>
      <w:pPr>
        <w:spacing w:after="0" w:line="50" w:lineRule="exact"/>
        <w:rPr>
          <w:rFonts w:ascii="Arial" w:cs="Arial" w:eastAsia="Arial" w:hAnsi="Arial"/>
          <w:sz w:val="12"/>
          <w:szCs w:val="12"/>
          <w:color w:val="auto"/>
        </w:rPr>
      </w:pPr>
    </w:p>
    <w:p>
      <w:pPr>
        <w:ind w:left="540" w:hanging="212"/>
        <w:spacing w:after="0"/>
        <w:tabs>
          <w:tab w:leader="none" w:pos="540"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of $21.0 million increased 26.1% from $16.7 million.</w:t>
      </w:r>
    </w:p>
    <w:p>
      <w:pPr>
        <w:spacing w:after="0" w:line="62" w:lineRule="exact"/>
        <w:rPr>
          <w:rFonts w:ascii="Arial" w:cs="Arial" w:eastAsia="Arial" w:hAnsi="Arial"/>
          <w:sz w:val="12"/>
          <w:szCs w:val="12"/>
          <w:color w:val="auto"/>
        </w:rPr>
      </w:pPr>
    </w:p>
    <w:p>
      <w:pPr>
        <w:ind w:left="540" w:hanging="212"/>
        <w:spacing w:after="0"/>
        <w:tabs>
          <w:tab w:leader="none" w:pos="5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Total net leverage ratio of 3.43x at June 30, 2021 decreased from 5.44x at March 31, 2021</w:t>
      </w:r>
      <w:r>
        <w:rPr>
          <w:rFonts w:ascii="Arial" w:cs="Arial" w:eastAsia="Arial" w:hAnsi="Arial"/>
          <w:sz w:val="15"/>
          <w:szCs w:val="15"/>
          <w:color w:val="auto"/>
          <w:vertAlign w:val="superscript"/>
        </w:rPr>
        <w:t>1</w:t>
      </w:r>
      <w:r>
        <w:rPr>
          <w:rFonts w:ascii="Arial" w:cs="Arial" w:eastAsia="Arial" w:hAnsi="Arial"/>
          <w:sz w:val="12"/>
          <w:szCs w:val="12"/>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The second quarter 2021 results compared with second quarter 2020 results, excluding the RentPayment business sold in September 2020 and non-recurring expenses from both quarters</w:t>
      </w:r>
      <w:r>
        <w:rPr>
          <w:rFonts w:ascii="Arial" w:cs="Arial" w:eastAsia="Arial" w:hAnsi="Arial"/>
          <w:sz w:val="15"/>
          <w:szCs w:val="15"/>
          <w:color w:val="auto"/>
          <w:vertAlign w:val="superscript"/>
        </w:rPr>
        <w:t>2,3</w:t>
      </w:r>
      <w:r>
        <w:rPr>
          <w:rFonts w:ascii="Arial" w:cs="Arial" w:eastAsia="Arial" w:hAnsi="Arial"/>
          <w:sz w:val="12"/>
          <w:szCs w:val="12"/>
          <w:color w:val="auto"/>
        </w:rPr>
        <w:t>, are as follows:</w:t>
      </w:r>
    </w:p>
    <w:p>
      <w:pPr>
        <w:spacing w:after="0" w:line="35" w:lineRule="exact"/>
        <w:rPr>
          <w:sz w:val="20"/>
          <w:szCs w:val="20"/>
          <w:color w:val="auto"/>
        </w:rPr>
      </w:pPr>
    </w:p>
    <w:p>
      <w:pPr>
        <w:ind w:left="540" w:hanging="212"/>
        <w:spacing w:after="0"/>
        <w:tabs>
          <w:tab w:leader="none" w:pos="5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Revenue of $125.0 million increased 42.1% from $88.0 million.</w:t>
      </w:r>
    </w:p>
    <w:p>
      <w:pPr>
        <w:spacing w:after="0" w:line="60" w:lineRule="exact"/>
        <w:rPr>
          <w:rFonts w:ascii="Arial" w:cs="Arial" w:eastAsia="Arial" w:hAnsi="Arial"/>
          <w:sz w:val="12"/>
          <w:szCs w:val="12"/>
          <w:color w:val="auto"/>
        </w:rPr>
      </w:pPr>
    </w:p>
    <w:p>
      <w:pPr>
        <w:ind w:left="540" w:hanging="212"/>
        <w:spacing w:after="0"/>
        <w:tabs>
          <w:tab w:leader="none" w:pos="540" w:val="left"/>
        </w:tabs>
        <w:numPr>
          <w:ilvl w:val="0"/>
          <w:numId w:val="3"/>
        </w:numPr>
        <w:rPr>
          <w:rFonts w:ascii="Arial" w:cs="Arial" w:eastAsia="Arial" w:hAnsi="Arial"/>
          <w:sz w:val="12"/>
          <w:szCs w:val="12"/>
          <w:color w:val="auto"/>
        </w:rPr>
      </w:pPr>
      <w:r>
        <w:rPr>
          <w:rFonts w:ascii="Arial" w:cs="Arial" w:eastAsia="Arial" w:hAnsi="Arial"/>
          <w:sz w:val="12"/>
          <w:szCs w:val="12"/>
          <w:color w:val="auto"/>
        </w:rPr>
        <w:t>Gross profit of $35.2 million increased 35.0% from $26.1 million.</w:t>
      </w:r>
    </w:p>
    <w:p>
      <w:pPr>
        <w:spacing w:after="0" w:line="69" w:lineRule="exact"/>
        <w:rPr>
          <w:rFonts w:ascii="Arial" w:cs="Arial" w:eastAsia="Arial" w:hAnsi="Arial"/>
          <w:sz w:val="12"/>
          <w:szCs w:val="12"/>
          <w:color w:val="auto"/>
        </w:rPr>
      </w:pPr>
    </w:p>
    <w:p>
      <w:pPr>
        <w:ind w:left="540" w:hanging="212"/>
        <w:spacing w:after="0"/>
        <w:tabs>
          <w:tab w:leader="none" w:pos="540" w:val="left"/>
        </w:tabs>
        <w:numPr>
          <w:ilvl w:val="0"/>
          <w:numId w:val="3"/>
        </w:numPr>
        <w:rPr>
          <w:rFonts w:ascii="Arial" w:cs="Arial" w:eastAsia="Arial" w:hAnsi="Arial"/>
          <w:sz w:val="12"/>
          <w:szCs w:val="12"/>
          <w:color w:val="auto"/>
        </w:rPr>
      </w:pPr>
      <w:r>
        <w:rPr>
          <w:rFonts w:ascii="Arial" w:cs="Arial" w:eastAsia="Arial" w:hAnsi="Arial"/>
          <w:sz w:val="12"/>
          <w:szCs w:val="12"/>
          <w:color w:val="auto"/>
        </w:rPr>
        <w:t>Gross profit margin of 28.1% decreased from 29.6%.</w:t>
      </w:r>
    </w:p>
    <w:p>
      <w:pPr>
        <w:spacing w:after="0" w:line="69" w:lineRule="exact"/>
        <w:rPr>
          <w:rFonts w:ascii="Arial" w:cs="Arial" w:eastAsia="Arial" w:hAnsi="Arial"/>
          <w:sz w:val="12"/>
          <w:szCs w:val="12"/>
          <w:color w:val="auto"/>
        </w:rPr>
      </w:pPr>
    </w:p>
    <w:p>
      <w:pPr>
        <w:ind w:left="540" w:hanging="212"/>
        <w:spacing w:after="0"/>
        <w:tabs>
          <w:tab w:leader="none" w:pos="5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Income from operations of $9.2 million increased 161.3% from $3.5 million.</w:t>
      </w:r>
    </w:p>
    <w:p>
      <w:pPr>
        <w:spacing w:after="0" w:line="60" w:lineRule="exact"/>
        <w:rPr>
          <w:rFonts w:ascii="Arial" w:cs="Arial" w:eastAsia="Arial" w:hAnsi="Arial"/>
          <w:sz w:val="12"/>
          <w:szCs w:val="12"/>
          <w:color w:val="auto"/>
        </w:rPr>
      </w:pPr>
    </w:p>
    <w:p>
      <w:pPr>
        <w:ind w:left="540" w:hanging="212"/>
        <w:spacing w:after="0"/>
        <w:tabs>
          <w:tab w:leader="none" w:pos="540" w:val="left"/>
        </w:tabs>
        <w:numPr>
          <w:ilvl w:val="0"/>
          <w:numId w:val="3"/>
        </w:numPr>
        <w:rPr>
          <w:rFonts w:ascii="Arial" w:cs="Arial" w:eastAsia="Arial" w:hAnsi="Arial"/>
          <w:sz w:val="12"/>
          <w:szCs w:val="12"/>
          <w:color w:val="auto"/>
        </w:rPr>
      </w:pPr>
      <w:r>
        <w:rPr>
          <w:rFonts w:ascii="Arial" w:cs="Arial" w:eastAsia="Arial" w:hAnsi="Arial"/>
          <w:sz w:val="12"/>
          <w:szCs w:val="12"/>
          <w:color w:val="auto"/>
        </w:rPr>
        <w:t>Adjusted EBITDA of $21.0 million increased 54.9% from $13.6 million.</w:t>
      </w:r>
    </w:p>
    <w:p>
      <w:pPr>
        <w:spacing w:after="0" w:line="69" w:lineRule="exact"/>
        <w:rPr>
          <w:sz w:val="20"/>
          <w:szCs w:val="20"/>
          <w:color w:val="auto"/>
        </w:rPr>
      </w:pPr>
    </w:p>
    <w:p>
      <w:pPr>
        <w:ind w:right="320"/>
        <w:spacing w:after="0" w:line="261" w:lineRule="auto"/>
        <w:rPr>
          <w:sz w:val="20"/>
          <w:szCs w:val="20"/>
          <w:color w:val="auto"/>
        </w:rPr>
      </w:pPr>
      <w:r>
        <w:rPr>
          <w:rFonts w:ascii="Arial" w:cs="Arial" w:eastAsia="Arial" w:hAnsi="Arial"/>
          <w:sz w:val="12"/>
          <w:szCs w:val="12"/>
          <w:color w:val="auto"/>
        </w:rPr>
        <w:t>"Our strong second quarter results reinforce the power of our payments platform and relentless focus on execution," said Tom Priore, Chairman and Chief Executive Officer of Priority. "As we advance the full integration of Finxera's virtual banking capabilities in the coming quarter, we are poised to achieve our mission to be the premier partner for merchants and ISVs to collect, store, and send money."</w:t>
      </w:r>
    </w:p>
    <w:p>
      <w:pPr>
        <w:sectPr>
          <w:pgSz w:w="11900" w:h="16838" w:orient="portrait"/>
          <w:cols w:equalWidth="0" w:num="1">
            <w:col w:w="11220"/>
          </w:cols>
          <w:pgMar w:left="300" w:top="1196" w:right="379" w:bottom="1440" w:gutter="0" w:footer="0" w:header="0"/>
        </w:sectPr>
      </w:pPr>
    </w:p>
    <w:bookmarkStart w:id="3" w:name="page4"/>
    <w:bookmarkEnd w:id="3"/>
    <w:p>
      <w:pPr>
        <w:ind w:left="8" w:right="40"/>
        <w:spacing w:after="0" w:line="231" w:lineRule="auto"/>
        <w:rPr>
          <w:sz w:val="20"/>
          <w:szCs w:val="20"/>
          <w:color w:val="auto"/>
        </w:rPr>
      </w:pPr>
      <w:r>
        <w:rPr>
          <w:rFonts w:ascii="Arial" w:cs="Arial" w:eastAsia="Arial" w:hAnsi="Arial"/>
          <w:sz w:val="12"/>
          <w:szCs w:val="12"/>
          <w:color w:val="auto"/>
        </w:rPr>
        <w:t>The Company announced during first quarter 2021 that it entered into an agreement to acquire Finxera Holdings, Inc. ("Finxera"). That acquisition is expected to close in third quarter 2021. In second quarter 2021, Finxera generated revenue of $16.6 million, gross profit of $15.5 million, and Adjusted EBITDA of $11.1 million. On a pro forma basis</w:t>
      </w:r>
      <w:r>
        <w:rPr>
          <w:rFonts w:ascii="Arial" w:cs="Arial" w:eastAsia="Arial" w:hAnsi="Arial"/>
          <w:sz w:val="15"/>
          <w:szCs w:val="15"/>
          <w:color w:val="auto"/>
          <w:vertAlign w:val="superscript"/>
        </w:rPr>
        <w:t>4</w:t>
      </w:r>
      <w:r>
        <w:rPr>
          <w:rFonts w:ascii="Arial" w:cs="Arial" w:eastAsia="Arial" w:hAnsi="Arial"/>
          <w:sz w:val="12"/>
          <w:szCs w:val="12"/>
          <w:color w:val="auto"/>
        </w:rPr>
        <w:t>, including second quarter and first half results of Finxera, together with pro forma adjustments for June 2021 and April 2021 tuck-in reseller acquisitions, second quarter and first half 2021 financial results (excluding revenue and cost synergies) are as follows:</w:t>
      </w:r>
    </w:p>
    <w:p>
      <w:pPr>
        <w:spacing w:after="0" w:line="54" w:lineRule="exact"/>
        <w:rPr>
          <w:sz w:val="20"/>
          <w:szCs w:val="20"/>
          <w:color w:val="auto"/>
        </w:rPr>
      </w:pPr>
    </w:p>
    <w:p>
      <w:pPr>
        <w:ind w:left="548" w:hanging="212"/>
        <w:spacing w:after="0"/>
        <w:tabs>
          <w:tab w:leader="none" w:pos="548" w:val="left"/>
        </w:tabs>
        <w:numPr>
          <w:ilvl w:val="1"/>
          <w:numId w:val="4"/>
        </w:numPr>
        <w:rPr>
          <w:rFonts w:ascii="Arial" w:cs="Arial" w:eastAsia="Arial" w:hAnsi="Arial"/>
          <w:sz w:val="12"/>
          <w:szCs w:val="12"/>
          <w:color w:val="auto"/>
        </w:rPr>
      </w:pPr>
      <w:r>
        <w:rPr>
          <w:rFonts w:ascii="Arial" w:cs="Arial" w:eastAsia="Arial" w:hAnsi="Arial"/>
          <w:sz w:val="12"/>
          <w:szCs w:val="12"/>
          <w:color w:val="auto"/>
        </w:rPr>
        <w:t>Revenue of $142.9 million in second quarter 2021, and $275.1 million in first half 2021.</w:t>
      </w:r>
    </w:p>
    <w:p>
      <w:pPr>
        <w:spacing w:after="0" w:line="69" w:lineRule="exact"/>
        <w:rPr>
          <w:rFonts w:ascii="Arial" w:cs="Arial" w:eastAsia="Arial" w:hAnsi="Arial"/>
          <w:sz w:val="12"/>
          <w:szCs w:val="12"/>
          <w:color w:val="auto"/>
        </w:rPr>
      </w:pPr>
    </w:p>
    <w:p>
      <w:pPr>
        <w:ind w:left="548" w:hanging="212"/>
        <w:spacing w:after="0"/>
        <w:tabs>
          <w:tab w:leader="none" w:pos="548" w:val="left"/>
        </w:tabs>
        <w:numPr>
          <w:ilvl w:val="1"/>
          <w:numId w:val="4"/>
        </w:numPr>
        <w:rPr>
          <w:rFonts w:ascii="Arial" w:cs="Arial" w:eastAsia="Arial" w:hAnsi="Arial"/>
          <w:sz w:val="12"/>
          <w:szCs w:val="12"/>
          <w:color w:val="auto"/>
        </w:rPr>
      </w:pPr>
      <w:r>
        <w:rPr>
          <w:rFonts w:ascii="Arial" w:cs="Arial" w:eastAsia="Arial" w:hAnsi="Arial"/>
          <w:sz w:val="12"/>
          <w:szCs w:val="12"/>
          <w:color w:val="auto"/>
        </w:rPr>
        <w:t>Gross profit of $51.7 million in second quarter 2021, and $104.6 million in first half 2021.</w:t>
      </w:r>
    </w:p>
    <w:p>
      <w:pPr>
        <w:spacing w:after="0" w:line="69" w:lineRule="exact"/>
        <w:rPr>
          <w:rFonts w:ascii="Arial" w:cs="Arial" w:eastAsia="Arial" w:hAnsi="Arial"/>
          <w:sz w:val="12"/>
          <w:szCs w:val="12"/>
          <w:color w:val="auto"/>
        </w:rPr>
      </w:pPr>
    </w:p>
    <w:p>
      <w:pPr>
        <w:ind w:left="548" w:hanging="212"/>
        <w:spacing w:after="0"/>
        <w:tabs>
          <w:tab w:leader="none" w:pos="548" w:val="left"/>
        </w:tabs>
        <w:numPr>
          <w:ilvl w:val="1"/>
          <w:numId w:val="4"/>
        </w:numPr>
        <w:rPr>
          <w:rFonts w:ascii="Arial" w:cs="Arial" w:eastAsia="Arial" w:hAnsi="Arial"/>
          <w:sz w:val="12"/>
          <w:szCs w:val="12"/>
          <w:color w:val="auto"/>
        </w:rPr>
      </w:pPr>
      <w:r>
        <w:rPr>
          <w:rFonts w:ascii="Arial" w:cs="Arial" w:eastAsia="Arial" w:hAnsi="Arial"/>
          <w:sz w:val="12"/>
          <w:szCs w:val="12"/>
          <w:color w:val="auto"/>
        </w:rPr>
        <w:t>Gross profit margin of 36.2% in second quarter 2021, and 38.0% million in first half 2021.</w:t>
      </w:r>
    </w:p>
    <w:p>
      <w:pPr>
        <w:spacing w:after="0" w:line="60" w:lineRule="exact"/>
        <w:rPr>
          <w:rFonts w:ascii="Arial" w:cs="Arial" w:eastAsia="Arial" w:hAnsi="Arial"/>
          <w:sz w:val="12"/>
          <w:szCs w:val="12"/>
          <w:color w:val="auto"/>
        </w:rPr>
      </w:pPr>
    </w:p>
    <w:p>
      <w:pPr>
        <w:ind w:left="548" w:hanging="212"/>
        <w:spacing w:after="0"/>
        <w:tabs>
          <w:tab w:leader="none" w:pos="548" w:val="left"/>
        </w:tabs>
        <w:numPr>
          <w:ilvl w:val="1"/>
          <w:numId w:val="4"/>
        </w:numPr>
        <w:rPr>
          <w:rFonts w:ascii="Arial" w:cs="Arial" w:eastAsia="Arial" w:hAnsi="Arial"/>
          <w:sz w:val="12"/>
          <w:szCs w:val="12"/>
          <w:color w:val="auto"/>
        </w:rPr>
      </w:pPr>
      <w:r>
        <w:rPr>
          <w:rFonts w:ascii="Arial" w:cs="Arial" w:eastAsia="Arial" w:hAnsi="Arial"/>
          <w:sz w:val="12"/>
          <w:szCs w:val="12"/>
          <w:color w:val="auto"/>
        </w:rPr>
        <w:t>Adjusted EBITDA of $32.8 million in second quarter 2021, and $67.9 million in first half 2021.</w:t>
      </w:r>
    </w:p>
    <w:p>
      <w:pPr>
        <w:spacing w:after="0" w:line="57" w:lineRule="exact"/>
        <w:rPr>
          <w:rFonts w:ascii="Arial" w:cs="Arial" w:eastAsia="Arial" w:hAnsi="Arial"/>
          <w:sz w:val="12"/>
          <w:szCs w:val="12"/>
          <w:color w:val="auto"/>
        </w:rPr>
      </w:pPr>
    </w:p>
    <w:p>
      <w:pPr>
        <w:ind w:left="8" w:right="220" w:hanging="8"/>
        <w:spacing w:after="0" w:line="260" w:lineRule="auto"/>
        <w:tabs>
          <w:tab w:leader="none" w:pos="188" w:val="left"/>
        </w:tabs>
        <w:numPr>
          <w:ilvl w:val="0"/>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See "Non-GAAP Financial Measures" and the reconciliations of Gross Profit, Gross Profit Margin, and Adjusted EBITDA to their most comparable GAAP measures, and the calculation of Total Net Leverage Ratio as of June 30, 2021 provided below for additional information.</w:t>
      </w:r>
    </w:p>
    <w:p>
      <w:pPr>
        <w:spacing w:after="0" w:line="1" w:lineRule="exact"/>
        <w:rPr>
          <w:rFonts w:ascii="Arial" w:cs="Arial" w:eastAsia="Arial" w:hAnsi="Arial"/>
          <w:sz w:val="12"/>
          <w:szCs w:val="12"/>
          <w:i w:val="1"/>
          <w:iCs w:val="1"/>
          <w:color w:val="auto"/>
        </w:rPr>
      </w:pPr>
    </w:p>
    <w:p>
      <w:pPr>
        <w:ind w:left="188" w:hanging="188"/>
        <w:spacing w:after="0"/>
        <w:tabs>
          <w:tab w:leader="none" w:pos="188" w:val="left"/>
        </w:tabs>
        <w:numPr>
          <w:ilvl w:val="0"/>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See "Results With and Without RentPayment" for a summary of the results for the three months ended June 30, 2020, excluding the actual results of the RentPayment business sold in September 2020.</w:t>
      </w:r>
    </w:p>
    <w:p>
      <w:pPr>
        <w:spacing w:after="0" w:line="6" w:lineRule="exact"/>
        <w:rPr>
          <w:rFonts w:ascii="Arial" w:cs="Arial" w:eastAsia="Arial" w:hAnsi="Arial"/>
          <w:sz w:val="12"/>
          <w:szCs w:val="12"/>
          <w:i w:val="1"/>
          <w:iCs w:val="1"/>
          <w:color w:val="auto"/>
        </w:rPr>
      </w:pPr>
    </w:p>
    <w:p>
      <w:pPr>
        <w:ind w:left="188" w:hanging="188"/>
        <w:spacing w:after="0"/>
        <w:tabs>
          <w:tab w:leader="none" w:pos="188" w:val="left"/>
        </w:tabs>
        <w:numPr>
          <w:ilvl w:val="0"/>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See "Non-GAAP Financial Measures" for the details of non-recurring expenses for the three months ended June 30, 2021 and 2020.</w:t>
      </w:r>
    </w:p>
    <w:p>
      <w:pPr>
        <w:spacing w:after="0" w:line="6" w:lineRule="exact"/>
        <w:rPr>
          <w:rFonts w:ascii="Arial" w:cs="Arial" w:eastAsia="Arial" w:hAnsi="Arial"/>
          <w:sz w:val="12"/>
          <w:szCs w:val="12"/>
          <w:i w:val="1"/>
          <w:iCs w:val="1"/>
          <w:color w:val="auto"/>
        </w:rPr>
      </w:pPr>
    </w:p>
    <w:p>
      <w:pPr>
        <w:ind w:left="8" w:right="420" w:hanging="8"/>
        <w:spacing w:after="0" w:line="261" w:lineRule="auto"/>
        <w:tabs>
          <w:tab w:leader="none" w:pos="188" w:val="left"/>
        </w:tabs>
        <w:numPr>
          <w:ilvl w:val="0"/>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See "Pro Forma Results" for a presentation of second quarter and first half 2021 results including the actual second quarter and first half 2021 results of Finxera and the April 2021 and June 2021 tuck-in acquisitions.</w:t>
      </w:r>
    </w:p>
    <w:p>
      <w:pPr>
        <w:spacing w:after="0" w:line="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Revised Full Year 2021 Financial Guidance</w:t>
      </w:r>
    </w:p>
    <w:p>
      <w:pPr>
        <w:spacing w:after="0" w:line="74" w:lineRule="exact"/>
        <w:rPr>
          <w:sz w:val="20"/>
          <w:szCs w:val="20"/>
          <w:color w:val="auto"/>
        </w:rPr>
      </w:pPr>
    </w:p>
    <w:p>
      <w:pPr>
        <w:ind w:left="8"/>
        <w:spacing w:after="0" w:line="261" w:lineRule="auto"/>
        <w:rPr>
          <w:sz w:val="20"/>
          <w:szCs w:val="20"/>
          <w:color w:val="auto"/>
        </w:rPr>
      </w:pPr>
      <w:r>
        <w:rPr>
          <w:rFonts w:ascii="Arial" w:cs="Arial" w:eastAsia="Arial" w:hAnsi="Arial"/>
          <w:sz w:val="12"/>
          <w:szCs w:val="12"/>
          <w:color w:val="auto"/>
        </w:rPr>
        <w:t>The Company outperformed its plan for revenue and adjusted EBITDA in the six months ended June 30, 2021. As a result of stronger than expected organic growth and the impact of the second quarter 2021 tuck-in acquisitions, the Company has updated its outlook for full year 2021, before any further increases related to the anticipated acquisition of Finxera, as follows:</w:t>
      </w:r>
    </w:p>
    <w:p>
      <w:pPr>
        <w:spacing w:after="0" w:line="51" w:lineRule="exact"/>
        <w:rPr>
          <w:sz w:val="20"/>
          <w:szCs w:val="20"/>
          <w:color w:val="auto"/>
        </w:rPr>
      </w:pPr>
    </w:p>
    <w:p>
      <w:pPr>
        <w:ind w:left="548" w:hanging="212"/>
        <w:spacing w:after="0"/>
        <w:tabs>
          <w:tab w:leader="none" w:pos="548" w:val="left"/>
        </w:tabs>
        <w:numPr>
          <w:ilvl w:val="0"/>
          <w:numId w:val="5"/>
        </w:numPr>
        <w:rPr>
          <w:rFonts w:ascii="Arial" w:cs="Arial" w:eastAsia="Arial" w:hAnsi="Arial"/>
          <w:sz w:val="12"/>
          <w:szCs w:val="12"/>
          <w:color w:val="auto"/>
        </w:rPr>
      </w:pPr>
      <w:r>
        <w:rPr>
          <w:rFonts w:ascii="Arial" w:cs="Arial" w:eastAsia="Arial" w:hAnsi="Arial"/>
          <w:sz w:val="12"/>
          <w:szCs w:val="12"/>
          <w:color w:val="auto"/>
        </w:rPr>
        <w:t>Revenue is forecast to range between $480 to $500 million, a growth of 22% to 28% above 2020 revenue of $392.3 million, excluding RentPayment.</w:t>
      </w:r>
    </w:p>
    <w:p>
      <w:pPr>
        <w:spacing w:after="0" w:line="69" w:lineRule="exact"/>
        <w:rPr>
          <w:rFonts w:ascii="Arial" w:cs="Arial" w:eastAsia="Arial" w:hAnsi="Arial"/>
          <w:sz w:val="12"/>
          <w:szCs w:val="12"/>
          <w:color w:val="auto"/>
        </w:rPr>
      </w:pPr>
    </w:p>
    <w:p>
      <w:pPr>
        <w:ind w:left="548" w:hanging="212"/>
        <w:spacing w:after="0"/>
        <w:tabs>
          <w:tab w:leader="none" w:pos="548" w:val="left"/>
        </w:tabs>
        <w:numPr>
          <w:ilvl w:val="0"/>
          <w:numId w:val="5"/>
        </w:numPr>
        <w:rPr>
          <w:rFonts w:ascii="Arial" w:cs="Arial" w:eastAsia="Arial" w:hAnsi="Arial"/>
          <w:sz w:val="12"/>
          <w:szCs w:val="12"/>
          <w:color w:val="auto"/>
        </w:rPr>
      </w:pPr>
      <w:r>
        <w:rPr>
          <w:rFonts w:ascii="Arial" w:cs="Arial" w:eastAsia="Arial" w:hAnsi="Arial"/>
          <w:sz w:val="12"/>
          <w:szCs w:val="12"/>
          <w:color w:val="auto"/>
        </w:rPr>
        <w:t>Adjusted EBITDA (a non-GAAP measure) is forecast to range between $82 to $86 million, a growth of 32% to 39% above 2020 adjusted EBITDA of $62.1 million, excluding RentPayment.</w:t>
      </w:r>
    </w:p>
    <w:p>
      <w:pPr>
        <w:spacing w:after="0" w:line="46" w:lineRule="exact"/>
        <w:rPr>
          <w:rFonts w:ascii="Arial" w:cs="Arial" w:eastAsia="Arial" w:hAnsi="Arial"/>
          <w:sz w:val="12"/>
          <w:szCs w:val="12"/>
          <w:color w:val="auto"/>
        </w:rPr>
      </w:pPr>
    </w:p>
    <w:p>
      <w:pPr>
        <w:ind w:left="5188"/>
        <w:spacing w:after="0"/>
        <w:rPr>
          <w:rFonts w:ascii="Arial" w:cs="Arial" w:eastAsia="Arial" w:hAnsi="Arial"/>
          <w:sz w:val="12"/>
          <w:szCs w:val="12"/>
          <w:color w:val="auto"/>
        </w:rPr>
      </w:pPr>
      <w:r>
        <w:rPr>
          <w:rFonts w:ascii="Arial" w:cs="Arial" w:eastAsia="Arial" w:hAnsi="Arial"/>
          <w:sz w:val="12"/>
          <w:szCs w:val="12"/>
          <w:b w:val="1"/>
          <w:bCs w:val="1"/>
          <w:u w:val="single" w:color="auto"/>
          <w:color w:val="auto"/>
        </w:rPr>
        <w:t>Conference Call</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2"/>
          <w:szCs w:val="12"/>
          <w:color w:val="auto"/>
        </w:rPr>
        <w:t>Priority's leadership will host a conference call on Monday, August 9, 2021 at 11:00 a.m. EDT to discuss its second quarter financial results and business developments. Participants can access the call by Phone:</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US/Canada: (877) 501-3161 or International: (786) 815-8443.</w:t>
      </w:r>
    </w:p>
    <w:p>
      <w:pPr>
        <w:spacing w:after="0" w:line="69" w:lineRule="exact"/>
        <w:rPr>
          <w:sz w:val="20"/>
          <w:szCs w:val="20"/>
          <w:color w:val="auto"/>
        </w:rPr>
      </w:pPr>
    </w:p>
    <w:p>
      <w:pPr>
        <w:ind w:left="8" w:right="100"/>
        <w:spacing w:after="0" w:line="261" w:lineRule="auto"/>
        <w:rPr>
          <w:sz w:val="20"/>
          <w:szCs w:val="20"/>
          <w:color w:val="auto"/>
        </w:rPr>
      </w:pPr>
      <w:r>
        <w:rPr>
          <w:rFonts w:ascii="Arial" w:cs="Arial" w:eastAsia="Arial" w:hAnsi="Arial"/>
          <w:sz w:val="12"/>
          <w:szCs w:val="12"/>
          <w:color w:val="auto"/>
        </w:rPr>
        <w:t xml:space="preserve">Internet webcast link and accompanying slide presentation can be accessed at </w:t>
      </w:r>
      <w:r>
        <w:rPr>
          <w:rFonts w:ascii="Arial" w:cs="Arial" w:eastAsia="Arial" w:hAnsi="Arial"/>
          <w:sz w:val="12"/>
          <w:szCs w:val="12"/>
          <w:u w:val="single" w:color="auto"/>
          <w:color w:val="0000FF"/>
        </w:rPr>
        <w:t>https://edge.media-server.com/mmc/p/kwi9t7p3</w:t>
      </w:r>
      <w:r>
        <w:rPr>
          <w:rFonts w:ascii="Arial" w:cs="Arial" w:eastAsia="Arial" w:hAnsi="Arial"/>
          <w:sz w:val="12"/>
          <w:szCs w:val="12"/>
          <w:color w:val="auto"/>
        </w:rPr>
        <w:t xml:space="preserve"> and will also be posted in the "Investor Relations" section of the Company's website at </w:t>
      </w:r>
      <w:r>
        <w:rPr>
          <w:rFonts w:ascii="Arial" w:cs="Arial" w:eastAsia="Arial" w:hAnsi="Arial"/>
          <w:sz w:val="12"/>
          <w:szCs w:val="12"/>
          <w:u w:val="single" w:color="auto"/>
          <w:color w:val="0000FF"/>
        </w:rPr>
        <w:t>www.PRTH.com</w:t>
      </w:r>
      <w:r>
        <w:rPr>
          <w:rFonts w:ascii="Arial" w:cs="Arial" w:eastAsia="Arial" w:hAnsi="Arial"/>
          <w:sz w:val="12"/>
          <w:szCs w:val="12"/>
          <w:color w:val="auto"/>
        </w:rPr>
        <w:t>.</w:t>
      </w:r>
    </w:p>
    <w:p>
      <w:pPr>
        <w:spacing w:after="0" w:line="42" w:lineRule="exact"/>
        <w:rPr>
          <w:sz w:val="20"/>
          <w:szCs w:val="20"/>
          <w:color w:val="auto"/>
        </w:rPr>
      </w:pPr>
    </w:p>
    <w:p>
      <w:pPr>
        <w:ind w:left="8" w:right="40"/>
        <w:spacing w:after="0" w:line="261" w:lineRule="auto"/>
        <w:rPr>
          <w:sz w:val="20"/>
          <w:szCs w:val="20"/>
          <w:color w:val="auto"/>
        </w:rPr>
      </w:pPr>
      <w:r>
        <w:rPr>
          <w:rFonts w:ascii="Arial" w:cs="Arial" w:eastAsia="Arial" w:hAnsi="Arial"/>
          <w:sz w:val="12"/>
          <w:szCs w:val="12"/>
          <w:color w:val="auto"/>
        </w:rPr>
        <w:t xml:space="preserve">An audio replay of the call will be available shortly after the conference call until August 12, 2021 at 1:30 pm Eastern Time. To listen to the audio replay, dial (855) 859-2056 or (404) 537-3406 and enter conference ID number </w:t>
      </w:r>
      <w:r>
        <w:rPr>
          <w:rFonts w:ascii="Arial" w:cs="Arial" w:eastAsia="Arial" w:hAnsi="Arial"/>
          <w:sz w:val="12"/>
          <w:szCs w:val="12"/>
          <w:b w:val="1"/>
          <w:bCs w:val="1"/>
          <w:color w:val="auto"/>
        </w:rPr>
        <w:t>1214468</w:t>
      </w:r>
      <w:r>
        <w:rPr>
          <w:rFonts w:ascii="Arial" w:cs="Arial" w:eastAsia="Arial" w:hAnsi="Arial"/>
          <w:sz w:val="12"/>
          <w:szCs w:val="12"/>
          <w:color w:val="auto"/>
        </w:rPr>
        <w:t xml:space="preserve">. Alternatively, you may access the webcast replay in the "Investor Relations" section of the Company's website at </w:t>
      </w:r>
      <w:r>
        <w:rPr>
          <w:rFonts w:ascii="Arial" w:cs="Arial" w:eastAsia="Arial" w:hAnsi="Arial"/>
          <w:sz w:val="12"/>
          <w:szCs w:val="12"/>
          <w:u w:val="single" w:color="auto"/>
          <w:color w:val="0000FF"/>
        </w:rPr>
        <w:t>www.PRTH.com</w:t>
      </w:r>
      <w:r>
        <w:rPr>
          <w:rFonts w:ascii="Arial" w:cs="Arial" w:eastAsia="Arial" w:hAnsi="Arial"/>
          <w:sz w:val="12"/>
          <w:szCs w:val="12"/>
          <w:color w:val="auto"/>
        </w:rPr>
        <w:t>.</w:t>
      </w:r>
    </w:p>
    <w:p>
      <w:pPr>
        <w:spacing w:after="0" w:line="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Non-GAAP Financial Measures</w:t>
      </w:r>
    </w:p>
    <w:p>
      <w:pPr>
        <w:spacing w:after="0" w:line="83" w:lineRule="exact"/>
        <w:rPr>
          <w:sz w:val="20"/>
          <w:szCs w:val="20"/>
          <w:color w:val="auto"/>
        </w:rPr>
      </w:pPr>
    </w:p>
    <w:p>
      <w:pPr>
        <w:ind w:left="8" w:right="160"/>
        <w:spacing w:after="0" w:line="290" w:lineRule="auto"/>
        <w:rPr>
          <w:sz w:val="20"/>
          <w:szCs w:val="20"/>
          <w:color w:val="auto"/>
        </w:rPr>
      </w:pPr>
      <w:r>
        <w:rPr>
          <w:rFonts w:ascii="Arial" w:cs="Arial" w:eastAsia="Arial" w:hAnsi="Arial"/>
          <w:sz w:val="11"/>
          <w:szCs w:val="11"/>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w:t>
      </w:r>
    </w:p>
    <w:p>
      <w:pPr>
        <w:sectPr>
          <w:pgSz w:w="11900" w:h="16838" w:orient="portrait"/>
          <w:cols w:equalWidth="0" w:num="1">
            <w:col w:w="11288"/>
          </w:cols>
          <w:pgMar w:left="292" w:top="1066" w:right="319" w:bottom="1440" w:gutter="0" w:footer="0" w:header="0"/>
        </w:sectPr>
      </w:pPr>
    </w:p>
    <w:bookmarkStart w:id="4" w:name="page5"/>
    <w:bookmarkEnd w:id="4"/>
    <w:p>
      <w:pPr>
        <w:spacing w:after="0"/>
        <w:rPr>
          <w:sz w:val="20"/>
          <w:szCs w:val="20"/>
          <w:color w:val="auto"/>
        </w:rPr>
      </w:pPr>
      <w:r>
        <w:rPr>
          <w:rFonts w:ascii="Arial" w:cs="Arial" w:eastAsia="Arial" w:hAnsi="Arial"/>
          <w:sz w:val="12"/>
          <w:szCs w:val="12"/>
          <w:color w:val="auto"/>
        </w:rPr>
        <w:t>accordance with GAAP. Rather, the non-GAAP measures are meant to be a complement to understanding measures prepared in accordance with GAAP.</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Gross Profit and Gross Profit Margin</w:t>
      </w:r>
    </w:p>
    <w:p>
      <w:pPr>
        <w:spacing w:after="0" w:line="83"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The Company's non-GAAP gross profit metric represents revenues less costs of services. Gross profit margin is gross profit divided by revenues. We review these non-GAAP measures to evaluate our underlying profit trends. The reconciliation of gross profit to its most comparable GAAP measure is provided below:</w:t>
      </w:r>
    </w:p>
    <w:p>
      <w:pPr>
        <w:spacing w:after="0" w:line="4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920" w:type="dxa"/>
            <w:vAlign w:val="bottom"/>
            <w:tcBorders>
              <w:top w:val="single" w:sz="8" w:color="auto"/>
              <w:left w:val="single" w:sz="8" w:color="auto"/>
              <w:bottom w:val="single" w:sz="8" w:color="auto"/>
              <w:right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gridSpan w:val="3"/>
          </w:tcPr>
          <w:p>
            <w:pPr>
              <w:jc w:val="right"/>
              <w:ind w:right="472"/>
              <w:spacing w:after="0"/>
              <w:rPr>
                <w:sz w:val="20"/>
                <w:szCs w:val="20"/>
                <w:color w:val="auto"/>
              </w:rPr>
            </w:pPr>
            <w:r>
              <w:rPr>
                <w:rFonts w:ascii="Arial" w:cs="Arial" w:eastAsia="Arial" w:hAnsi="Arial"/>
                <w:sz w:val="10"/>
                <w:szCs w:val="10"/>
                <w:i w:val="1"/>
                <w:iCs w:val="1"/>
                <w:color w:val="auto"/>
              </w:rPr>
              <w:t>(in thousands)</w:t>
            </w:r>
          </w:p>
        </w:tc>
        <w:tc>
          <w:tcPr>
            <w:tcW w:w="1060" w:type="dxa"/>
            <w:vAlign w:val="bottom"/>
            <w:tcBorders>
              <w:top w:val="single" w:sz="8" w:color="auto"/>
              <w:bottom w:val="single" w:sz="8" w:color="auto"/>
              <w:right w:val="single" w:sz="8" w:color="auto"/>
            </w:tcBorders>
          </w:tcPr>
          <w:p>
            <w:pPr>
              <w:spacing w:after="0"/>
              <w:rPr>
                <w:sz w:val="12"/>
                <w:szCs w:val="12"/>
                <w:color w:val="auto"/>
              </w:rPr>
            </w:pPr>
          </w:p>
        </w:tc>
      </w:tr>
      <w:tr>
        <w:trPr>
          <w:trHeight w:val="133"/>
        </w:trPr>
        <w:tc>
          <w:tcPr>
            <w:tcW w:w="1920" w:type="dxa"/>
            <w:vAlign w:val="bottom"/>
            <w:tcBorders>
              <w:left w:val="single" w:sz="8" w:color="auto"/>
              <w:bottom w:val="single" w:sz="8" w:color="auto"/>
              <w:right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0"/>
                <w:szCs w:val="10"/>
                <w:b w:val="1"/>
                <w:bCs w:val="1"/>
                <w:color w:val="auto"/>
              </w:rPr>
              <w:t>Three Months Ended June 30,</w:t>
            </w:r>
          </w:p>
        </w:tc>
        <w:tc>
          <w:tcPr>
            <w:tcW w:w="1060" w:type="dxa"/>
            <w:vAlign w:val="bottom"/>
            <w:tcBorders>
              <w:bottom w:val="single" w:sz="8" w:color="auto"/>
              <w:right w:val="single" w:sz="8" w:color="auto"/>
            </w:tcBorders>
          </w:tcPr>
          <w:p>
            <w:pPr>
              <w:spacing w:after="0"/>
              <w:rPr>
                <w:sz w:val="11"/>
                <w:szCs w:val="11"/>
                <w:color w:val="auto"/>
              </w:rPr>
            </w:pPr>
          </w:p>
        </w:tc>
      </w:tr>
      <w:tr>
        <w:trPr>
          <w:trHeight w:val="133"/>
        </w:trPr>
        <w:tc>
          <w:tcPr>
            <w:tcW w:w="1920" w:type="dxa"/>
            <w:vAlign w:val="bottom"/>
            <w:tcBorders>
              <w:left w:val="single" w:sz="8" w:color="auto"/>
              <w:bottom w:val="single" w:sz="8" w:color="auto"/>
              <w:right w:val="single" w:sz="8" w:color="auto"/>
            </w:tcBorders>
          </w:tcPr>
          <w:p>
            <w:pPr>
              <w:spacing w:after="0"/>
              <w:rPr>
                <w:sz w:val="11"/>
                <w:szCs w:val="11"/>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2021</w:t>
            </w:r>
          </w:p>
        </w:tc>
        <w:tc>
          <w:tcPr>
            <w:tcW w:w="64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jc w:val="right"/>
              <w:ind w:right="652"/>
              <w:spacing w:after="0"/>
              <w:rPr>
                <w:sz w:val="20"/>
                <w:szCs w:val="20"/>
                <w:color w:val="auto"/>
              </w:rPr>
            </w:pPr>
            <w:r>
              <w:rPr>
                <w:rFonts w:ascii="Arial" w:cs="Arial" w:eastAsia="Arial" w:hAnsi="Arial"/>
                <w:sz w:val="10"/>
                <w:szCs w:val="10"/>
                <w:b w:val="1"/>
                <w:bCs w:val="1"/>
                <w:color w:val="auto"/>
              </w:rPr>
              <w:t>2020</w:t>
            </w:r>
          </w:p>
        </w:tc>
      </w:tr>
      <w:tr>
        <w:trPr>
          <w:trHeight w:val="133"/>
        </w:trPr>
        <w:tc>
          <w:tcPr>
            <w:tcW w:w="1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Revenues</w:t>
            </w:r>
          </w:p>
        </w:tc>
        <w:tc>
          <w:tcPr>
            <w:tcW w:w="1060" w:type="dxa"/>
            <w:vAlign w:val="bottom"/>
            <w:tcBorders>
              <w:bottom w:val="single" w:sz="8" w:color="auto"/>
            </w:tcBorders>
          </w:tcPr>
          <w:p>
            <w:pPr>
              <w:jc w:val="right"/>
              <w:ind w:right="95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125,014</w:t>
            </w:r>
          </w:p>
        </w:tc>
        <w:tc>
          <w:tcPr>
            <w:tcW w:w="46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92,356</w:t>
            </w:r>
          </w:p>
        </w:tc>
      </w:tr>
      <w:tr>
        <w:trPr>
          <w:trHeight w:val="133"/>
        </w:trPr>
        <w:tc>
          <w:tcPr>
            <w:tcW w:w="1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Costs of Services</w:t>
            </w:r>
          </w:p>
        </w:tc>
        <w:tc>
          <w:tcPr>
            <w:tcW w:w="10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89,831</w:t>
            </w:r>
          </w:p>
        </w:tc>
        <w:tc>
          <w:tcPr>
            <w:tcW w:w="46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62,398</w:t>
            </w:r>
          </w:p>
        </w:tc>
      </w:tr>
      <w:tr>
        <w:trPr>
          <w:trHeight w:val="133"/>
        </w:trPr>
        <w:tc>
          <w:tcPr>
            <w:tcW w:w="1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Gross Profit</w:t>
            </w:r>
          </w:p>
        </w:tc>
        <w:tc>
          <w:tcPr>
            <w:tcW w:w="1060" w:type="dxa"/>
            <w:vAlign w:val="bottom"/>
            <w:tcBorders>
              <w:bottom w:val="single" w:sz="8" w:color="auto"/>
            </w:tcBorders>
          </w:tcPr>
          <w:p>
            <w:pPr>
              <w:jc w:val="right"/>
              <w:ind w:right="95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35,183</w:t>
            </w:r>
          </w:p>
        </w:tc>
        <w:tc>
          <w:tcPr>
            <w:tcW w:w="46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29,958</w:t>
            </w:r>
          </w:p>
        </w:tc>
      </w:tr>
      <w:tr>
        <w:trPr>
          <w:trHeight w:val="20"/>
        </w:trPr>
        <w:tc>
          <w:tcPr>
            <w:tcW w:w="1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r>
      <w:tr>
        <w:trPr>
          <w:trHeight w:val="120"/>
        </w:trPr>
        <w:tc>
          <w:tcPr>
            <w:tcW w:w="1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Gross Profit Margin</w:t>
            </w:r>
          </w:p>
        </w:tc>
        <w:tc>
          <w:tcPr>
            <w:tcW w:w="1060" w:type="dxa"/>
            <w:vAlign w:val="bottom"/>
            <w:tcBorders>
              <w:bottom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28.1%</w:t>
            </w:r>
          </w:p>
        </w:tc>
        <w:tc>
          <w:tcPr>
            <w:tcW w:w="46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32.4%</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5715" cy="28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 cy="28575"/>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-142240</wp:posOffset>
            </wp:positionV>
            <wp:extent cx="5715"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-142240</wp:posOffset>
            </wp:positionV>
            <wp:extent cx="571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2286635</wp:posOffset>
            </wp:positionH>
            <wp:positionV relativeFrom="paragraph">
              <wp:posOffset>-142240</wp:posOffset>
            </wp:positionV>
            <wp:extent cx="5715"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-142240</wp:posOffset>
            </wp:positionV>
            <wp:extent cx="5715"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-142240</wp:posOffset>
            </wp:positionV>
            <wp:extent cx="5715"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 cy="2286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EBITDA, Adjusted EBITDA and Consolidated Adjusted EBITDA</w:t>
      </w:r>
    </w:p>
    <w:p>
      <w:pPr>
        <w:spacing w:after="0" w:line="83"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Consolidated adjusted EBITDA, which is a liquidity measure used in determining our total net leverage ratio, is adjusted EBITDA further adjusted for items specified in the definition of consolidated adjusted EBITDA within our debt agreements, which include the pro-forma impact of acquisitions and dispositions and other specified adjustments. We review the non-GAAP adjusted EBITDA measure to evaluate our business and trends, measure our performance, prepare financial projections, allocate resources, and make strategic decisions.</w:t>
      </w:r>
    </w:p>
    <w:p>
      <w:pPr>
        <w:spacing w:after="0" w:line="58"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We review the non-GAAP consolidated adjusted EBITDA to evaluate compliance with our total net leverage ratio at each measurement period. The reconciliation of adjusted EBITDA to its most comparable GAAP measure is provided below:</w:t>
      </w:r>
    </w:p>
    <w:p>
      <w:pPr>
        <w:spacing w:after="0" w:line="4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500" w:type="dxa"/>
            <w:vAlign w:val="bottom"/>
            <w:tcBorders>
              <w:top w:val="single" w:sz="8" w:color="auto"/>
              <w:left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right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0"/>
                <w:szCs w:val="10"/>
                <w:i w:val="1"/>
                <w:iCs w:val="1"/>
                <w:color w:val="auto"/>
              </w:rPr>
              <w:t>(in thousands)</w:t>
            </w:r>
          </w:p>
        </w:tc>
        <w:tc>
          <w:tcPr>
            <w:tcW w:w="780" w:type="dxa"/>
            <w:vAlign w:val="bottom"/>
            <w:tcBorders>
              <w:top w:val="single" w:sz="8" w:color="auto"/>
              <w:bottom w:val="single" w:sz="8" w:color="auto"/>
              <w:right w:val="single" w:sz="8" w:color="auto"/>
            </w:tcBorders>
          </w:tcPr>
          <w:p>
            <w:pPr>
              <w:spacing w:after="0"/>
              <w:rPr>
                <w:sz w:val="12"/>
                <w:szCs w:val="12"/>
                <w:color w:val="auto"/>
              </w:rPr>
            </w:pPr>
          </w:p>
        </w:tc>
      </w:tr>
      <w:tr>
        <w:trPr>
          <w:trHeight w:val="133"/>
        </w:trPr>
        <w:tc>
          <w:tcPr>
            <w:tcW w:w="4500" w:type="dxa"/>
            <w:vAlign w:val="bottom"/>
            <w:tcBorders>
              <w:left w:val="single" w:sz="8" w:color="auto"/>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Three Months Ended June 30,</w:t>
            </w:r>
          </w:p>
        </w:tc>
        <w:tc>
          <w:tcPr>
            <w:tcW w:w="780" w:type="dxa"/>
            <w:vAlign w:val="bottom"/>
            <w:tcBorders>
              <w:bottom w:val="single" w:sz="8" w:color="auto"/>
              <w:right w:val="single" w:sz="8" w:color="auto"/>
            </w:tcBorders>
          </w:tcPr>
          <w:p>
            <w:pPr>
              <w:spacing w:after="0"/>
              <w:rPr>
                <w:sz w:val="11"/>
                <w:szCs w:val="11"/>
                <w:color w:val="auto"/>
              </w:rPr>
            </w:pPr>
          </w:p>
        </w:tc>
      </w:tr>
      <w:tr>
        <w:trPr>
          <w:trHeight w:val="133"/>
        </w:trPr>
        <w:tc>
          <w:tcPr>
            <w:tcW w:w="4500" w:type="dxa"/>
            <w:vAlign w:val="bottom"/>
            <w:tcBorders>
              <w:left w:val="single" w:sz="8" w:color="auto"/>
              <w:bottom w:val="single" w:sz="8" w:color="auto"/>
              <w:right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2021</w:t>
            </w:r>
          </w:p>
        </w:tc>
        <w:tc>
          <w:tcPr>
            <w:tcW w:w="6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2020</w:t>
            </w:r>
          </w:p>
        </w:tc>
      </w:tr>
      <w:tr>
        <w:trPr>
          <w:trHeight w:val="133"/>
        </w:trPr>
        <w:tc>
          <w:tcPr>
            <w:tcW w:w="4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Net loss (GAAP)</w:t>
            </w: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right w:val="single" w:sz="8" w:color="auto"/>
            </w:tcBorders>
            <w:gridSpan w:val="2"/>
          </w:tcPr>
          <w:p>
            <w:pPr>
              <w:jc w:val="right"/>
              <w:ind w:right="80"/>
              <w:spacing w:after="0"/>
              <w:rPr>
                <w:sz w:val="20"/>
                <w:szCs w:val="20"/>
                <w:color w:val="auto"/>
              </w:rPr>
            </w:pPr>
            <w:r>
              <w:rPr>
                <w:rFonts w:ascii="Arial" w:cs="Arial" w:eastAsia="Arial" w:hAnsi="Arial"/>
                <w:sz w:val="10"/>
                <w:szCs w:val="10"/>
                <w:color w:val="auto"/>
              </w:rPr>
              <w:t>(9,477)</w:t>
            </w:r>
          </w:p>
        </w:tc>
        <w:tc>
          <w:tcPr>
            <w:tcW w:w="6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(7,858)</w:t>
            </w:r>
          </w:p>
        </w:tc>
      </w:tr>
      <w:tr>
        <w:trPr>
          <w:trHeight w:val="133"/>
        </w:trPr>
        <w:tc>
          <w:tcPr>
            <w:tcW w:w="450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0"/>
                <w:szCs w:val="10"/>
                <w:color w:val="auto"/>
              </w:rPr>
              <w:t>Interest expense</w:t>
            </w:r>
          </w:p>
        </w:tc>
        <w:tc>
          <w:tcPr>
            <w:tcW w:w="7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7,285</w:t>
            </w:r>
          </w:p>
        </w:tc>
        <w:tc>
          <w:tcPr>
            <w:tcW w:w="6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11,668</w:t>
            </w:r>
          </w:p>
        </w:tc>
      </w:tr>
      <w:tr>
        <w:trPr>
          <w:trHeight w:val="133"/>
        </w:trPr>
        <w:tc>
          <w:tcPr>
            <w:tcW w:w="450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0"/>
                <w:szCs w:val="10"/>
                <w:color w:val="auto"/>
              </w:rPr>
              <w:t>Income tax expense</w:t>
            </w:r>
          </w:p>
        </w:tc>
        <w:tc>
          <w:tcPr>
            <w:tcW w:w="7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1,490</w:t>
            </w:r>
          </w:p>
        </w:tc>
        <w:tc>
          <w:tcPr>
            <w:tcW w:w="6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415</w:t>
            </w:r>
          </w:p>
        </w:tc>
      </w:tr>
      <w:tr>
        <w:trPr>
          <w:trHeight w:val="133"/>
        </w:trPr>
        <w:tc>
          <w:tcPr>
            <w:tcW w:w="450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0"/>
                <w:szCs w:val="10"/>
                <w:color w:val="auto"/>
              </w:rPr>
              <w:t>Depreciation and amortization</w:t>
            </w:r>
          </w:p>
        </w:tc>
        <w:tc>
          <w:tcPr>
            <w:tcW w:w="7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10,723</w:t>
            </w:r>
          </w:p>
        </w:tc>
        <w:tc>
          <w:tcPr>
            <w:tcW w:w="6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10,363</w:t>
            </w:r>
          </w:p>
        </w:tc>
      </w:tr>
      <w:tr>
        <w:trPr>
          <w:trHeight w:val="133"/>
        </w:trPr>
        <w:tc>
          <w:tcPr>
            <w:tcW w:w="4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EBITDA (Non-GAAP)</w:t>
            </w:r>
          </w:p>
        </w:tc>
        <w:tc>
          <w:tcPr>
            <w:tcW w:w="7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10,021</w:t>
            </w:r>
          </w:p>
        </w:tc>
        <w:tc>
          <w:tcPr>
            <w:tcW w:w="6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14,588</w:t>
            </w:r>
          </w:p>
        </w:tc>
      </w:tr>
      <w:tr>
        <w:trPr>
          <w:trHeight w:val="133"/>
        </w:trPr>
        <w:tc>
          <w:tcPr>
            <w:tcW w:w="450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0"/>
                <w:szCs w:val="10"/>
                <w:color w:val="auto"/>
              </w:rPr>
              <w:t>Non-cash stock-based compensation</w:t>
            </w:r>
          </w:p>
        </w:tc>
        <w:tc>
          <w:tcPr>
            <w:tcW w:w="7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856</w:t>
            </w:r>
          </w:p>
        </w:tc>
        <w:tc>
          <w:tcPr>
            <w:tcW w:w="6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688</w:t>
            </w:r>
          </w:p>
        </w:tc>
      </w:tr>
      <w:tr>
        <w:trPr>
          <w:trHeight w:val="133"/>
        </w:trPr>
        <w:tc>
          <w:tcPr>
            <w:tcW w:w="450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0"/>
                <w:szCs w:val="10"/>
                <w:color w:val="auto"/>
              </w:rPr>
              <w:t>Selling, general and administrative</w:t>
            </w:r>
          </w:p>
        </w:tc>
        <w:tc>
          <w:tcPr>
            <w:tcW w:w="7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1,834</w:t>
            </w:r>
          </w:p>
        </w:tc>
        <w:tc>
          <w:tcPr>
            <w:tcW w:w="6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1,385</w:t>
            </w:r>
          </w:p>
        </w:tc>
      </w:tr>
      <w:tr>
        <w:trPr>
          <w:trHeight w:val="133"/>
        </w:trPr>
        <w:tc>
          <w:tcPr>
            <w:tcW w:w="450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0"/>
                <w:szCs w:val="10"/>
                <w:color w:val="auto"/>
              </w:rPr>
              <w:t>Debt extinguishment and modification costs</w:t>
            </w:r>
          </w:p>
        </w:tc>
        <w:tc>
          <w:tcPr>
            <w:tcW w:w="7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8,322</w:t>
            </w:r>
          </w:p>
        </w:tc>
        <w:tc>
          <w:tcPr>
            <w:tcW w:w="6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w:t>
            </w:r>
          </w:p>
        </w:tc>
      </w:tr>
      <w:tr>
        <w:trPr>
          <w:trHeight w:val="133"/>
        </w:trPr>
        <w:tc>
          <w:tcPr>
            <w:tcW w:w="450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0"/>
                <w:szCs w:val="10"/>
                <w:color w:val="auto"/>
              </w:rPr>
              <w:t>Other non-operating expense</w:t>
            </w:r>
          </w:p>
        </w:tc>
        <w:tc>
          <w:tcPr>
            <w:tcW w:w="7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gridSpan w:val="2"/>
          </w:tcPr>
          <w:p>
            <w:pPr>
              <w:jc w:val="right"/>
              <w:ind w:right="80"/>
              <w:spacing w:after="0"/>
              <w:rPr>
                <w:sz w:val="20"/>
                <w:szCs w:val="20"/>
                <w:color w:val="auto"/>
              </w:rPr>
            </w:pPr>
            <w:r>
              <w:rPr>
                <w:rFonts w:ascii="Arial" w:cs="Arial" w:eastAsia="Arial" w:hAnsi="Arial"/>
                <w:sz w:val="10"/>
                <w:szCs w:val="10"/>
                <w:color w:val="auto"/>
              </w:rPr>
              <w:t>(17)</w:t>
            </w:r>
          </w:p>
        </w:tc>
        <w:tc>
          <w:tcPr>
            <w:tcW w:w="6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w:t>
            </w:r>
          </w:p>
        </w:tc>
      </w:tr>
      <w:tr>
        <w:trPr>
          <w:trHeight w:val="137"/>
        </w:trPr>
        <w:tc>
          <w:tcPr>
            <w:tcW w:w="4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Adjusted EBITDA (Non-GAAP)</w:t>
            </w: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94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21,016</w:t>
            </w:r>
          </w:p>
        </w:tc>
        <w:tc>
          <w:tcPr>
            <w:tcW w:w="6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w:t>
            </w: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16,661</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Reconciliation of Adjusted EBITDA to Consolidated Adjusted EBITDA for the last twelve months ended June 30, 2021 and the calculation of the Total Net Leverage Ratio at June 30, 2021 are provided below:</w:t>
      </w:r>
    </w:p>
    <w:p>
      <w:pPr>
        <w:sectPr>
          <w:pgSz w:w="11900" w:h="16838" w:orient="portrait"/>
          <w:cols w:equalWidth="0" w:num="1">
            <w:col w:w="11280"/>
          </w:cols>
          <w:pgMar w:left="300" w:top="1066" w:right="3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149"/>
        </w:trPr>
        <w:tc>
          <w:tcPr>
            <w:tcW w:w="43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Adjusted EBITDA (Non-GAAP)</w:t>
            </w:r>
          </w:p>
        </w:tc>
        <w:tc>
          <w:tcPr>
            <w:tcW w:w="5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76,885</w:t>
            </w:r>
          </w:p>
        </w:tc>
      </w:tr>
      <w:tr>
        <w:trPr>
          <w:trHeight w:val="133"/>
        </w:trPr>
        <w:tc>
          <w:tcPr>
            <w:tcW w:w="43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Allowable Board fee add-back</w:t>
            </w:r>
          </w:p>
        </w:tc>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1,723</w:t>
            </w:r>
          </w:p>
        </w:tc>
      </w:tr>
      <w:tr>
        <w:trPr>
          <w:trHeight w:val="133"/>
        </w:trPr>
        <w:tc>
          <w:tcPr>
            <w:tcW w:w="43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Other adjustments</w:t>
            </w:r>
          </w:p>
        </w:tc>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(145)</w:t>
            </w:r>
          </w:p>
        </w:tc>
      </w:tr>
      <w:tr>
        <w:trPr>
          <w:trHeight w:val="133"/>
        </w:trPr>
        <w:tc>
          <w:tcPr>
            <w:tcW w:w="4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Pro-formal impact of acquisitions</w:t>
            </w:r>
          </w:p>
        </w:tc>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16,900</w:t>
            </w:r>
          </w:p>
        </w:tc>
      </w:tr>
      <w:tr>
        <w:trPr>
          <w:trHeight w:val="133"/>
        </w:trPr>
        <w:tc>
          <w:tcPr>
            <w:tcW w:w="4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RentPayment adjusted EBITDA</w:t>
            </w:r>
          </w:p>
        </w:tc>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(2,459)</w:t>
            </w:r>
          </w:p>
        </w:tc>
      </w:tr>
      <w:tr>
        <w:trPr>
          <w:trHeight w:val="133"/>
        </w:trPr>
        <w:tc>
          <w:tcPr>
            <w:tcW w:w="43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Consolidated Adjusted EBITDA (Non-GAAP)</w:t>
            </w:r>
          </w:p>
        </w:tc>
        <w:tc>
          <w:tcPr>
            <w:tcW w:w="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92,904</w:t>
            </w:r>
          </w:p>
        </w:tc>
      </w:tr>
      <w:tr>
        <w:trPr>
          <w:trHeight w:val="20"/>
        </w:trPr>
        <w:tc>
          <w:tcPr>
            <w:tcW w:w="4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r>
      <w:tr>
        <w:trPr>
          <w:trHeight w:val="120"/>
        </w:trPr>
        <w:tc>
          <w:tcPr>
            <w:tcW w:w="43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Consolidated Total Debt at June 30, 2021:</w:t>
            </w:r>
          </w:p>
        </w:tc>
        <w:tc>
          <w:tcPr>
            <w:tcW w:w="58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r>
      <w:tr>
        <w:trPr>
          <w:trHeight w:val="133"/>
        </w:trPr>
        <w:tc>
          <w:tcPr>
            <w:tcW w:w="43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Current portion of long-term debt</w:t>
            </w:r>
          </w:p>
        </w:tc>
        <w:tc>
          <w:tcPr>
            <w:tcW w:w="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3,000</w:t>
            </w:r>
          </w:p>
        </w:tc>
      </w:tr>
      <w:tr>
        <w:trPr>
          <w:trHeight w:val="133"/>
        </w:trPr>
        <w:tc>
          <w:tcPr>
            <w:tcW w:w="43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Long-term debt, net of current portion</w:t>
            </w:r>
          </w:p>
        </w:tc>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318,187</w:t>
            </w:r>
          </w:p>
        </w:tc>
      </w:tr>
      <w:tr>
        <w:trPr>
          <w:trHeight w:val="133"/>
        </w:trPr>
        <w:tc>
          <w:tcPr>
            <w:tcW w:w="43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Unamortized discounts and costs</w:t>
            </w:r>
          </w:p>
        </w:tc>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8,813</w:t>
            </w:r>
          </w:p>
        </w:tc>
      </w:tr>
      <w:tr>
        <w:trPr>
          <w:trHeight w:val="133"/>
        </w:trPr>
        <w:tc>
          <w:tcPr>
            <w:tcW w:w="4320" w:type="dxa"/>
            <w:vAlign w:val="bottom"/>
            <w:tcBorders>
              <w:left w:val="single" w:sz="8" w:color="auto"/>
              <w:bottom w:val="single" w:sz="8" w:color="auto"/>
              <w:right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330,000</w:t>
            </w:r>
          </w:p>
        </w:tc>
      </w:tr>
      <w:tr>
        <w:trPr>
          <w:trHeight w:val="133"/>
        </w:trPr>
        <w:tc>
          <w:tcPr>
            <w:tcW w:w="43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Less unrestricted cash</w:t>
            </w:r>
          </w:p>
        </w:tc>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(11,111)</w:t>
            </w:r>
          </w:p>
        </w:tc>
      </w:tr>
      <w:tr>
        <w:trPr>
          <w:trHeight w:val="133"/>
        </w:trPr>
        <w:tc>
          <w:tcPr>
            <w:tcW w:w="43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Consolidated Net Debt</w:t>
            </w:r>
          </w:p>
        </w:tc>
        <w:tc>
          <w:tcPr>
            <w:tcW w:w="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318,889</w:t>
            </w:r>
          </w:p>
        </w:tc>
      </w:tr>
      <w:tr>
        <w:trPr>
          <w:trHeight w:val="20"/>
        </w:trPr>
        <w:tc>
          <w:tcPr>
            <w:tcW w:w="4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r>
      <w:tr>
        <w:trPr>
          <w:trHeight w:val="124"/>
        </w:trPr>
        <w:tc>
          <w:tcPr>
            <w:tcW w:w="43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Total Net Leverage Ratio</w:t>
            </w:r>
          </w:p>
        </w:tc>
        <w:tc>
          <w:tcPr>
            <w:tcW w:w="58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3.43x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-125095</wp:posOffset>
            </wp:positionV>
            <wp:extent cx="5715"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5715"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-125095</wp:posOffset>
            </wp:positionV>
            <wp:extent cx="5715"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-822325</wp:posOffset>
            </wp:positionV>
            <wp:extent cx="5715"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-822325</wp:posOffset>
            </wp:positionV>
            <wp:extent cx="5715"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-822325</wp:posOffset>
            </wp:positionV>
            <wp:extent cx="5715"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 cy="2286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Further detail of certain of these adjustments, and where these items are recorded in our consolidated statements of operations, is provided below:</w:t>
      </w:r>
    </w:p>
    <w:p>
      <w:pPr>
        <w:spacing w:after="0" w:line="5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400" w:type="dxa"/>
            <w:vAlign w:val="bottom"/>
            <w:tcBorders>
              <w:top w:val="single" w:sz="8" w:color="auto"/>
              <w:left w:val="single" w:sz="8" w:color="auto"/>
              <w:bottom w:val="single" w:sz="8" w:color="auto"/>
              <w:right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3"/>
          </w:tcPr>
          <w:p>
            <w:pPr>
              <w:jc w:val="right"/>
              <w:ind w:right="380"/>
              <w:spacing w:after="0"/>
              <w:rPr>
                <w:sz w:val="20"/>
                <w:szCs w:val="20"/>
                <w:color w:val="auto"/>
              </w:rPr>
            </w:pPr>
            <w:r>
              <w:rPr>
                <w:rFonts w:ascii="Arial" w:cs="Arial" w:eastAsia="Arial" w:hAnsi="Arial"/>
                <w:sz w:val="10"/>
                <w:szCs w:val="10"/>
                <w:b w:val="1"/>
                <w:bCs w:val="1"/>
                <w:color w:val="auto"/>
              </w:rPr>
              <w:t>Three Months Ended June 30,</w:t>
            </w:r>
          </w:p>
        </w:tc>
        <w:tc>
          <w:tcPr>
            <w:tcW w:w="500" w:type="dxa"/>
            <w:vAlign w:val="bottom"/>
            <w:tcBorders>
              <w:top w:val="single" w:sz="8" w:color="auto"/>
              <w:bottom w:val="single" w:sz="8" w:color="auto"/>
              <w:right w:val="single" w:sz="8" w:color="auto"/>
            </w:tcBorders>
          </w:tcPr>
          <w:p>
            <w:pPr>
              <w:spacing w:after="0"/>
              <w:rPr>
                <w:sz w:val="12"/>
                <w:szCs w:val="12"/>
                <w:color w:val="auto"/>
              </w:rPr>
            </w:pPr>
          </w:p>
        </w:tc>
        <w:tc>
          <w:tcPr>
            <w:tcW w:w="360" w:type="dxa"/>
            <w:vAlign w:val="bottom"/>
            <w:tcBorders>
              <w:top w:val="single" w:sz="8" w:color="auto"/>
              <w:bottom w:val="single" w:sz="8" w:color="auto"/>
              <w:right w:val="single" w:sz="8" w:color="auto"/>
            </w:tcBorders>
          </w:tcPr>
          <w:p>
            <w:pPr>
              <w:spacing w:after="0"/>
              <w:rPr>
                <w:sz w:val="12"/>
                <w:szCs w:val="12"/>
                <w:color w:val="auto"/>
              </w:rPr>
            </w:pPr>
          </w:p>
        </w:tc>
        <w:tc>
          <w:tcPr>
            <w:tcW w:w="1960" w:type="dxa"/>
            <w:vAlign w:val="bottom"/>
            <w:tcBorders>
              <w:top w:val="single" w:sz="8" w:color="auto"/>
              <w:bottom w:val="single" w:sz="8" w:color="auto"/>
              <w:right w:val="single" w:sz="8" w:color="auto"/>
            </w:tcBorders>
          </w:tcPr>
          <w:p>
            <w:pPr>
              <w:spacing w:after="0"/>
              <w:rPr>
                <w:sz w:val="12"/>
                <w:szCs w:val="12"/>
                <w:color w:val="auto"/>
              </w:rPr>
            </w:pPr>
          </w:p>
        </w:tc>
      </w:tr>
      <w:tr>
        <w:trPr>
          <w:trHeight w:val="135"/>
        </w:trPr>
        <w:tc>
          <w:tcPr>
            <w:tcW w:w="4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i w:val="1"/>
                <w:iCs w:val="1"/>
                <w:color w:val="auto"/>
              </w:rPr>
              <w:t>(in thousands)</w:t>
            </w: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2021</w:t>
            </w: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0"/>
                <w:szCs w:val="10"/>
                <w:b w:val="1"/>
                <w:bCs w:val="1"/>
                <w:color w:val="auto"/>
              </w:rPr>
              <w:t>Segment</w:t>
            </w:r>
          </w:p>
        </w:tc>
      </w:tr>
      <w:tr>
        <w:trPr>
          <w:trHeight w:val="140"/>
        </w:trPr>
        <w:tc>
          <w:tcPr>
            <w:tcW w:w="4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Selling, general and administrative expense:</w:t>
            </w: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r>
      <w:tr>
        <w:trPr>
          <w:trHeight w:val="133"/>
        </w:trPr>
        <w:tc>
          <w:tcPr>
            <w:tcW w:w="4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Litigation settlement costs</w:t>
            </w:r>
          </w:p>
        </w:tc>
        <w:tc>
          <w:tcPr>
            <w:tcW w:w="5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100</w:t>
            </w:r>
          </w:p>
        </w:tc>
        <w:tc>
          <w:tcPr>
            <w:tcW w:w="36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Integrated Partners</w:t>
            </w:r>
          </w:p>
        </w:tc>
      </w:tr>
      <w:tr>
        <w:trPr>
          <w:trHeight w:val="133"/>
        </w:trPr>
        <w:tc>
          <w:tcPr>
            <w:tcW w:w="4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Litigation settlement recoveries</w:t>
            </w: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(23)</w:t>
            </w:r>
          </w:p>
        </w:tc>
        <w:tc>
          <w:tcPr>
            <w:tcW w:w="36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Consumer</w:t>
            </w:r>
          </w:p>
        </w:tc>
      </w:tr>
      <w:tr>
        <w:trPr>
          <w:trHeight w:val="133"/>
        </w:trPr>
        <w:tc>
          <w:tcPr>
            <w:tcW w:w="4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Certain legal fees and expenses</w:t>
            </w: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1,587</w:t>
            </w:r>
          </w:p>
        </w:tc>
        <w:tc>
          <w:tcPr>
            <w:tcW w:w="5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348</w:t>
            </w:r>
          </w:p>
        </w:tc>
        <w:tc>
          <w:tcPr>
            <w:tcW w:w="36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Corporate</w:t>
            </w:r>
          </w:p>
        </w:tc>
      </w:tr>
      <w:tr>
        <w:trPr>
          <w:trHeight w:val="133"/>
        </w:trPr>
        <w:tc>
          <w:tcPr>
            <w:tcW w:w="4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Professional, accounting and consulting fees</w:t>
            </w: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237</w:t>
            </w:r>
          </w:p>
        </w:tc>
        <w:tc>
          <w:tcPr>
            <w:tcW w:w="5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121</w:t>
            </w:r>
          </w:p>
        </w:tc>
        <w:tc>
          <w:tcPr>
            <w:tcW w:w="36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Corporate</w:t>
            </w:r>
          </w:p>
        </w:tc>
      </w:tr>
      <w:tr>
        <w:trPr>
          <w:trHeight w:val="133"/>
        </w:trPr>
        <w:tc>
          <w:tcPr>
            <w:tcW w:w="4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Acquisition transition services</w:t>
            </w: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839</w:t>
            </w:r>
          </w:p>
        </w:tc>
        <w:tc>
          <w:tcPr>
            <w:tcW w:w="36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Integrated Partners</w:t>
            </w:r>
          </w:p>
        </w:tc>
      </w:tr>
      <w:tr>
        <w:trPr>
          <w:trHeight w:val="133"/>
        </w:trPr>
        <w:tc>
          <w:tcPr>
            <w:tcW w:w="4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Acquisition transition services</w:t>
            </w: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10</w:t>
            </w: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Consumer</w:t>
            </w:r>
          </w:p>
        </w:tc>
      </w:tr>
      <w:tr>
        <w:trPr>
          <w:trHeight w:val="133"/>
        </w:trPr>
        <w:tc>
          <w:tcPr>
            <w:tcW w:w="4400" w:type="dxa"/>
            <w:vAlign w:val="bottom"/>
            <w:tcBorders>
              <w:left w:val="single" w:sz="8" w:color="auto"/>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jc w:val="right"/>
              <w:ind w:right="468"/>
              <w:spacing w:after="0"/>
              <w:rPr>
                <w:sz w:val="20"/>
                <w:szCs w:val="20"/>
                <w:color w:val="auto"/>
              </w:rPr>
            </w:pPr>
            <w:r>
              <w:rPr>
                <w:rFonts w:ascii="Arial" w:cs="Arial" w:eastAsia="Arial" w:hAnsi="Arial"/>
                <w:sz w:val="5"/>
                <w:szCs w:val="5"/>
                <w:b w:val="1"/>
                <w:bCs w:val="1"/>
                <w:color w:val="auto"/>
                <w:w w:val="70"/>
              </w:rPr>
              <w:t>$</w:t>
            </w: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1,834</w:t>
            </w:r>
          </w:p>
        </w:tc>
        <w:tc>
          <w:tcPr>
            <w:tcW w:w="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1,385</w:t>
            </w:r>
          </w:p>
        </w:tc>
        <w:tc>
          <w:tcPr>
            <w:tcW w:w="36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r>
      <w:tr>
        <w:trPr>
          <w:trHeight w:val="20"/>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r>
      <w:tr>
        <w:trPr>
          <w:trHeight w:val="120"/>
        </w:trPr>
        <w:tc>
          <w:tcPr>
            <w:tcW w:w="4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Salary and employee benefit expense:</w:t>
            </w:r>
          </w:p>
        </w:tc>
        <w:tc>
          <w:tcPr>
            <w:tcW w:w="54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r>
      <w:tr>
        <w:trPr>
          <w:trHeight w:val="133"/>
        </w:trPr>
        <w:tc>
          <w:tcPr>
            <w:tcW w:w="4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Non-cash stock-based compensation</w:t>
            </w:r>
          </w:p>
        </w:tc>
        <w:tc>
          <w:tcPr>
            <w:tcW w:w="540" w:type="dxa"/>
            <w:vAlign w:val="bottom"/>
            <w:tcBorders>
              <w:bottom w:val="single" w:sz="8" w:color="auto"/>
            </w:tcBorders>
          </w:tcPr>
          <w:p>
            <w:pPr>
              <w:jc w:val="right"/>
              <w:ind w:right="468"/>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146</w:t>
            </w:r>
          </w:p>
        </w:tc>
        <w:tc>
          <w:tcPr>
            <w:tcW w:w="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114</w:t>
            </w:r>
          </w:p>
        </w:tc>
        <w:tc>
          <w:tcPr>
            <w:tcW w:w="36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Consumer</w:t>
            </w:r>
          </w:p>
        </w:tc>
      </w:tr>
      <w:tr>
        <w:trPr>
          <w:trHeight w:val="133"/>
        </w:trPr>
        <w:tc>
          <w:tcPr>
            <w:tcW w:w="4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Non-cash stock-based compensation</w:t>
            </w: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32</w:t>
            </w:r>
          </w:p>
        </w:tc>
        <w:tc>
          <w:tcPr>
            <w:tcW w:w="5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31</w:t>
            </w:r>
          </w:p>
        </w:tc>
        <w:tc>
          <w:tcPr>
            <w:tcW w:w="36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Commercial</w:t>
            </w:r>
          </w:p>
        </w:tc>
      </w:tr>
      <w:tr>
        <w:trPr>
          <w:trHeight w:val="133"/>
        </w:trPr>
        <w:tc>
          <w:tcPr>
            <w:tcW w:w="44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Non-cash stock-based compensation</w:t>
            </w: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678</w:t>
            </w:r>
          </w:p>
        </w:tc>
        <w:tc>
          <w:tcPr>
            <w:tcW w:w="5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543</w:t>
            </w:r>
          </w:p>
        </w:tc>
        <w:tc>
          <w:tcPr>
            <w:tcW w:w="36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Corporate</w:t>
            </w:r>
          </w:p>
        </w:tc>
      </w:tr>
      <w:tr>
        <w:trPr>
          <w:trHeight w:val="133"/>
        </w:trPr>
        <w:tc>
          <w:tcPr>
            <w:tcW w:w="4400" w:type="dxa"/>
            <w:vAlign w:val="bottom"/>
            <w:tcBorders>
              <w:left w:val="single" w:sz="8" w:color="auto"/>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jc w:val="right"/>
              <w:ind w:right="468"/>
              <w:spacing w:after="0"/>
              <w:rPr>
                <w:sz w:val="20"/>
                <w:szCs w:val="20"/>
                <w:color w:val="auto"/>
              </w:rPr>
            </w:pPr>
            <w:r>
              <w:rPr>
                <w:rFonts w:ascii="Arial" w:cs="Arial" w:eastAsia="Arial" w:hAnsi="Arial"/>
                <w:sz w:val="5"/>
                <w:szCs w:val="5"/>
                <w:b w:val="1"/>
                <w:bCs w:val="1"/>
                <w:color w:val="auto"/>
                <w:w w:val="70"/>
              </w:rPr>
              <w:t>$</w:t>
            </w: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856</w:t>
            </w:r>
          </w:p>
        </w:tc>
        <w:tc>
          <w:tcPr>
            <w:tcW w:w="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688</w:t>
            </w:r>
          </w:p>
        </w:tc>
        <w:tc>
          <w:tcPr>
            <w:tcW w:w="36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r>
      <w:tr>
        <w:trPr>
          <w:trHeight w:val="20"/>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r>
      <w:tr>
        <w:trPr>
          <w:trHeight w:val="120"/>
        </w:trPr>
        <w:tc>
          <w:tcPr>
            <w:tcW w:w="4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Other expenses, net:</w:t>
            </w:r>
          </w:p>
        </w:tc>
        <w:tc>
          <w:tcPr>
            <w:tcW w:w="54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r>
      <w:tr>
        <w:trPr>
          <w:trHeight w:val="133"/>
        </w:trPr>
        <w:tc>
          <w:tcPr>
            <w:tcW w:w="44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Debt extinguishment and modification costs</w:t>
            </w: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8,322</w:t>
            </w:r>
          </w:p>
        </w:tc>
        <w:tc>
          <w:tcPr>
            <w:tcW w:w="5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r>
      <w:tr>
        <w:trPr>
          <w:trHeight w:val="133"/>
        </w:trPr>
        <w:tc>
          <w:tcPr>
            <w:tcW w:w="44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Other non-operating expense</w:t>
            </w: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color w:val="auto"/>
              </w:rPr>
              <w:t>(17)</w:t>
            </w:r>
          </w:p>
        </w:tc>
        <w:tc>
          <w:tcPr>
            <w:tcW w:w="5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r>
      <w:tr>
        <w:trPr>
          <w:trHeight w:val="135"/>
        </w:trPr>
        <w:tc>
          <w:tcPr>
            <w:tcW w:w="4400" w:type="dxa"/>
            <w:vAlign w:val="bottom"/>
            <w:tcBorders>
              <w:left w:val="single" w:sz="8" w:color="auto"/>
              <w:bottom w:val="single" w:sz="8" w:color="auto"/>
              <w:right w:val="single" w:sz="8" w:color="auto"/>
            </w:tcBorders>
          </w:tcPr>
          <w:p>
            <w:pPr>
              <w:spacing w:after="0"/>
              <w:rPr>
                <w:sz w:val="11"/>
                <w:szCs w:val="11"/>
                <w:color w:val="auto"/>
              </w:rPr>
            </w:pPr>
          </w:p>
        </w:tc>
        <w:tc>
          <w:tcPr>
            <w:tcW w:w="540" w:type="dxa"/>
            <w:vAlign w:val="bottom"/>
            <w:tcBorders>
              <w:bottom w:val="single" w:sz="8" w:color="auto"/>
            </w:tcBorders>
          </w:tcPr>
          <w:p>
            <w:pPr>
              <w:jc w:val="right"/>
              <w:ind w:right="468"/>
              <w:spacing w:after="0"/>
              <w:rPr>
                <w:sz w:val="20"/>
                <w:szCs w:val="20"/>
                <w:color w:val="auto"/>
              </w:rPr>
            </w:pPr>
            <w:r>
              <w:rPr>
                <w:rFonts w:ascii="Arial" w:cs="Arial" w:eastAsia="Arial" w:hAnsi="Arial"/>
                <w:sz w:val="5"/>
                <w:szCs w:val="5"/>
                <w:b w:val="1"/>
                <w:bCs w:val="1"/>
                <w:color w:val="auto"/>
                <w:w w:val="70"/>
              </w:rPr>
              <w:t>$</w:t>
            </w: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8,305</w:t>
            </w:r>
          </w:p>
        </w:tc>
        <w:tc>
          <w:tcPr>
            <w:tcW w:w="5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6201410</wp:posOffset>
            </wp:positionH>
            <wp:positionV relativeFrom="paragraph">
              <wp:posOffset>-416560</wp:posOffset>
            </wp:positionV>
            <wp:extent cx="5715"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-416560</wp:posOffset>
            </wp:positionV>
            <wp:extent cx="5715"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-416560</wp:posOffset>
            </wp:positionV>
            <wp:extent cx="5715" cy="22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-416560</wp:posOffset>
            </wp:positionV>
            <wp:extent cx="5715"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3121025</wp:posOffset>
            </wp:positionH>
            <wp:positionV relativeFrom="paragraph">
              <wp:posOffset>-416560</wp:posOffset>
            </wp:positionV>
            <wp:extent cx="5715" cy="22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-416560</wp:posOffset>
            </wp:positionV>
            <wp:extent cx="5715"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-416560</wp:posOffset>
            </wp:positionV>
            <wp:extent cx="5715" cy="22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-919480</wp:posOffset>
            </wp:positionV>
            <wp:extent cx="5715"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-919480</wp:posOffset>
            </wp:positionV>
            <wp:extent cx="5715"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-919480</wp:posOffset>
            </wp:positionV>
            <wp:extent cx="5715"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-919480</wp:posOffset>
            </wp:positionV>
            <wp:extent cx="5715"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-919480</wp:posOffset>
            </wp:positionV>
            <wp:extent cx="5715"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-919480</wp:posOffset>
            </wp:positionV>
            <wp:extent cx="5715"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5" cy="22860"/>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-1702435</wp:posOffset>
            </wp:positionV>
            <wp:extent cx="5715"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-1702435</wp:posOffset>
            </wp:positionV>
            <wp:extent cx="5715"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-1702435</wp:posOffset>
            </wp:positionV>
            <wp:extent cx="5715"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-1702435</wp:posOffset>
            </wp:positionV>
            <wp:extent cx="5715"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-1702435</wp:posOffset>
            </wp:positionV>
            <wp:extent cx="5715"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-1702435</wp:posOffset>
            </wp:positionV>
            <wp:extent cx="5715"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pacing w:after="0" w:line="114"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Pro-Forma Results</w:t>
      </w:r>
    </w:p>
    <w:p>
      <w:pPr>
        <w:sectPr>
          <w:pgSz w:w="11900" w:h="16838" w:orient="portrait"/>
          <w:cols w:equalWidth="0" w:num="1">
            <w:col w:w="11280"/>
          </w:cols>
          <w:pgMar w:left="300" w:top="1002" w:right="319" w:bottom="1440" w:gutter="0" w:footer="0" w:header="0"/>
        </w:sectPr>
      </w:pPr>
    </w:p>
    <w:bookmarkStart w:id="6" w:name="page7"/>
    <w:bookmarkEnd w:id="6"/>
    <w:p>
      <w:pPr>
        <w:ind w:right="340"/>
        <w:spacing w:after="0" w:line="261" w:lineRule="auto"/>
        <w:rPr>
          <w:sz w:val="20"/>
          <w:szCs w:val="20"/>
          <w:color w:val="auto"/>
        </w:rPr>
      </w:pPr>
      <w:r>
        <w:rPr>
          <w:rFonts w:ascii="Arial" w:cs="Arial" w:eastAsia="Arial" w:hAnsi="Arial"/>
          <w:sz w:val="12"/>
          <w:szCs w:val="12"/>
          <w:color w:val="auto"/>
        </w:rPr>
        <w:t>On a pro forma basis, including second quarter results of Finxera, together with the June 2021 tuck-in reseller acquisition, second quarter 2021 financial results (excluding revenue and cost synergies)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6412230" cy="874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2230" cy="87439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Borders>
              <w:top w:val="single" w:sz="8" w:color="auto"/>
              <w:bottom w:val="single" w:sz="8" w:color="auto"/>
              <w:right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3"/>
          </w:tcPr>
          <w:p>
            <w:pPr>
              <w:jc w:val="center"/>
              <w:ind w:left="672"/>
              <w:spacing w:after="0"/>
              <w:rPr>
                <w:sz w:val="20"/>
                <w:szCs w:val="20"/>
                <w:color w:val="auto"/>
              </w:rPr>
            </w:pPr>
            <w:r>
              <w:rPr>
                <w:rFonts w:ascii="Arial" w:cs="Arial" w:eastAsia="Arial" w:hAnsi="Arial"/>
                <w:sz w:val="10"/>
                <w:szCs w:val="10"/>
                <w:i w:val="1"/>
                <w:iCs w:val="1"/>
                <w:color w:val="auto"/>
                <w:w w:val="94"/>
              </w:rPr>
              <w:t>(in thousands)</w:t>
            </w:r>
          </w:p>
        </w:tc>
        <w:tc>
          <w:tcPr>
            <w:tcW w:w="3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r>
      <w:tr>
        <w:trPr>
          <w:trHeight w:val="133"/>
        </w:trPr>
        <w:tc>
          <w:tcPr>
            <w:tcW w:w="222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5"/>
          </w:tcPr>
          <w:p>
            <w:pPr>
              <w:jc w:val="center"/>
              <w:ind w:right="92"/>
              <w:spacing w:after="0"/>
              <w:rPr>
                <w:sz w:val="20"/>
                <w:szCs w:val="20"/>
                <w:color w:val="auto"/>
              </w:rPr>
            </w:pPr>
            <w:r>
              <w:rPr>
                <w:rFonts w:ascii="Arial" w:cs="Arial" w:eastAsia="Arial" w:hAnsi="Arial"/>
                <w:sz w:val="10"/>
                <w:szCs w:val="10"/>
                <w:b w:val="1"/>
                <w:bCs w:val="1"/>
                <w:color w:val="auto"/>
                <w:w w:val="95"/>
              </w:rPr>
              <w:t>Three Months Ended June 30, 2021 (a)</w:t>
            </w:r>
          </w:p>
        </w:tc>
        <w:tc>
          <w:tcPr>
            <w:tcW w:w="4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10"/>
        </w:trPr>
        <w:tc>
          <w:tcPr>
            <w:tcW w:w="222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jc w:val="center"/>
              <w:ind w:right="112"/>
              <w:spacing w:after="0" w:line="110" w:lineRule="exact"/>
              <w:rPr>
                <w:sz w:val="20"/>
                <w:szCs w:val="20"/>
                <w:color w:val="auto"/>
              </w:rPr>
            </w:pPr>
            <w:r>
              <w:rPr>
                <w:rFonts w:ascii="Arial" w:cs="Arial" w:eastAsia="Arial" w:hAnsi="Arial"/>
                <w:sz w:val="10"/>
                <w:szCs w:val="10"/>
                <w:b w:val="1"/>
                <w:bCs w:val="1"/>
                <w:color w:val="auto"/>
                <w:w w:val="95"/>
              </w:rPr>
              <w:t>Tuck-in</w:t>
            </w:r>
          </w:p>
        </w:tc>
        <w:tc>
          <w:tcPr>
            <w:tcW w:w="44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31"/>
        </w:trPr>
        <w:tc>
          <w:tcPr>
            <w:tcW w:w="222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jc w:val="right"/>
              <w:ind w:right="672"/>
              <w:spacing w:after="0"/>
              <w:rPr>
                <w:sz w:val="20"/>
                <w:szCs w:val="20"/>
                <w:color w:val="auto"/>
              </w:rPr>
            </w:pPr>
            <w:r>
              <w:rPr>
                <w:rFonts w:ascii="Arial" w:cs="Arial" w:eastAsia="Arial" w:hAnsi="Arial"/>
                <w:sz w:val="10"/>
                <w:szCs w:val="10"/>
                <w:b w:val="1"/>
                <w:bCs w:val="1"/>
                <w:color w:val="auto"/>
              </w:rPr>
              <w:t>Priority</w:t>
            </w:r>
          </w:p>
        </w:tc>
        <w:tc>
          <w:tcPr>
            <w:tcW w:w="44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Finxera</w:t>
            </w:r>
          </w:p>
        </w:tc>
        <w:tc>
          <w:tcPr>
            <w:tcW w:w="44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left="192"/>
              <w:spacing w:after="0"/>
              <w:rPr>
                <w:sz w:val="20"/>
                <w:szCs w:val="20"/>
                <w:color w:val="auto"/>
              </w:rPr>
            </w:pPr>
            <w:r>
              <w:rPr>
                <w:rFonts w:ascii="Arial" w:cs="Arial" w:eastAsia="Arial" w:hAnsi="Arial"/>
                <w:sz w:val="10"/>
                <w:szCs w:val="10"/>
                <w:b w:val="1"/>
                <w:bCs w:val="1"/>
                <w:color w:val="auto"/>
                <w:w w:val="95"/>
              </w:rPr>
              <w:t>Acquisition</w:t>
            </w:r>
          </w:p>
        </w:tc>
        <w:tc>
          <w:tcPr>
            <w:tcW w:w="4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w w:val="99"/>
              </w:rPr>
              <w:t>Pro Forma</w:t>
            </w:r>
          </w:p>
        </w:tc>
      </w:tr>
      <w:tr>
        <w:trPr>
          <w:trHeight w:val="135"/>
        </w:trPr>
        <w:tc>
          <w:tcPr>
            <w:tcW w:w="2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Revenues</w:t>
            </w:r>
          </w:p>
        </w:tc>
        <w:tc>
          <w:tcPr>
            <w:tcW w:w="56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125,014</w:t>
            </w:r>
          </w:p>
        </w:tc>
        <w:tc>
          <w:tcPr>
            <w:tcW w:w="44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16,585</w:t>
            </w:r>
          </w:p>
        </w:tc>
        <w:tc>
          <w:tcPr>
            <w:tcW w:w="44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1,309</w:t>
            </w:r>
          </w:p>
        </w:tc>
        <w:tc>
          <w:tcPr>
            <w:tcW w:w="44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142,908</w:t>
            </w:r>
          </w:p>
        </w:tc>
      </w:tr>
      <w:tr>
        <w:trPr>
          <w:trHeight w:val="140"/>
        </w:trPr>
        <w:tc>
          <w:tcPr>
            <w:tcW w:w="2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Gross Profit</w:t>
            </w:r>
          </w:p>
        </w:tc>
        <w:tc>
          <w:tcPr>
            <w:tcW w:w="56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35,183</w:t>
            </w:r>
          </w:p>
        </w:tc>
        <w:tc>
          <w:tcPr>
            <w:tcW w:w="44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15,533</w:t>
            </w:r>
          </w:p>
        </w:tc>
        <w:tc>
          <w:tcPr>
            <w:tcW w:w="44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1,030</w:t>
            </w:r>
          </w:p>
        </w:tc>
        <w:tc>
          <w:tcPr>
            <w:tcW w:w="44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51,746</w:t>
            </w:r>
          </w:p>
        </w:tc>
      </w:tr>
      <w:tr>
        <w:trPr>
          <w:trHeight w:val="135"/>
        </w:trPr>
        <w:tc>
          <w:tcPr>
            <w:tcW w:w="2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0"/>
                <w:szCs w:val="10"/>
                <w:color w:val="auto"/>
              </w:rPr>
              <w:t>Gross Profit Margin</w:t>
            </w:r>
          </w:p>
        </w:tc>
        <w:tc>
          <w:tcPr>
            <w:tcW w:w="560" w:type="dxa"/>
            <w:vAlign w:val="bottom"/>
            <w:tcBorders>
              <w:bottom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28.1%</w:t>
            </w:r>
          </w:p>
        </w:tc>
        <w:tc>
          <w:tcPr>
            <w:tcW w:w="44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93.7%</w:t>
            </w:r>
          </w:p>
        </w:tc>
        <w:tc>
          <w:tcPr>
            <w:tcW w:w="44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78.7%</w:t>
            </w:r>
          </w:p>
        </w:tc>
        <w:tc>
          <w:tcPr>
            <w:tcW w:w="44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36.2%</w:t>
            </w:r>
          </w:p>
        </w:tc>
      </w:tr>
      <w:tr>
        <w:trPr>
          <w:trHeight w:val="142"/>
        </w:trPr>
        <w:tc>
          <w:tcPr>
            <w:tcW w:w="2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Adjusted EBITDA</w:t>
            </w:r>
          </w:p>
        </w:tc>
        <w:tc>
          <w:tcPr>
            <w:tcW w:w="56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21,016</w:t>
            </w:r>
          </w:p>
        </w:tc>
        <w:tc>
          <w:tcPr>
            <w:tcW w:w="44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11,123</w:t>
            </w:r>
          </w:p>
        </w:tc>
        <w:tc>
          <w:tcPr>
            <w:tcW w:w="44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672</w:t>
            </w:r>
          </w:p>
        </w:tc>
        <w:tc>
          <w:tcPr>
            <w:tcW w:w="44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32,811</w:t>
            </w:r>
          </w:p>
        </w:tc>
      </w:tr>
    </w:tbl>
    <w:p>
      <w:pPr>
        <w:spacing w:after="0" w:line="21" w:lineRule="exact"/>
        <w:rPr>
          <w:sz w:val="20"/>
          <w:szCs w:val="20"/>
          <w:color w:val="auto"/>
        </w:rPr>
      </w:pPr>
    </w:p>
    <w:p>
      <w:pPr>
        <w:ind w:left="60"/>
        <w:spacing w:after="0"/>
        <w:rPr>
          <w:sz w:val="20"/>
          <w:szCs w:val="20"/>
          <w:color w:val="auto"/>
        </w:rPr>
      </w:pPr>
      <w:r>
        <w:rPr>
          <w:rFonts w:ascii="Arial" w:cs="Arial" w:eastAsia="Arial" w:hAnsi="Arial"/>
          <w:sz w:val="10"/>
          <w:szCs w:val="10"/>
          <w:color w:val="auto"/>
        </w:rPr>
        <w:t>(a) Actual second quarter 2021 results of Priority, Finxera and the June 2021 tuck-in reseller acquisition.</w:t>
      </w:r>
    </w:p>
    <w:p>
      <w:pPr>
        <w:spacing w:after="0" w:line="160" w:lineRule="exact"/>
        <w:rPr>
          <w:sz w:val="20"/>
          <w:szCs w:val="20"/>
          <w:color w:val="auto"/>
        </w:rPr>
      </w:pPr>
    </w:p>
    <w:p>
      <w:pPr>
        <w:ind w:right="240"/>
        <w:spacing w:after="0" w:line="261" w:lineRule="auto"/>
        <w:rPr>
          <w:sz w:val="20"/>
          <w:szCs w:val="20"/>
          <w:color w:val="auto"/>
        </w:rPr>
      </w:pPr>
      <w:r>
        <w:rPr>
          <w:rFonts w:ascii="Arial" w:cs="Arial" w:eastAsia="Arial" w:hAnsi="Arial"/>
          <w:sz w:val="12"/>
          <w:szCs w:val="12"/>
          <w:color w:val="auto"/>
        </w:rPr>
        <w:t>On a pro forma basis, including first half results of Finxera, together with the April 2021 and June 2021 tuck-in reseller acquisitions, first half 2021 financial results (excluding revenue and cost synergies)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6366510" cy="868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66510" cy="86868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Borders>
              <w:top w:val="single" w:sz="8" w:color="auto"/>
              <w:bottom w:val="single" w:sz="8" w:color="auto"/>
              <w:right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3"/>
          </w:tcPr>
          <w:p>
            <w:pPr>
              <w:jc w:val="center"/>
              <w:ind w:left="832"/>
              <w:spacing w:after="0"/>
              <w:rPr>
                <w:sz w:val="20"/>
                <w:szCs w:val="20"/>
                <w:color w:val="auto"/>
              </w:rPr>
            </w:pPr>
            <w:r>
              <w:rPr>
                <w:rFonts w:ascii="Arial" w:cs="Arial" w:eastAsia="Arial" w:hAnsi="Arial"/>
                <w:sz w:val="10"/>
                <w:szCs w:val="10"/>
                <w:i w:val="1"/>
                <w:iCs w:val="1"/>
                <w:color w:val="auto"/>
                <w:w w:val="97"/>
              </w:rPr>
              <w:t>(in thousands)</w:t>
            </w:r>
          </w:p>
        </w:tc>
        <w:tc>
          <w:tcPr>
            <w:tcW w:w="14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spacing w:after="0"/>
              <w:rPr>
                <w:sz w:val="12"/>
                <w:szCs w:val="12"/>
                <w:color w:val="auto"/>
              </w:rPr>
            </w:pPr>
          </w:p>
        </w:tc>
      </w:tr>
      <w:tr>
        <w:trPr>
          <w:trHeight w:val="133"/>
        </w:trPr>
        <w:tc>
          <w:tcPr>
            <w:tcW w:w="22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gridSpan w:val="4"/>
          </w:tcPr>
          <w:p>
            <w:pPr>
              <w:jc w:val="center"/>
              <w:ind w:right="472"/>
              <w:spacing w:after="0"/>
              <w:rPr>
                <w:sz w:val="20"/>
                <w:szCs w:val="20"/>
                <w:color w:val="auto"/>
              </w:rPr>
            </w:pPr>
            <w:r>
              <w:rPr>
                <w:rFonts w:ascii="Arial" w:cs="Arial" w:eastAsia="Arial" w:hAnsi="Arial"/>
                <w:sz w:val="10"/>
                <w:szCs w:val="10"/>
                <w:b w:val="1"/>
                <w:bCs w:val="1"/>
                <w:color w:val="auto"/>
                <w:w w:val="95"/>
              </w:rPr>
              <w:t>Six Months Ended June 30, 2021 (a)</w:t>
            </w:r>
          </w:p>
        </w:tc>
        <w:tc>
          <w:tcPr>
            <w:tcW w:w="4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r>
      <w:tr>
        <w:trPr>
          <w:trHeight w:val="110"/>
        </w:trPr>
        <w:tc>
          <w:tcPr>
            <w:tcW w:w="2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Borders>
              <w:right w:val="single" w:sz="8" w:color="auto"/>
            </w:tcBorders>
          </w:tcPr>
          <w:p>
            <w:pPr>
              <w:ind w:left="480"/>
              <w:spacing w:after="0" w:line="110" w:lineRule="exact"/>
              <w:rPr>
                <w:sz w:val="20"/>
                <w:szCs w:val="20"/>
                <w:color w:val="auto"/>
              </w:rPr>
            </w:pPr>
            <w:r>
              <w:rPr>
                <w:rFonts w:ascii="Arial" w:cs="Arial" w:eastAsia="Arial" w:hAnsi="Arial"/>
                <w:sz w:val="10"/>
                <w:szCs w:val="10"/>
                <w:b w:val="1"/>
                <w:bCs w:val="1"/>
                <w:color w:val="auto"/>
              </w:rPr>
              <w:t>Tuck-in</w:t>
            </w:r>
          </w:p>
        </w:tc>
        <w:tc>
          <w:tcPr>
            <w:tcW w:w="460" w:type="dxa"/>
            <w:vAlign w:val="bottom"/>
            <w:tcBorders>
              <w:right w:val="single" w:sz="8" w:color="auto"/>
            </w:tcBorders>
          </w:tcPr>
          <w:p>
            <w:pPr>
              <w:spacing w:after="0"/>
              <w:rPr>
                <w:sz w:val="9"/>
                <w:szCs w:val="9"/>
                <w:color w:val="auto"/>
              </w:rPr>
            </w:pPr>
          </w:p>
        </w:tc>
        <w:tc>
          <w:tcPr>
            <w:tcW w:w="1680" w:type="dxa"/>
            <w:vAlign w:val="bottom"/>
          </w:tcPr>
          <w:p>
            <w:pPr>
              <w:spacing w:after="0"/>
              <w:rPr>
                <w:sz w:val="9"/>
                <w:szCs w:val="9"/>
                <w:color w:val="auto"/>
              </w:rPr>
            </w:pPr>
          </w:p>
        </w:tc>
      </w:tr>
      <w:tr>
        <w:trPr>
          <w:trHeight w:val="131"/>
        </w:trPr>
        <w:tc>
          <w:tcPr>
            <w:tcW w:w="22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Priority</w:t>
            </w:r>
          </w:p>
        </w:tc>
        <w:tc>
          <w:tcPr>
            <w:tcW w:w="46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Finxera</w:t>
            </w:r>
          </w:p>
        </w:tc>
        <w:tc>
          <w:tcPr>
            <w:tcW w:w="4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0"/>
                <w:szCs w:val="10"/>
                <w:b w:val="1"/>
                <w:bCs w:val="1"/>
                <w:color w:val="auto"/>
              </w:rPr>
              <w:t>Acquisitions</w:t>
            </w:r>
          </w:p>
        </w:tc>
        <w:tc>
          <w:tcPr>
            <w:tcW w:w="46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rPr>
              <w:t>Pro Forma</w:t>
            </w:r>
          </w:p>
        </w:tc>
      </w:tr>
      <w:tr>
        <w:trPr>
          <w:trHeight w:val="135"/>
        </w:trPr>
        <w:tc>
          <w:tcPr>
            <w:tcW w:w="2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Revenues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238,311</w:t>
            </w:r>
          </w:p>
        </w:tc>
        <w:tc>
          <w:tcPr>
            <w:tcW w:w="46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99"/>
              </w:rPr>
              <w:t>$33,353</w:t>
            </w:r>
          </w:p>
        </w:tc>
        <w:tc>
          <w:tcPr>
            <w:tcW w:w="108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0"/>
                <w:szCs w:val="10"/>
                <w:color w:val="auto"/>
              </w:rPr>
              <w:t>3,479</w:t>
            </w:r>
          </w:p>
        </w:tc>
        <w:tc>
          <w:tcPr>
            <w:tcW w:w="46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$275,143</w:t>
            </w:r>
          </w:p>
        </w:tc>
      </w:tr>
      <w:tr>
        <w:trPr>
          <w:trHeight w:val="140"/>
        </w:trPr>
        <w:tc>
          <w:tcPr>
            <w:tcW w:w="2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Gross Profit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66,617</w:t>
            </w:r>
          </w:p>
        </w:tc>
        <w:tc>
          <w:tcPr>
            <w:tcW w:w="46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99"/>
              </w:rPr>
              <w:t>$31,180</w:t>
            </w:r>
          </w:p>
        </w:tc>
        <w:tc>
          <w:tcPr>
            <w:tcW w:w="108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0"/>
                <w:szCs w:val="10"/>
                <w:color w:val="auto"/>
              </w:rPr>
              <w:t>6,822</w:t>
            </w:r>
          </w:p>
        </w:tc>
        <w:tc>
          <w:tcPr>
            <w:tcW w:w="4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$104,619</w:t>
            </w:r>
          </w:p>
        </w:tc>
      </w:tr>
      <w:tr>
        <w:trPr>
          <w:trHeight w:val="135"/>
        </w:trPr>
        <w:tc>
          <w:tcPr>
            <w:tcW w:w="2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0"/>
                <w:szCs w:val="10"/>
                <w:color w:val="auto"/>
              </w:rPr>
              <w:t>Gross Profit Margin</w:t>
            </w: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28.0%</w:t>
            </w:r>
          </w:p>
        </w:tc>
        <w:tc>
          <w:tcPr>
            <w:tcW w:w="46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color w:val="auto"/>
              </w:rPr>
              <w:t>93.5%</w:t>
            </w:r>
          </w:p>
        </w:tc>
        <w:tc>
          <w:tcPr>
            <w:tcW w:w="4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ind w:left="1000"/>
              <w:spacing w:after="0"/>
              <w:rPr>
                <w:sz w:val="20"/>
                <w:szCs w:val="20"/>
                <w:color w:val="auto"/>
              </w:rPr>
            </w:pPr>
            <w:r>
              <w:rPr>
                <w:rFonts w:ascii="Arial" w:cs="Arial" w:eastAsia="Arial" w:hAnsi="Arial"/>
                <w:sz w:val="10"/>
                <w:szCs w:val="10"/>
                <w:color w:val="auto"/>
              </w:rPr>
              <w:t>196.1%</w:t>
            </w:r>
          </w:p>
        </w:tc>
        <w:tc>
          <w:tcPr>
            <w:tcW w:w="46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tcBorders>
          </w:tcPr>
          <w:p>
            <w:pPr>
              <w:ind w:left="1340"/>
              <w:spacing w:after="0"/>
              <w:rPr>
                <w:sz w:val="20"/>
                <w:szCs w:val="20"/>
                <w:color w:val="auto"/>
              </w:rPr>
            </w:pPr>
            <w:r>
              <w:rPr>
                <w:rFonts w:ascii="Arial" w:cs="Arial" w:eastAsia="Arial" w:hAnsi="Arial"/>
                <w:sz w:val="10"/>
                <w:szCs w:val="10"/>
                <w:color w:val="auto"/>
              </w:rPr>
              <w:t>38.0%</w:t>
            </w:r>
          </w:p>
        </w:tc>
      </w:tr>
      <w:tr>
        <w:trPr>
          <w:trHeight w:val="142"/>
        </w:trPr>
        <w:tc>
          <w:tcPr>
            <w:tcW w:w="2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Adjusted EBITDA</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39,017</w:t>
            </w:r>
          </w:p>
        </w:tc>
        <w:tc>
          <w:tcPr>
            <w:tcW w:w="46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99"/>
              </w:rPr>
              <w:t>$22,817</w:t>
            </w:r>
          </w:p>
        </w:tc>
        <w:tc>
          <w:tcPr>
            <w:tcW w:w="108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0"/>
                <w:szCs w:val="10"/>
                <w:color w:val="auto"/>
              </w:rPr>
              <w:t>6,100</w:t>
            </w:r>
          </w:p>
        </w:tc>
        <w:tc>
          <w:tcPr>
            <w:tcW w:w="4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$67,934</w:t>
            </w:r>
          </w:p>
        </w:tc>
      </w:tr>
    </w:tbl>
    <w:p>
      <w:pPr>
        <w:spacing w:after="0" w:line="21" w:lineRule="exact"/>
        <w:rPr>
          <w:sz w:val="20"/>
          <w:szCs w:val="20"/>
          <w:color w:val="auto"/>
        </w:rPr>
      </w:pPr>
    </w:p>
    <w:p>
      <w:pPr>
        <w:ind w:left="60"/>
        <w:spacing w:after="0"/>
        <w:rPr>
          <w:sz w:val="20"/>
          <w:szCs w:val="20"/>
          <w:color w:val="auto"/>
        </w:rPr>
      </w:pPr>
      <w:r>
        <w:rPr>
          <w:rFonts w:ascii="Arial" w:cs="Arial" w:eastAsia="Arial" w:hAnsi="Arial"/>
          <w:sz w:val="10"/>
          <w:szCs w:val="10"/>
          <w:color w:val="auto"/>
        </w:rPr>
        <w:t>(a) Actual first half 2021 results of Priority, Finxera and the April 2021 and June 2021 tuck-in reseller acquisitions.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u w:val="single" w:color="auto"/>
          <w:color w:val="auto"/>
        </w:rPr>
        <w:t>About Priority Technology Holdings, Inc.</w:t>
      </w:r>
    </w:p>
    <w:p>
      <w:pPr>
        <w:spacing w:after="0" w:line="83" w:lineRule="exact"/>
        <w:rPr>
          <w:sz w:val="20"/>
          <w:szCs w:val="20"/>
          <w:color w:val="auto"/>
        </w:rPr>
      </w:pPr>
    </w:p>
    <w:p>
      <w:pPr>
        <w:ind w:right="120"/>
        <w:spacing w:after="0" w:line="256" w:lineRule="auto"/>
        <w:rPr>
          <w:sz w:val="20"/>
          <w:szCs w:val="20"/>
          <w:color w:val="auto"/>
        </w:rPr>
      </w:pPr>
      <w:r>
        <w:rPr>
          <w:rFonts w:ascii="Arial" w:cs="Arial" w:eastAsia="Arial" w:hAnsi="Arial"/>
          <w:sz w:val="12"/>
          <w:szCs w:val="12"/>
          <w:color w:val="auto"/>
        </w:rPr>
        <w:t>Priority is a leading provider of merchant acquiring, integrated payment software and commercial payment solutions, offering unique product and service capabilities to its merchant network and distribution partners. Priority's enterprise operates from a purpose-built business platform that includes tailored customer service offerings and bespoke technology development, allowing the Company to provide end-to-end solutions for payment and payment-adjacent opportunities. Additional information can be found at www.PRTH.com.</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u w:val="single" w:color="auto"/>
          <w:color w:val="auto"/>
        </w:rPr>
        <w:t>Forward-Looking Statements</w:t>
      </w:r>
    </w:p>
    <w:p>
      <w:pPr>
        <w:spacing w:after="0" w:line="74"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expected timing of the closing of Priority Technology Holdings, Inc.'s ("Priority", "we", "our", or "us") merger with Finxera Holdings, Inc. ("Finxera") and our 2021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These forward-looking statements may include, but are not limited to, statements about the effects of the COVID-19 pandemic on our revenues and financial operating results. Our actual results could differ materially, and potentially adversely, from those discussed or implied herein.</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We caution that it is very difficult to predict the impact of known factors, and it is impossible for us to anticipate all factors that could affect our actual results. All forward-looking statements are expressly</w:t>
      </w:r>
    </w:p>
    <w:p>
      <w:pPr>
        <w:sectPr>
          <w:pgSz w:w="11900" w:h="16838" w:orient="portrait"/>
          <w:cols w:equalWidth="0" w:num="1">
            <w:col w:w="11260"/>
          </w:cols>
          <w:pgMar w:left="300" w:top="1066" w:right="339" w:bottom="1440" w:gutter="0" w:footer="0" w:header="0"/>
        </w:sectPr>
      </w:pPr>
    </w:p>
    <w:bookmarkStart w:id="7" w:name="page8"/>
    <w:bookmarkEnd w:id="7"/>
    <w:p>
      <w:pPr>
        <w:ind w:right="320"/>
        <w:spacing w:after="0" w:line="261" w:lineRule="auto"/>
        <w:rPr>
          <w:sz w:val="20"/>
          <w:szCs w:val="20"/>
          <w:color w:val="auto"/>
        </w:rPr>
      </w:pPr>
      <w:r>
        <w:rPr>
          <w:rFonts w:ascii="Arial" w:cs="Arial" w:eastAsia="Arial" w:hAnsi="Arial"/>
          <w:sz w:val="12"/>
          <w:szCs w:val="12"/>
          <w:color w:val="auto"/>
        </w:rPr>
        <w:t>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31, 2021. These filings are available online at www.sec.gov or www.PRTH.com.</w:t>
      </w:r>
    </w:p>
    <w:p>
      <w:pPr>
        <w:spacing w:after="0" w:line="42" w:lineRule="exact"/>
        <w:rPr>
          <w:sz w:val="20"/>
          <w:szCs w:val="20"/>
          <w:color w:val="auto"/>
        </w:rPr>
      </w:pPr>
    </w:p>
    <w:p>
      <w:pPr>
        <w:ind w:right="40"/>
        <w:spacing w:after="0" w:line="253" w:lineRule="auto"/>
        <w:rPr>
          <w:sz w:val="20"/>
          <w:szCs w:val="20"/>
          <w:color w:val="auto"/>
        </w:rPr>
      </w:pPr>
      <w:r>
        <w:rPr>
          <w:rFonts w:ascii="Arial" w:cs="Arial" w:eastAsia="Arial" w:hAnsi="Arial"/>
          <w:sz w:val="12"/>
          <w:szCs w:val="12"/>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46990</wp:posOffset>
            </wp:positionV>
            <wp:extent cx="7183755" cy="2788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755" cy="2788920"/>
                    </a:xfrm>
                    <a:prstGeom prst="rect">
                      <a:avLst/>
                    </a:prstGeom>
                    <a:noFill/>
                  </pic:spPr>
                </pic:pic>
              </a:graphicData>
            </a:graphic>
          </wp:anchor>
        </w:drawing>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PRIORITY TECHNOLOGY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Condensed Consolidated Statements of Operations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8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i w:val="1"/>
                <w:iCs w:val="1"/>
                <w:color w:val="auto"/>
              </w:rPr>
              <w:t>(in thousands, except per share amounts)</w:t>
            </w:r>
          </w:p>
        </w:tc>
        <w:tc>
          <w:tcPr>
            <w:tcW w:w="80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gridSpan w:val="3"/>
          </w:tcPr>
          <w:p>
            <w:pPr>
              <w:jc w:val="right"/>
              <w:ind w:right="312"/>
              <w:spacing w:after="0"/>
              <w:rPr>
                <w:sz w:val="20"/>
                <w:szCs w:val="20"/>
                <w:color w:val="auto"/>
              </w:rPr>
            </w:pPr>
            <w:r>
              <w:rPr>
                <w:rFonts w:ascii="Arial" w:cs="Arial" w:eastAsia="Arial" w:hAnsi="Arial"/>
                <w:sz w:val="10"/>
                <w:szCs w:val="10"/>
                <w:b w:val="1"/>
                <w:bCs w:val="1"/>
                <w:color w:val="auto"/>
                <w:w w:val="95"/>
              </w:rPr>
              <w:t>Three Months Ended June 30,</w:t>
            </w:r>
          </w:p>
        </w:tc>
        <w:tc>
          <w:tcPr>
            <w:tcW w:w="500" w:type="dxa"/>
            <w:vAlign w:val="bottom"/>
            <w:tcBorders>
              <w:top w:val="single" w:sz="8" w:color="auto"/>
              <w:bottom w:val="single" w:sz="8" w:color="auto"/>
              <w:right w:val="single" w:sz="8" w:color="auto"/>
            </w:tcBorders>
          </w:tcPr>
          <w:p>
            <w:pPr>
              <w:spacing w:after="0"/>
              <w:rPr>
                <w:sz w:val="12"/>
                <w:szCs w:val="12"/>
                <w:color w:val="auto"/>
              </w:rPr>
            </w:pPr>
          </w:p>
        </w:tc>
        <w:tc>
          <w:tcPr>
            <w:tcW w:w="340" w:type="dxa"/>
            <w:vAlign w:val="bottom"/>
            <w:tcBorders>
              <w:top w:val="single" w:sz="8" w:color="auto"/>
              <w:bottom w:val="single" w:sz="8" w:color="auto"/>
              <w:right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rPr>
              <w:t>Six Months Ended June 30,</w:t>
            </w:r>
          </w:p>
        </w:tc>
        <w:tc>
          <w:tcPr>
            <w:tcW w:w="880" w:type="dxa"/>
            <w:vAlign w:val="bottom"/>
            <w:tcBorders>
              <w:top w:val="single" w:sz="8" w:color="auto"/>
              <w:bottom w:val="single" w:sz="8" w:color="auto"/>
            </w:tcBorders>
          </w:tcPr>
          <w:p>
            <w:pPr>
              <w:spacing w:after="0"/>
              <w:rPr>
                <w:sz w:val="12"/>
                <w:szCs w:val="12"/>
                <w:color w:val="auto"/>
              </w:rPr>
            </w:pPr>
          </w:p>
        </w:tc>
      </w:tr>
      <w:tr>
        <w:trPr>
          <w:trHeight w:val="133"/>
        </w:trPr>
        <w:tc>
          <w:tcPr>
            <w:tcW w:w="480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2020</w:t>
            </w:r>
          </w:p>
        </w:tc>
      </w:tr>
      <w:tr>
        <w:trPr>
          <w:trHeight w:val="135"/>
        </w:trPr>
        <w:tc>
          <w:tcPr>
            <w:tcW w:w="4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REVENUES</w:t>
            </w:r>
          </w:p>
        </w:tc>
        <w:tc>
          <w:tcPr>
            <w:tcW w:w="80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125,014</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92,356</w:t>
            </w: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jc w:val="right"/>
              <w:ind w:right="790"/>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238,311</w:t>
            </w: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189,289</w:t>
            </w:r>
          </w:p>
        </w:tc>
      </w:tr>
      <w:tr>
        <w:trPr>
          <w:trHeight w:val="140"/>
        </w:trPr>
        <w:tc>
          <w:tcPr>
            <w:tcW w:w="4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OPERATING EXPENSES:</w:t>
            </w:r>
          </w:p>
        </w:tc>
        <w:tc>
          <w:tcPr>
            <w:tcW w:w="80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r>
        <w:trPr>
          <w:trHeight w:val="133"/>
        </w:trPr>
        <w:tc>
          <w:tcPr>
            <w:tcW w:w="4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Costs of services</w:t>
            </w: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89,831</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62,398</w:t>
            </w: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171,694</w:t>
            </w: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128,762</w:t>
            </w:r>
          </w:p>
        </w:tc>
      </w:tr>
      <w:tr>
        <w:trPr>
          <w:trHeight w:val="133"/>
        </w:trPr>
        <w:tc>
          <w:tcPr>
            <w:tcW w:w="4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Salary and employee benefits</w:t>
            </w: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10,351</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9,556</w:t>
            </w: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19,899</w:t>
            </w: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19,685</w:t>
            </w:r>
          </w:p>
        </w:tc>
      </w:tr>
      <w:tr>
        <w:trPr>
          <w:trHeight w:val="133"/>
        </w:trPr>
        <w:tc>
          <w:tcPr>
            <w:tcW w:w="4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Depreciation and amortization</w:t>
            </w: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10,723</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10,363</w:t>
            </w: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19,793</w:t>
            </w: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20,635</w:t>
            </w:r>
          </w:p>
        </w:tc>
      </w:tr>
      <w:tr>
        <w:trPr>
          <w:trHeight w:val="133"/>
        </w:trPr>
        <w:tc>
          <w:tcPr>
            <w:tcW w:w="4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Selling, general and administrative</w:t>
            </w: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6,704</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6,008</w:t>
            </w: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14,993</w:t>
            </w: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12,617</w:t>
            </w:r>
          </w:p>
        </w:tc>
      </w:tr>
      <w:tr>
        <w:trPr>
          <w:trHeight w:val="135"/>
        </w:trPr>
        <w:tc>
          <w:tcPr>
            <w:tcW w:w="4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Total operating expenses</w:t>
            </w: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117,609</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88,325</w:t>
            </w: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226,379</w:t>
            </w: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181,699</w:t>
            </w:r>
          </w:p>
        </w:tc>
      </w:tr>
      <w:tr>
        <w:trPr>
          <w:trHeight w:val="142"/>
        </w:trPr>
        <w:tc>
          <w:tcPr>
            <w:tcW w:w="4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0"/>
                <w:szCs w:val="10"/>
                <w:b w:val="1"/>
                <w:bCs w:val="1"/>
                <w:color w:val="auto"/>
              </w:rPr>
              <w:t>Income from operations</w:t>
            </w:r>
          </w:p>
        </w:tc>
        <w:tc>
          <w:tcPr>
            <w:tcW w:w="80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7,405</w:t>
            </w:r>
          </w:p>
        </w:tc>
        <w:tc>
          <w:tcPr>
            <w:tcW w:w="3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4,031</w:t>
            </w:r>
          </w:p>
        </w:tc>
        <w:tc>
          <w:tcPr>
            <w:tcW w:w="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11,932</w:t>
            </w:r>
          </w:p>
        </w:tc>
        <w:tc>
          <w:tcPr>
            <w:tcW w:w="3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7,590</w:t>
            </w:r>
          </w:p>
        </w:tc>
      </w:tr>
      <w:tr>
        <w:trPr>
          <w:trHeight w:val="140"/>
        </w:trPr>
        <w:tc>
          <w:tcPr>
            <w:tcW w:w="4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OTHER EXPENSES:</w:t>
            </w:r>
          </w:p>
        </w:tc>
        <w:tc>
          <w:tcPr>
            <w:tcW w:w="80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r>
        <w:trPr>
          <w:trHeight w:val="133"/>
        </w:trPr>
        <w:tc>
          <w:tcPr>
            <w:tcW w:w="4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Interest expense</w:t>
            </w: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(7,285)</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(11,668)</w:t>
            </w: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(16,453)</w:t>
            </w: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(21,983)</w:t>
            </w:r>
          </w:p>
        </w:tc>
      </w:tr>
      <w:tr>
        <w:trPr>
          <w:trHeight w:val="133"/>
        </w:trPr>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Debt extinguishment and modification costs</w:t>
            </w: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(8,322)</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(8,322)</w:t>
            </w: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(376)</w:t>
            </w:r>
          </w:p>
        </w:tc>
      </w:tr>
      <w:tr>
        <w:trPr>
          <w:trHeight w:val="133"/>
        </w:trPr>
        <w:tc>
          <w:tcPr>
            <w:tcW w:w="4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Other income (expenses), net</w:t>
            </w: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215</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194</w:t>
            </w: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(54)</w:t>
            </w: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224</w:t>
            </w:r>
          </w:p>
        </w:tc>
      </w:tr>
      <w:tr>
        <w:trPr>
          <w:trHeight w:val="135"/>
        </w:trPr>
        <w:tc>
          <w:tcPr>
            <w:tcW w:w="4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Total other expenses, net</w:t>
            </w: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(15,392)</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(11,474)</w:t>
            </w: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(24,829)</w:t>
            </w: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(22,135)</w:t>
            </w:r>
          </w:p>
        </w:tc>
      </w:tr>
      <w:tr>
        <w:trPr>
          <w:trHeight w:val="142"/>
        </w:trPr>
        <w:tc>
          <w:tcPr>
            <w:tcW w:w="4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Loss before income taxes</w:t>
            </w:r>
          </w:p>
        </w:tc>
        <w:tc>
          <w:tcPr>
            <w:tcW w:w="80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(7,987)</w:t>
            </w:r>
          </w:p>
        </w:tc>
        <w:tc>
          <w:tcPr>
            <w:tcW w:w="3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(7,443)</w:t>
            </w:r>
          </w:p>
        </w:tc>
        <w:tc>
          <w:tcPr>
            <w:tcW w:w="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(12,897)</w:t>
            </w:r>
          </w:p>
        </w:tc>
        <w:tc>
          <w:tcPr>
            <w:tcW w:w="3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(14,545)</w:t>
            </w:r>
          </w:p>
        </w:tc>
      </w:tr>
      <w:tr>
        <w:trPr>
          <w:trHeight w:val="140"/>
        </w:trPr>
        <w:tc>
          <w:tcPr>
            <w:tcW w:w="4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Income tax expense (benefit)</w:t>
            </w:r>
          </w:p>
        </w:tc>
        <w:tc>
          <w:tcPr>
            <w:tcW w:w="80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1,490</w:t>
            </w:r>
          </w:p>
        </w:tc>
        <w:tc>
          <w:tcPr>
            <w:tcW w:w="3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415</w:t>
            </w:r>
          </w:p>
        </w:tc>
        <w:tc>
          <w:tcPr>
            <w:tcW w:w="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(741)</w:t>
            </w:r>
          </w:p>
        </w:tc>
        <w:tc>
          <w:tcPr>
            <w:tcW w:w="3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(818)</w:t>
            </w:r>
          </w:p>
        </w:tc>
      </w:tr>
      <w:tr>
        <w:trPr>
          <w:trHeight w:val="133"/>
        </w:trPr>
        <w:tc>
          <w:tcPr>
            <w:tcW w:w="4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Net loss</w:t>
            </w: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(9,477)</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(7,858)</w:t>
            </w: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(12,156)</w:t>
            </w: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(13,727)</w:t>
            </w:r>
          </w:p>
        </w:tc>
      </w:tr>
      <w:tr>
        <w:trPr>
          <w:trHeight w:val="133"/>
        </w:trPr>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Dividends attributable to senior preferred stockholders</w:t>
            </w: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(3,911)</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(3,911)</w:t>
            </w: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r>
      <w:tr>
        <w:trPr>
          <w:trHeight w:val="133"/>
        </w:trPr>
        <w:tc>
          <w:tcPr>
            <w:tcW w:w="48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Non-controlling interest preferred unit redemptions</w:t>
            </w: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(10,777)</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(10,777)</w:t>
            </w: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r>
      <w:tr>
        <w:trPr>
          <w:trHeight w:val="133"/>
        </w:trPr>
        <w:tc>
          <w:tcPr>
            <w:tcW w:w="4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Net loss attributable to common stockholders of PRTH</w:t>
            </w:r>
          </w:p>
        </w:tc>
        <w:tc>
          <w:tcPr>
            <w:tcW w:w="80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(24,165)</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(7,858)</w:t>
            </w: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jc w:val="right"/>
              <w:ind w:right="790"/>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(26,844)</w:t>
            </w: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(13,727)</w:t>
            </w:r>
          </w:p>
        </w:tc>
      </w:tr>
      <w:tr>
        <w:trPr>
          <w:trHeight w:val="20"/>
        </w:trPr>
        <w:tc>
          <w:tcPr>
            <w:tcW w:w="48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4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Loss per common share:</w:t>
            </w: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35"/>
        </w:trPr>
        <w:tc>
          <w:tcPr>
            <w:tcW w:w="4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Basic and diluted</w:t>
            </w:r>
          </w:p>
        </w:tc>
        <w:tc>
          <w:tcPr>
            <w:tcW w:w="80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(0.35)</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(0.12)</w:t>
            </w: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jc w:val="right"/>
              <w:ind w:right="790"/>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(0.39)</w:t>
            </w: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(0.2)</w:t>
            </w:r>
          </w:p>
        </w:tc>
      </w:tr>
      <w:tr>
        <w:trPr>
          <w:trHeight w:val="140"/>
        </w:trPr>
        <w:tc>
          <w:tcPr>
            <w:tcW w:w="4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Weighted-average common shares outstanding:</w:t>
            </w:r>
          </w:p>
        </w:tc>
        <w:tc>
          <w:tcPr>
            <w:tcW w:w="80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r>
        <w:trPr>
          <w:trHeight w:val="133"/>
        </w:trPr>
        <w:tc>
          <w:tcPr>
            <w:tcW w:w="4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Basic and diluted</w:t>
            </w:r>
          </w:p>
        </w:tc>
        <w:tc>
          <w:tcPr>
            <w:tcW w:w="80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69,496</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67,114</w:t>
            </w:r>
          </w:p>
        </w:tc>
        <w:tc>
          <w:tcPr>
            <w:tcW w:w="3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68,525</w:t>
            </w:r>
          </w:p>
        </w:tc>
        <w:tc>
          <w:tcPr>
            <w:tcW w:w="3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67,088</w:t>
            </w:r>
          </w:p>
        </w:tc>
      </w:tr>
    </w:tbl>
    <w:p>
      <w:pPr>
        <w:sectPr>
          <w:pgSz w:w="11900" w:h="16838" w:orient="portrait"/>
          <w:cols w:equalWidth="0" w:num="1">
            <w:col w:w="11300"/>
          </w:cols>
          <w:pgMar w:left="300" w:top="1066" w:right="299" w:bottom="1440" w:gutter="0" w:footer="0" w:header="0"/>
        </w:sectPr>
      </w:pPr>
    </w:p>
    <w:bookmarkStart w:id="8" w:name="page9"/>
    <w:bookmarkEnd w:id="8"/>
    <w:p>
      <w:pPr>
        <w:ind w:left="4420"/>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6858000" cy="4051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00" cy="4051935"/>
                    </a:xfrm>
                    <a:prstGeom prst="rect">
                      <a:avLst/>
                    </a:prstGeom>
                    <a:noFill/>
                  </pic:spPr>
                </pic:pic>
              </a:graphicData>
            </a:graphic>
          </wp:anchor>
        </w:drawing>
        <w:t>PRIORITY TECHNOLOGY HOLDINGS, INC.</w:t>
      </w:r>
    </w:p>
    <w:p>
      <w:pPr>
        <w:spacing w:after="0" w:line="38" w:lineRule="exact"/>
        <w:rPr>
          <w:sz w:val="20"/>
          <w:szCs w:val="20"/>
          <w:color w:val="auto"/>
        </w:rPr>
      </w:pPr>
    </w:p>
    <w:p>
      <w:pPr>
        <w:ind w:left="4440"/>
        <w:spacing w:after="0"/>
        <w:rPr>
          <w:sz w:val="20"/>
          <w:szCs w:val="20"/>
          <w:color w:val="auto"/>
        </w:rPr>
      </w:pPr>
      <w:r>
        <w:rPr>
          <w:rFonts w:ascii="Arial" w:cs="Arial" w:eastAsia="Arial" w:hAnsi="Arial"/>
          <w:sz w:val="10"/>
          <w:szCs w:val="10"/>
          <w:b w:val="1"/>
          <w:bCs w:val="1"/>
          <w:color w:val="auto"/>
        </w:rPr>
        <w:t>Condensed Consolidated Balance Sheets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8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i w:val="1"/>
                <w:iCs w:val="1"/>
                <w:color w:val="auto"/>
              </w:rPr>
              <w:t>(in thousands)</w:t>
            </w:r>
          </w:p>
        </w:tc>
        <w:tc>
          <w:tcPr>
            <w:tcW w:w="2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right w:val="single" w:sz="8" w:color="auto"/>
            </w:tcBorders>
          </w:tcPr>
          <w:p>
            <w:pPr>
              <w:jc w:val="right"/>
              <w:ind w:right="532"/>
              <w:spacing w:after="0"/>
              <w:rPr>
                <w:sz w:val="20"/>
                <w:szCs w:val="20"/>
                <w:color w:val="auto"/>
              </w:rPr>
            </w:pPr>
            <w:r>
              <w:rPr>
                <w:rFonts w:ascii="Arial" w:cs="Arial" w:eastAsia="Arial" w:hAnsi="Arial"/>
                <w:sz w:val="10"/>
                <w:szCs w:val="10"/>
                <w:i w:val="1"/>
                <w:iCs w:val="1"/>
                <w:color w:val="auto"/>
              </w:rPr>
              <w:t>Unaudited</w:t>
            </w:r>
          </w:p>
        </w:tc>
        <w:tc>
          <w:tcPr>
            <w:tcW w:w="360" w:type="dxa"/>
            <w:vAlign w:val="bottom"/>
            <w:tcBorders>
              <w:top w:val="single" w:sz="8" w:color="auto"/>
              <w:bottom w:val="single" w:sz="8" w:color="auto"/>
              <w:right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spacing w:after="0"/>
              <w:rPr>
                <w:sz w:val="12"/>
                <w:szCs w:val="12"/>
                <w:color w:val="auto"/>
              </w:rPr>
            </w:pPr>
          </w:p>
        </w:tc>
      </w:tr>
      <w:tr>
        <w:trPr>
          <w:trHeight w:val="133"/>
        </w:trPr>
        <w:tc>
          <w:tcPr>
            <w:tcW w:w="684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June 30, 2021</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December 31, 2020</w:t>
            </w:r>
          </w:p>
        </w:tc>
      </w:tr>
      <w:tr>
        <w:trPr>
          <w:trHeight w:val="133"/>
        </w:trPr>
        <w:tc>
          <w:tcPr>
            <w:tcW w:w="6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ASSETS</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r>
      <w:tr>
        <w:trPr>
          <w:trHeight w:val="133"/>
        </w:trPr>
        <w:tc>
          <w:tcPr>
            <w:tcW w:w="6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Current assets:</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r>
      <w:tr>
        <w:trPr>
          <w:trHeight w:val="133"/>
        </w:trPr>
        <w:tc>
          <w:tcPr>
            <w:tcW w:w="6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Cash</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11,111</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jc w:val="right"/>
              <w:ind w:right="236"/>
              <w:spacing w:after="0"/>
              <w:rPr>
                <w:sz w:val="20"/>
                <w:szCs w:val="20"/>
                <w:color w:val="auto"/>
              </w:rPr>
            </w:pPr>
            <w:r>
              <w:rPr>
                <w:rFonts w:ascii="Arial" w:cs="Arial" w:eastAsia="Arial" w:hAnsi="Arial"/>
                <w:sz w:val="5"/>
                <w:szCs w:val="5"/>
                <w:color w:val="auto"/>
                <w:w w:val="70"/>
              </w:rPr>
              <w:t>$</w:t>
            </w: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9,241</w:t>
            </w:r>
          </w:p>
        </w:tc>
      </w:tr>
      <w:tr>
        <w:trPr>
          <w:trHeight w:val="133"/>
        </w:trPr>
        <w:tc>
          <w:tcPr>
            <w:tcW w:w="6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Restricted cash</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18,232</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78,879</w:t>
            </w:r>
          </w:p>
        </w:tc>
      </w:tr>
      <w:tr>
        <w:trPr>
          <w:trHeight w:val="133"/>
        </w:trPr>
        <w:tc>
          <w:tcPr>
            <w:tcW w:w="6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Accounts receivable, net of allowance</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50,596</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41,321</w:t>
            </w:r>
          </w:p>
        </w:tc>
      </w:tr>
      <w:tr>
        <w:trPr>
          <w:trHeight w:val="133"/>
        </w:trPr>
        <w:tc>
          <w:tcPr>
            <w:tcW w:w="6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Prepaid expenses and other current assets</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5,443</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3,500</w:t>
            </w:r>
          </w:p>
        </w:tc>
      </w:tr>
      <w:tr>
        <w:trPr>
          <w:trHeight w:val="133"/>
        </w:trPr>
        <w:tc>
          <w:tcPr>
            <w:tcW w:w="6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Current portion of notes receivable, net of allowance</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230</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2,190</w:t>
            </w:r>
          </w:p>
        </w:tc>
      </w:tr>
      <w:tr>
        <w:trPr>
          <w:trHeight w:val="133"/>
        </w:trPr>
        <w:tc>
          <w:tcPr>
            <w:tcW w:w="6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Settlement assets</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722</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753</w:t>
            </w:r>
          </w:p>
        </w:tc>
      </w:tr>
      <w:tr>
        <w:trPr>
          <w:trHeight w:val="135"/>
        </w:trPr>
        <w:tc>
          <w:tcPr>
            <w:tcW w:w="68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0"/>
                <w:szCs w:val="10"/>
                <w:color w:val="auto"/>
              </w:rPr>
              <w:t>Total current assets</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86,334</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135,884</w:t>
            </w:r>
          </w:p>
        </w:tc>
      </w:tr>
      <w:tr>
        <w:trPr>
          <w:trHeight w:val="140"/>
        </w:trPr>
        <w:tc>
          <w:tcPr>
            <w:tcW w:w="6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Notes receivable, less current portion</w:t>
            </w: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3,915</w:t>
            </w:r>
          </w:p>
        </w:tc>
        <w:tc>
          <w:tcPr>
            <w:tcW w:w="3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5,527</w:t>
            </w:r>
          </w:p>
        </w:tc>
      </w:tr>
      <w:tr>
        <w:trPr>
          <w:trHeight w:val="133"/>
        </w:trPr>
        <w:tc>
          <w:tcPr>
            <w:tcW w:w="6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Property, equipment, and software, net</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24,245</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22,875</w:t>
            </w:r>
          </w:p>
        </w:tc>
      </w:tr>
      <w:tr>
        <w:trPr>
          <w:trHeight w:val="133"/>
        </w:trPr>
        <w:tc>
          <w:tcPr>
            <w:tcW w:w="6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Goodwill</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124,078</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106,832</w:t>
            </w:r>
          </w:p>
        </w:tc>
      </w:tr>
      <w:tr>
        <w:trPr>
          <w:trHeight w:val="133"/>
        </w:trPr>
        <w:tc>
          <w:tcPr>
            <w:tcW w:w="6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Intangible assets, net</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145,836</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98,057</w:t>
            </w:r>
          </w:p>
        </w:tc>
      </w:tr>
      <w:tr>
        <w:trPr>
          <w:trHeight w:val="133"/>
        </w:trPr>
        <w:tc>
          <w:tcPr>
            <w:tcW w:w="6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Deferred income taxes, net</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47,578</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46,697</w:t>
            </w:r>
          </w:p>
        </w:tc>
      </w:tr>
      <w:tr>
        <w:trPr>
          <w:trHeight w:val="133"/>
        </w:trPr>
        <w:tc>
          <w:tcPr>
            <w:tcW w:w="6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Other non-current assets</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10,890</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1,957</w:t>
            </w:r>
          </w:p>
        </w:tc>
      </w:tr>
      <w:tr>
        <w:trPr>
          <w:trHeight w:val="133"/>
        </w:trPr>
        <w:tc>
          <w:tcPr>
            <w:tcW w:w="68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0"/>
                <w:szCs w:val="10"/>
                <w:b w:val="1"/>
                <w:bCs w:val="1"/>
                <w:color w:val="auto"/>
              </w:rPr>
              <w:t>Total assets</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442,876</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jc w:val="right"/>
              <w:ind w:right="236"/>
              <w:spacing w:after="0"/>
              <w:rPr>
                <w:sz w:val="20"/>
                <w:szCs w:val="20"/>
                <w:color w:val="auto"/>
              </w:rPr>
            </w:pPr>
            <w:r>
              <w:rPr>
                <w:rFonts w:ascii="Arial" w:cs="Arial" w:eastAsia="Arial" w:hAnsi="Arial"/>
                <w:sz w:val="5"/>
                <w:szCs w:val="5"/>
                <w:color w:val="auto"/>
                <w:w w:val="70"/>
              </w:rPr>
              <w:t>$</w:t>
            </w: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417,829</w:t>
            </w:r>
          </w:p>
        </w:tc>
      </w:tr>
      <w:tr>
        <w:trPr>
          <w:trHeight w:val="20"/>
        </w:trPr>
        <w:tc>
          <w:tcPr>
            <w:tcW w:w="684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20"/>
        </w:trPr>
        <w:tc>
          <w:tcPr>
            <w:tcW w:w="6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LIABILITIES AND STOCKHOLDERS' DEFICIT</w:t>
            </w: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r>
      <w:tr>
        <w:trPr>
          <w:trHeight w:val="133"/>
        </w:trPr>
        <w:tc>
          <w:tcPr>
            <w:tcW w:w="6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Current liabilities:</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r>
      <w:tr>
        <w:trPr>
          <w:trHeight w:val="133"/>
        </w:trPr>
        <w:tc>
          <w:tcPr>
            <w:tcW w:w="6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Accounts payable and accrued expenses</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37,420</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jc w:val="right"/>
              <w:ind w:right="236"/>
              <w:spacing w:after="0"/>
              <w:rPr>
                <w:sz w:val="20"/>
                <w:szCs w:val="20"/>
                <w:color w:val="auto"/>
              </w:rPr>
            </w:pPr>
            <w:r>
              <w:rPr>
                <w:rFonts w:ascii="Arial" w:cs="Arial" w:eastAsia="Arial" w:hAnsi="Arial"/>
                <w:sz w:val="5"/>
                <w:szCs w:val="5"/>
                <w:color w:val="auto"/>
                <w:w w:val="70"/>
              </w:rPr>
              <w:t>$</w:t>
            </w: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29,821</w:t>
            </w:r>
          </w:p>
        </w:tc>
      </w:tr>
      <w:tr>
        <w:trPr>
          <w:trHeight w:val="133"/>
        </w:trPr>
        <w:tc>
          <w:tcPr>
            <w:tcW w:w="6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Accrued residual commissions</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28,201</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23,824</w:t>
            </w:r>
          </w:p>
        </w:tc>
      </w:tr>
      <w:tr>
        <w:trPr>
          <w:trHeight w:val="133"/>
        </w:trPr>
        <w:tc>
          <w:tcPr>
            <w:tcW w:w="6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Customer deposits and advance payments</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4,269</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2,883</w:t>
            </w:r>
          </w:p>
        </w:tc>
      </w:tr>
      <w:tr>
        <w:trPr>
          <w:trHeight w:val="133"/>
        </w:trPr>
        <w:tc>
          <w:tcPr>
            <w:tcW w:w="6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Current portion of long-term debt</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3,000</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19,442</w:t>
            </w:r>
          </w:p>
        </w:tc>
      </w:tr>
      <w:tr>
        <w:trPr>
          <w:trHeight w:val="133"/>
        </w:trPr>
        <w:tc>
          <w:tcPr>
            <w:tcW w:w="6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Settlement obligations</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11,278</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72,878</w:t>
            </w:r>
          </w:p>
        </w:tc>
      </w:tr>
      <w:tr>
        <w:trPr>
          <w:trHeight w:val="135"/>
        </w:trPr>
        <w:tc>
          <w:tcPr>
            <w:tcW w:w="68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0"/>
                <w:szCs w:val="10"/>
                <w:color w:val="auto"/>
              </w:rPr>
              <w:t>Total current liabilities</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84,168</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148,848</w:t>
            </w:r>
          </w:p>
        </w:tc>
      </w:tr>
      <w:tr>
        <w:trPr>
          <w:trHeight w:val="140"/>
        </w:trPr>
        <w:tc>
          <w:tcPr>
            <w:tcW w:w="6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Long-term debt, net of current portion, discounts and debt issuance costs</w:t>
            </w: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318,187</w:t>
            </w:r>
          </w:p>
        </w:tc>
        <w:tc>
          <w:tcPr>
            <w:tcW w:w="3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357,873</w:t>
            </w:r>
          </w:p>
        </w:tc>
      </w:tr>
      <w:tr>
        <w:trPr>
          <w:trHeight w:val="133"/>
        </w:trPr>
        <w:tc>
          <w:tcPr>
            <w:tcW w:w="6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Other non-current liabilities</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8,333</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9,672</w:t>
            </w:r>
          </w:p>
        </w:tc>
      </w:tr>
      <w:tr>
        <w:trPr>
          <w:trHeight w:val="135"/>
        </w:trPr>
        <w:tc>
          <w:tcPr>
            <w:tcW w:w="68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0"/>
                <w:szCs w:val="10"/>
                <w:color w:val="auto"/>
              </w:rPr>
              <w:t>Total long-term liabilities</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326,520</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367,545</w:t>
            </w:r>
          </w:p>
        </w:tc>
      </w:tr>
      <w:tr>
        <w:trPr>
          <w:trHeight w:val="142"/>
        </w:trPr>
        <w:tc>
          <w:tcPr>
            <w:tcW w:w="68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0"/>
                <w:szCs w:val="10"/>
                <w:b w:val="1"/>
                <w:bCs w:val="1"/>
                <w:color w:val="auto"/>
              </w:rPr>
              <w:t>Total liabilities</w:t>
            </w: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410,688</w:t>
            </w:r>
          </w:p>
        </w:tc>
        <w:tc>
          <w:tcPr>
            <w:tcW w:w="3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516,393</w:t>
            </w:r>
          </w:p>
        </w:tc>
      </w:tr>
      <w:tr>
        <w:trPr>
          <w:trHeight w:val="142"/>
        </w:trPr>
        <w:tc>
          <w:tcPr>
            <w:tcW w:w="6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Senior preferred stock</w:t>
            </w: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133,762</w:t>
            </w:r>
          </w:p>
        </w:tc>
        <w:tc>
          <w:tcPr>
            <w:tcW w:w="3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6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Stockholders' deficit:</w:t>
            </w: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r>
      <w:tr>
        <w:trPr>
          <w:trHeight w:val="133"/>
        </w:trPr>
        <w:tc>
          <w:tcPr>
            <w:tcW w:w="6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Preferred stock</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r>
      <w:tr>
        <w:trPr>
          <w:trHeight w:val="133"/>
        </w:trPr>
        <w:tc>
          <w:tcPr>
            <w:tcW w:w="6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Common stock</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70</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68</w:t>
            </w:r>
          </w:p>
        </w:tc>
      </w:tr>
      <w:tr>
        <w:trPr>
          <w:trHeight w:val="133"/>
        </w:trPr>
        <w:tc>
          <w:tcPr>
            <w:tcW w:w="6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Additional paid-in capital</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14,913</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5,769</w:t>
            </w:r>
          </w:p>
        </w:tc>
      </w:tr>
      <w:tr>
        <w:trPr>
          <w:trHeight w:val="133"/>
        </w:trPr>
        <w:tc>
          <w:tcPr>
            <w:tcW w:w="6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Treasury stock, at cost</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(2,388)</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(2,388)</w:t>
            </w:r>
          </w:p>
        </w:tc>
      </w:tr>
      <w:tr>
        <w:trPr>
          <w:trHeight w:val="133"/>
        </w:trPr>
        <w:tc>
          <w:tcPr>
            <w:tcW w:w="6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Accumulated deficit</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(114,169)</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(102,013)</w:t>
            </w:r>
          </w:p>
        </w:tc>
      </w:tr>
      <w:tr>
        <w:trPr>
          <w:trHeight w:val="135"/>
        </w:trPr>
        <w:tc>
          <w:tcPr>
            <w:tcW w:w="68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0"/>
                <w:szCs w:val="10"/>
                <w:b w:val="1"/>
                <w:bCs w:val="1"/>
                <w:color w:val="auto"/>
              </w:rPr>
              <w:t>Total stockholders' deficit</w:t>
            </w: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(101,574)</w:t>
            </w:r>
          </w:p>
        </w:tc>
        <w:tc>
          <w:tcPr>
            <w:tcW w:w="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(98,564)</w:t>
            </w:r>
          </w:p>
        </w:tc>
      </w:tr>
      <w:tr>
        <w:trPr>
          <w:trHeight w:val="144"/>
        </w:trPr>
        <w:tc>
          <w:tcPr>
            <w:tcW w:w="68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0"/>
                <w:szCs w:val="10"/>
                <w:b w:val="1"/>
                <w:bCs w:val="1"/>
                <w:color w:val="auto"/>
              </w:rPr>
              <w:t>Total liabilities, senior preferred stock and stockholders' deficit</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442,876</w:t>
            </w:r>
          </w:p>
        </w:tc>
        <w:tc>
          <w:tcPr>
            <w:tcW w:w="3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jc w:val="right"/>
              <w:ind w:right="236"/>
              <w:spacing w:after="0"/>
              <w:rPr>
                <w:sz w:val="20"/>
                <w:szCs w:val="20"/>
                <w:color w:val="auto"/>
              </w:rPr>
            </w:pPr>
            <w:r>
              <w:rPr>
                <w:rFonts w:ascii="Arial" w:cs="Arial" w:eastAsia="Arial" w:hAnsi="Arial"/>
                <w:sz w:val="5"/>
                <w:szCs w:val="5"/>
                <w:color w:val="auto"/>
                <w:w w:val="70"/>
              </w:rPr>
              <w:t>$</w:t>
            </w:r>
          </w:p>
        </w:tc>
        <w:tc>
          <w:tcPr>
            <w:tcW w:w="1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417,829</w:t>
            </w:r>
          </w:p>
        </w:tc>
      </w:tr>
    </w:tbl>
    <w:p>
      <w:pPr>
        <w:sectPr>
          <w:pgSz w:w="11900" w:h="16838" w:orient="portrait"/>
          <w:cols w:equalWidth="0" w:num="1">
            <w:col w:w="10800"/>
          </w:cols>
          <w:pgMar w:left="300" w:top="1040" w:right="7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075170" cy="45034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75170" cy="4503420"/>
                    </a:xfrm>
                    <a:prstGeom prst="rect">
                      <a:avLst/>
                    </a:prstGeom>
                    <a:noFill/>
                  </pic:spPr>
                </pic:pic>
              </a:graphicData>
            </a:graphic>
          </wp:anchor>
        </w:drawing>
        <w:t>PRIORITY TECHNOLOGY HOLDINGS, INC.</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Condensed Consolidated Statements of Cash Flows</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0"/>
          <w:szCs w:val="10"/>
          <w:i w:val="1"/>
          <w:i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7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i w:val="1"/>
                <w:iCs w:val="1"/>
                <w:color w:val="auto"/>
              </w:rPr>
              <w:t>(in thousands)</w:t>
            </w:r>
          </w:p>
        </w:tc>
        <w:tc>
          <w:tcPr>
            <w:tcW w:w="90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Six Months Ended June 30,</w:t>
            </w:r>
          </w:p>
        </w:tc>
        <w:tc>
          <w:tcPr>
            <w:tcW w:w="940" w:type="dxa"/>
            <w:vAlign w:val="bottom"/>
            <w:tcBorders>
              <w:top w:val="single" w:sz="8" w:color="auto"/>
              <w:bottom w:val="single" w:sz="8" w:color="auto"/>
            </w:tcBorders>
          </w:tcPr>
          <w:p>
            <w:pPr>
              <w:spacing w:after="0"/>
              <w:rPr>
                <w:sz w:val="12"/>
                <w:szCs w:val="12"/>
                <w:color w:val="auto"/>
              </w:rPr>
            </w:pPr>
          </w:p>
        </w:tc>
      </w:tr>
      <w:tr>
        <w:trPr>
          <w:trHeight w:val="133"/>
        </w:trPr>
        <w:tc>
          <w:tcPr>
            <w:tcW w:w="78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2020</w:t>
            </w:r>
          </w:p>
        </w:tc>
      </w:tr>
      <w:tr>
        <w:trPr>
          <w:trHeight w:val="133"/>
        </w:trPr>
        <w:tc>
          <w:tcPr>
            <w:tcW w:w="7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Cash flows from operating activities: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Net loss</w:t>
            </w:r>
          </w:p>
        </w:tc>
        <w:tc>
          <w:tcPr>
            <w:tcW w:w="900" w:type="dxa"/>
            <w:vAlign w:val="bottom"/>
            <w:tcBorders>
              <w:bottom w:val="single" w:sz="8" w:color="auto"/>
            </w:tcBorders>
          </w:tcPr>
          <w:p>
            <w:pPr>
              <w:jc w:val="right"/>
              <w:ind w:right="828"/>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(12,156)</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(13,727)</w:t>
            </w: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Adjustments to reconcile net loss to net cash (used in) provided by operating activities: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33"/>
        </w:trPr>
        <w:tc>
          <w:tcPr>
            <w:tcW w:w="78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Depreciation and amortization of assets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19,793</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20,635</w:t>
            </w:r>
          </w:p>
        </w:tc>
      </w:tr>
      <w:tr>
        <w:trPr>
          <w:trHeight w:val="133"/>
        </w:trPr>
        <w:tc>
          <w:tcPr>
            <w:tcW w:w="78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Equity-classified and liability-classified stock-based compensation</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1,414</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1,026</w:t>
            </w:r>
          </w:p>
        </w:tc>
      </w:tr>
      <w:tr>
        <w:trPr>
          <w:trHeight w:val="133"/>
        </w:trPr>
        <w:tc>
          <w:tcPr>
            <w:tcW w:w="78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Amortization of debt issuance costs and discounts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1,158</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1,116</w:t>
            </w:r>
          </w:p>
        </w:tc>
      </w:tr>
      <w:tr>
        <w:trPr>
          <w:trHeight w:val="133"/>
        </w:trPr>
        <w:tc>
          <w:tcPr>
            <w:tcW w:w="78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Write off of deferred loan costs and discount</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3,006</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r>
      <w:tr>
        <w:trPr>
          <w:trHeight w:val="133"/>
        </w:trPr>
        <w:tc>
          <w:tcPr>
            <w:tcW w:w="78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Deferred income tax benefit</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(3,446)</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(3,569)</w:t>
            </w:r>
          </w:p>
        </w:tc>
      </w:tr>
      <w:tr>
        <w:trPr>
          <w:trHeight w:val="133"/>
        </w:trPr>
        <w:tc>
          <w:tcPr>
            <w:tcW w:w="78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Change in allowance for deferred tax assets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2,565</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2,642</w:t>
            </w:r>
          </w:p>
        </w:tc>
      </w:tr>
      <w:tr>
        <w:trPr>
          <w:trHeight w:val="133"/>
        </w:trPr>
        <w:tc>
          <w:tcPr>
            <w:tcW w:w="78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Payment-in-kind interest</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2,512</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3,415</w:t>
            </w:r>
          </w:p>
        </w:tc>
      </w:tr>
      <w:tr>
        <w:trPr>
          <w:trHeight w:val="133"/>
        </w:trPr>
        <w:tc>
          <w:tcPr>
            <w:tcW w:w="78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Other non-cash items, net</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(39)</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206</w:t>
            </w: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Change in operating assets and liabilities: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33"/>
        </w:trPr>
        <w:tc>
          <w:tcPr>
            <w:tcW w:w="78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0"/>
                <w:szCs w:val="10"/>
                <w:color w:val="auto"/>
              </w:rPr>
              <w:t>Accounts receivable</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(9,115)</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974</w:t>
            </w:r>
          </w:p>
        </w:tc>
      </w:tr>
      <w:tr>
        <w:trPr>
          <w:trHeight w:val="133"/>
        </w:trPr>
        <w:tc>
          <w:tcPr>
            <w:tcW w:w="78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0"/>
                <w:szCs w:val="10"/>
                <w:color w:val="auto"/>
              </w:rPr>
              <w:t>Settlement assets and obligations, net</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(61,570)</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1,584</w:t>
            </w:r>
          </w:p>
        </w:tc>
      </w:tr>
      <w:tr>
        <w:trPr>
          <w:trHeight w:val="133"/>
        </w:trPr>
        <w:tc>
          <w:tcPr>
            <w:tcW w:w="78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0"/>
                <w:szCs w:val="10"/>
                <w:color w:val="auto"/>
              </w:rPr>
              <w:t>Prepaid expenses and other current assets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(1,626)</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851</w:t>
            </w:r>
          </w:p>
        </w:tc>
      </w:tr>
      <w:tr>
        <w:trPr>
          <w:trHeight w:val="133"/>
        </w:trPr>
        <w:tc>
          <w:tcPr>
            <w:tcW w:w="78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0"/>
                <w:szCs w:val="10"/>
                <w:color w:val="auto"/>
              </w:rPr>
              <w:t>Notes receivable</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198</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(888)</w:t>
            </w:r>
          </w:p>
        </w:tc>
      </w:tr>
      <w:tr>
        <w:trPr>
          <w:trHeight w:val="133"/>
        </w:trPr>
        <w:tc>
          <w:tcPr>
            <w:tcW w:w="78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0"/>
                <w:szCs w:val="10"/>
                <w:color w:val="auto"/>
              </w:rPr>
              <w:t>Accounts payable and other accrued liabilities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10,490</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(1,845)</w:t>
            </w:r>
          </w:p>
        </w:tc>
      </w:tr>
      <w:tr>
        <w:trPr>
          <w:trHeight w:val="133"/>
        </w:trPr>
        <w:tc>
          <w:tcPr>
            <w:tcW w:w="78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0"/>
                <w:szCs w:val="10"/>
                <w:color w:val="auto"/>
              </w:rPr>
              <w:t>Customer deposits and advance payments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1,385</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(2,046)</w:t>
            </w:r>
          </w:p>
        </w:tc>
      </w:tr>
      <w:tr>
        <w:trPr>
          <w:trHeight w:val="133"/>
        </w:trPr>
        <w:tc>
          <w:tcPr>
            <w:tcW w:w="78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0"/>
                <w:szCs w:val="10"/>
                <w:color w:val="auto"/>
              </w:rPr>
              <w:t>Other assets and liabilities, net</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307</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(552)</w:t>
            </w:r>
          </w:p>
        </w:tc>
      </w:tr>
      <w:tr>
        <w:trPr>
          <w:trHeight w:val="135"/>
        </w:trPr>
        <w:tc>
          <w:tcPr>
            <w:tcW w:w="78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0"/>
                <w:szCs w:val="10"/>
                <w:b w:val="1"/>
                <w:bCs w:val="1"/>
                <w:color w:val="auto"/>
              </w:rPr>
              <w:t>Net cash (used in) provided by operating activities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(45,124)</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9,822</w:t>
            </w:r>
          </w:p>
        </w:tc>
      </w:tr>
      <w:tr>
        <w:trPr>
          <w:trHeight w:val="140"/>
        </w:trPr>
        <w:tc>
          <w:tcPr>
            <w:tcW w:w="7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Cash flows from investing activities:</w:t>
            </w:r>
          </w:p>
        </w:tc>
        <w:tc>
          <w:tcPr>
            <w:tcW w:w="9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Acquisition of business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(34,507)</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Additions to property, equipment, and software</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(5,222)</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(4,249)</w:t>
            </w: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Acquisitions of intangible assets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(43,353)</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(3,286)</w:t>
            </w:r>
          </w:p>
        </w:tc>
      </w:tr>
      <w:tr>
        <w:trPr>
          <w:trHeight w:val="135"/>
        </w:trPr>
        <w:tc>
          <w:tcPr>
            <w:tcW w:w="78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0"/>
                <w:szCs w:val="10"/>
                <w:b w:val="1"/>
                <w:bCs w:val="1"/>
                <w:color w:val="auto"/>
              </w:rPr>
              <w:t>Net cash used in investing activities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(83,082)</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(7,535)</w:t>
            </w:r>
          </w:p>
        </w:tc>
      </w:tr>
      <w:tr>
        <w:trPr>
          <w:trHeight w:val="140"/>
        </w:trPr>
        <w:tc>
          <w:tcPr>
            <w:tcW w:w="7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Cash flows from financing activities:</w:t>
            </w:r>
          </w:p>
        </w:tc>
        <w:tc>
          <w:tcPr>
            <w:tcW w:w="9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Proceeds from issuance of long-term debt, net of issue discount</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293,619</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Debt issuance and modification costs paid</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(7,597)</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(2,749)</w:t>
            </w: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Repayments of long-term debt</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(384,552)</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(2,003)</w:t>
            </w: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Borrowings under revolving credit facility</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30,000</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7,000</w:t>
            </w: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Repayments under revolving credit facility</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(4,000)</w:t>
            </w: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Proceeds from issuance of senior preferred equity</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150,000</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Senior preferred equity issuance fees and costs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(10,472)</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Dividends paid to senior preferred stockholders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(1,575)</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Redemptions of non-controlling interests of subsidiary</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(815)</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Proceeds from exercise of stock options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821</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r>
      <w:tr>
        <w:trPr>
          <w:trHeight w:val="135"/>
        </w:trPr>
        <w:tc>
          <w:tcPr>
            <w:tcW w:w="78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0"/>
                <w:szCs w:val="10"/>
                <w:b w:val="1"/>
                <w:bCs w:val="1"/>
                <w:color w:val="auto"/>
              </w:rPr>
              <w:t>Net cash provided by (used in) financing activities</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69,429</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(1,752)</w:t>
            </w:r>
          </w:p>
        </w:tc>
      </w:tr>
      <w:tr>
        <w:trPr>
          <w:trHeight w:val="140"/>
        </w:trPr>
        <w:tc>
          <w:tcPr>
            <w:tcW w:w="7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Net change in cash and restricted cash:</w:t>
            </w:r>
          </w:p>
        </w:tc>
        <w:tc>
          <w:tcPr>
            <w:tcW w:w="9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Net (decrease) increase in cash and restricted cash</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(58,777)</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535</w:t>
            </w:r>
          </w:p>
        </w:tc>
      </w:tr>
      <w:tr>
        <w:trPr>
          <w:trHeight w:val="133"/>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Cash and restricted cash at beginning of period</w:t>
            </w: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88,120</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50,465</w:t>
            </w:r>
          </w:p>
        </w:tc>
      </w:tr>
      <w:tr>
        <w:trPr>
          <w:trHeight w:val="137"/>
        </w:trPr>
        <w:tc>
          <w:tcPr>
            <w:tcW w:w="78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Cash and restricted cash at end of period</w:t>
            </w:r>
          </w:p>
        </w:tc>
        <w:tc>
          <w:tcPr>
            <w:tcW w:w="900" w:type="dxa"/>
            <w:vAlign w:val="bottom"/>
            <w:tcBorders>
              <w:bottom w:val="single" w:sz="8" w:color="auto"/>
            </w:tcBorders>
          </w:tcPr>
          <w:p>
            <w:pPr>
              <w:jc w:val="right"/>
              <w:ind w:right="828"/>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29,343</w:t>
            </w:r>
          </w:p>
        </w:tc>
        <w:tc>
          <w:tcPr>
            <w:tcW w:w="3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51,000</w:t>
            </w:r>
          </w:p>
        </w:tc>
      </w:tr>
    </w:tbl>
    <w:p>
      <w:pPr>
        <w:sectPr>
          <w:pgSz w:w="11900" w:h="16838" w:orient="portrait"/>
          <w:cols w:equalWidth="0" w:num="1">
            <w:col w:w="11140"/>
          </w:cols>
          <w:pgMar w:left="300" w:top="1040" w:right="459" w:bottom="1440" w:gutter="0" w:footer="0" w:header="0"/>
        </w:sectPr>
      </w:pPr>
    </w:p>
    <w:bookmarkStart w:id="10" w:name="page11"/>
    <w:bookmarkEnd w:id="10"/>
    <w:p>
      <w:pPr>
        <w:jc w:val="center"/>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83755" cy="384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3755" cy="3840480"/>
                    </a:xfrm>
                    <a:prstGeom prst="rect">
                      <a:avLst/>
                    </a:prstGeom>
                    <a:noFill/>
                  </pic:spPr>
                </pic:pic>
              </a:graphicData>
            </a:graphic>
          </wp:anchor>
        </w:drawing>
        <w:t>PRIORITY TECHNOLOGY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Reportable Segments' Results</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0"/>
          <w:szCs w:val="10"/>
          <w:i w:val="1"/>
          <w:i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0"/>
                <w:szCs w:val="10"/>
                <w:i w:val="1"/>
                <w:iCs w:val="1"/>
                <w:color w:val="auto"/>
              </w:rPr>
              <w:t>(in thousands)</w:t>
            </w:r>
          </w:p>
        </w:tc>
        <w:tc>
          <w:tcPr>
            <w:tcW w:w="440" w:type="dxa"/>
            <w:vAlign w:val="bottom"/>
            <w:tcBorders>
              <w:top w:val="single" w:sz="8" w:color="auto"/>
              <w:bottom w:val="single" w:sz="8" w:color="auto"/>
              <w:right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2080" w:type="dxa"/>
            <w:vAlign w:val="bottom"/>
            <w:tcBorders>
              <w:top w:val="single" w:sz="8" w:color="auto"/>
              <w:bottom w:val="single" w:sz="8" w:color="auto"/>
            </w:tcBorders>
            <w:gridSpan w:val="4"/>
          </w:tcPr>
          <w:p>
            <w:pPr>
              <w:jc w:val="right"/>
              <w:ind w:right="560"/>
              <w:spacing w:after="0"/>
              <w:rPr>
                <w:sz w:val="20"/>
                <w:szCs w:val="20"/>
                <w:color w:val="auto"/>
              </w:rPr>
            </w:pPr>
            <w:r>
              <w:rPr>
                <w:rFonts w:ascii="Arial" w:cs="Arial" w:eastAsia="Arial" w:hAnsi="Arial"/>
                <w:sz w:val="10"/>
                <w:szCs w:val="10"/>
                <w:b w:val="1"/>
                <w:bCs w:val="1"/>
                <w:color w:val="auto"/>
              </w:rPr>
              <w:t>Three Months Ended June 30,</w:t>
            </w:r>
          </w:p>
        </w:tc>
        <w:tc>
          <w:tcPr>
            <w:tcW w:w="640" w:type="dxa"/>
            <w:vAlign w:val="bottom"/>
            <w:tcBorders>
              <w:top w:val="single" w:sz="8" w:color="auto"/>
              <w:bottom w:val="single" w:sz="8" w:color="auto"/>
              <w:right w:val="single" w:sz="8" w:color="auto"/>
            </w:tcBorders>
          </w:tcPr>
          <w:p>
            <w:pPr>
              <w:spacing w:after="0"/>
              <w:rPr>
                <w:sz w:val="11"/>
                <w:szCs w:val="11"/>
                <w:color w:val="auto"/>
              </w:rPr>
            </w:pPr>
          </w:p>
        </w:tc>
        <w:tc>
          <w:tcPr>
            <w:tcW w:w="440" w:type="dxa"/>
            <w:vAlign w:val="bottom"/>
            <w:tcBorders>
              <w:top w:val="single" w:sz="8" w:color="auto"/>
              <w:bottom w:val="single" w:sz="8" w:color="auto"/>
              <w:right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1660" w:type="dxa"/>
            <w:vAlign w:val="bottom"/>
            <w:tcBorders>
              <w:top w:val="single" w:sz="8" w:color="auto"/>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Six Months Ended June 30,</w:t>
            </w:r>
          </w:p>
        </w:tc>
        <w:tc>
          <w:tcPr>
            <w:tcW w:w="1180" w:type="dxa"/>
            <w:vAlign w:val="bottom"/>
            <w:tcBorders>
              <w:top w:val="single" w:sz="8" w:color="auto"/>
              <w:bottom w:val="single" w:sz="8" w:color="auto"/>
            </w:tcBorders>
          </w:tcPr>
          <w:p>
            <w:pPr>
              <w:spacing w:after="0"/>
              <w:rPr>
                <w:sz w:val="11"/>
                <w:szCs w:val="11"/>
                <w:color w:val="auto"/>
              </w:rPr>
            </w:pPr>
          </w:p>
        </w:tc>
      </w:tr>
      <w:tr>
        <w:trPr>
          <w:trHeight w:val="133"/>
        </w:trPr>
        <w:tc>
          <w:tcPr>
            <w:tcW w:w="29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2021</w:t>
            </w:r>
          </w:p>
        </w:tc>
        <w:tc>
          <w:tcPr>
            <w:tcW w:w="6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2020</w:t>
            </w: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2021</w:t>
            </w:r>
          </w:p>
        </w:tc>
        <w:tc>
          <w:tcPr>
            <w:tcW w:w="7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12"/>
              <w:spacing w:after="0"/>
              <w:rPr>
                <w:sz w:val="20"/>
                <w:szCs w:val="20"/>
                <w:color w:val="auto"/>
              </w:rPr>
            </w:pPr>
            <w:r>
              <w:rPr>
                <w:rFonts w:ascii="Arial" w:cs="Arial" w:eastAsia="Arial" w:hAnsi="Arial"/>
                <w:sz w:val="10"/>
                <w:szCs w:val="10"/>
                <w:b w:val="1"/>
                <w:bCs w:val="1"/>
                <w:color w:val="auto"/>
              </w:rPr>
              <w:t>2020</w:t>
            </w:r>
          </w:p>
        </w:tc>
      </w:tr>
      <w:tr>
        <w:trPr>
          <w:trHeight w:val="133"/>
        </w:trPr>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Consumer Payments:</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Revenue</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119,625</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81,707</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228,018</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167,738</w:t>
            </w: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Operating expenses</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105,177</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74,437</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200,207</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153,316</w:t>
            </w: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Income from operations</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14,448</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7,270</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27,811</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14,422</w:t>
            </w: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Operating margin</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12.1%</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8.9%</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12.2%</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8.6%</w:t>
            </w:r>
          </w:p>
        </w:tc>
      </w:tr>
      <w:tr>
        <w:trPr>
          <w:trHeight w:val="135"/>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Depreciation and amortization</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10,297</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8,657</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18,876</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17,240</w:t>
            </w:r>
          </w:p>
        </w:tc>
      </w:tr>
      <w:tr>
        <w:trPr>
          <w:trHeight w:val="140"/>
        </w:trPr>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Key indicators:</w:t>
            </w:r>
          </w:p>
        </w:tc>
        <w:tc>
          <w:tcPr>
            <w:tcW w:w="4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Merchant bankcard processing dollar value</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13,875,957</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9,010,908</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25,747,896</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19,397,656</w:t>
            </w:r>
          </w:p>
        </w:tc>
      </w:tr>
      <w:tr>
        <w:trPr>
          <w:trHeight w:val="135"/>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Merchant bankcard transaction volume</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150,598</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92,842</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278,086</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212,273</w:t>
            </w:r>
          </w:p>
        </w:tc>
      </w:tr>
      <w:tr>
        <w:trPr>
          <w:trHeight w:val="140"/>
        </w:trPr>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Commercial Payments:</w:t>
            </w:r>
          </w:p>
        </w:tc>
        <w:tc>
          <w:tcPr>
            <w:tcW w:w="4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Revenue</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4,041</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5,654</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7,541</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12,022</w:t>
            </w: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Operating expenses</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4,020</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5,179</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7,929</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10,783</w:t>
            </w: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Income (loss) from operations</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21</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475</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color w:val="auto"/>
              </w:rPr>
              <w:t>(388)</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1,239</w:t>
            </w: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Operating margin</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0.5%</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8.4%</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color w:val="auto"/>
              </w:rPr>
              <w:t>(5.1)%</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10.3%</w:t>
            </w:r>
          </w:p>
        </w:tc>
      </w:tr>
      <w:tr>
        <w:trPr>
          <w:trHeight w:val="135"/>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Depreciation and amortization</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73</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78</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147</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154</w:t>
            </w:r>
          </w:p>
        </w:tc>
      </w:tr>
      <w:tr>
        <w:trPr>
          <w:trHeight w:val="140"/>
        </w:trPr>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Key indicators:</w:t>
            </w:r>
          </w:p>
        </w:tc>
        <w:tc>
          <w:tcPr>
            <w:tcW w:w="4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Merchant bankcard processing dollar value</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75,070</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64,247</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138,518</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136,925</w:t>
            </w:r>
          </w:p>
        </w:tc>
      </w:tr>
      <w:tr>
        <w:trPr>
          <w:trHeight w:val="135"/>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Merchant bankcard transaction volume</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47</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21</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86</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46</w:t>
            </w:r>
          </w:p>
        </w:tc>
      </w:tr>
      <w:tr>
        <w:trPr>
          <w:trHeight w:val="140"/>
        </w:trPr>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Integrated Partners:</w:t>
            </w:r>
          </w:p>
        </w:tc>
        <w:tc>
          <w:tcPr>
            <w:tcW w:w="4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Revenue</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1,348</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4,995</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2,752</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9,529</w:t>
            </w: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Operating expenses</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1,183</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4,150</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2,495</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8,316</w:t>
            </w: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Income from operations</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165</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845</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257</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1,213</w:t>
            </w: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Operating margin</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12.2%</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16.9%</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9.3%</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12.7%</w:t>
            </w:r>
          </w:p>
        </w:tc>
      </w:tr>
      <w:tr>
        <w:trPr>
          <w:trHeight w:val="135"/>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Depreciation and amortization</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76</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1,334</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205</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2,645</w:t>
            </w:r>
          </w:p>
        </w:tc>
      </w:tr>
      <w:tr>
        <w:trPr>
          <w:trHeight w:val="140"/>
        </w:trPr>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Key indicators:</w:t>
            </w:r>
          </w:p>
        </w:tc>
        <w:tc>
          <w:tcPr>
            <w:tcW w:w="4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Merchant bankcard processing dollar value</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13,051</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122,089</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24,424</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246,607</w:t>
            </w:r>
          </w:p>
        </w:tc>
      </w:tr>
      <w:tr>
        <w:trPr>
          <w:trHeight w:val="135"/>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Merchant bankcard transaction volume</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136</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388</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231</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836</w:t>
            </w:r>
          </w:p>
        </w:tc>
      </w:tr>
      <w:tr>
        <w:trPr>
          <w:trHeight w:val="140"/>
        </w:trPr>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Income from operations of reportable segments</w:t>
            </w:r>
          </w:p>
        </w:tc>
        <w:tc>
          <w:tcPr>
            <w:tcW w:w="4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14,634</w:t>
            </w:r>
          </w:p>
        </w:tc>
        <w:tc>
          <w:tcPr>
            <w:tcW w:w="44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8,590</w:t>
            </w:r>
          </w:p>
        </w:tc>
        <w:tc>
          <w:tcPr>
            <w:tcW w:w="4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27,680</w:t>
            </w:r>
          </w:p>
        </w:tc>
        <w:tc>
          <w:tcPr>
            <w:tcW w:w="4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16,874</w:t>
            </w: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Less: Corporate expense</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color w:val="auto"/>
              </w:rPr>
              <w:t>(7,229)</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color w:val="auto"/>
              </w:rPr>
              <w:t>(4,559)</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0"/>
                <w:szCs w:val="10"/>
                <w:color w:val="auto"/>
              </w:rPr>
              <w:t>(15,748)</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(9,284)</w:t>
            </w:r>
          </w:p>
        </w:tc>
      </w:tr>
      <w:tr>
        <w:trPr>
          <w:trHeight w:val="133"/>
        </w:trPr>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Consolidated income from operations</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7,405</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4,031</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11,932</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7,590</w:t>
            </w:r>
          </w:p>
        </w:tc>
      </w:tr>
      <w:tr>
        <w:trPr>
          <w:trHeight w:val="155"/>
        </w:trPr>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Corporate depreciation and amortization</w:t>
            </w:r>
          </w:p>
        </w:tc>
        <w:tc>
          <w:tcPr>
            <w:tcW w:w="44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277</w:t>
            </w:r>
          </w:p>
        </w:tc>
        <w:tc>
          <w:tcPr>
            <w:tcW w:w="44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294</w:t>
            </w:r>
          </w:p>
        </w:tc>
        <w:tc>
          <w:tcPr>
            <w:tcW w:w="44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565</w:t>
            </w:r>
          </w:p>
        </w:tc>
        <w:tc>
          <w:tcPr>
            <w:tcW w:w="44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596</w:t>
            </w:r>
          </w:p>
        </w:tc>
      </w:tr>
      <w:tr>
        <w:trPr>
          <w:trHeight w:val="120"/>
        </w:trPr>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Key indicators:</w:t>
            </w:r>
          </w:p>
        </w:tc>
        <w:tc>
          <w:tcPr>
            <w:tcW w:w="44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r>
      <w:tr>
        <w:trPr>
          <w:trHeight w:val="133"/>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Merchant bankcard processing dollar value</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13,964,078</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9,197,244</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25,910,838</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19,781,188</w:t>
            </w:r>
          </w:p>
        </w:tc>
      </w:tr>
      <w:tr>
        <w:trPr>
          <w:trHeight w:val="135"/>
        </w:trPr>
        <w:tc>
          <w:tcPr>
            <w:tcW w:w="2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Merchant bankcard transaction volume</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150,781</w:t>
            </w:r>
          </w:p>
        </w:tc>
        <w:tc>
          <w:tcPr>
            <w:tcW w:w="44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0"/>
                <w:szCs w:val="10"/>
                <w:color w:val="auto"/>
              </w:rPr>
              <w:t>93,251</w:t>
            </w:r>
          </w:p>
        </w:tc>
        <w:tc>
          <w:tcPr>
            <w:tcW w:w="4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rPr>
              <w:t>278,403</w:t>
            </w:r>
          </w:p>
        </w:tc>
        <w:tc>
          <w:tcPr>
            <w:tcW w:w="44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213,155</w:t>
            </w:r>
          </w:p>
        </w:tc>
      </w:tr>
    </w:tbl>
    <w:p>
      <w:pPr>
        <w:sectPr>
          <w:pgSz w:w="11900" w:h="16838" w:orient="portrait"/>
          <w:cols w:equalWidth="0" w:num="1">
            <w:col w:w="11300"/>
          </w:cols>
          <w:pgMar w:left="300" w:top="1040"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83755" cy="21431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755" cy="2143125"/>
                    </a:xfrm>
                    <a:prstGeom prst="rect">
                      <a:avLst/>
                    </a:prstGeom>
                    <a:noFill/>
                  </pic:spPr>
                </pic:pic>
              </a:graphicData>
            </a:graphic>
          </wp:anchor>
        </w:drawing>
        <w:t>PRIORITY TECHNOLOGY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Results With and Without RentPayment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420" w:type="dxa"/>
            <w:vAlign w:val="bottom"/>
            <w:tcBorders>
              <w:top w:val="single" w:sz="8" w:color="auto"/>
              <w:bottom w:val="single" w:sz="8" w:color="auto"/>
              <w:right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580" w:type="dxa"/>
            <w:vAlign w:val="bottom"/>
            <w:tcBorders>
              <w:top w:val="single" w:sz="8" w:color="auto"/>
              <w:bottom w:val="single" w:sz="8" w:color="auto"/>
            </w:tcBorders>
            <w:gridSpan w:val="3"/>
          </w:tcPr>
          <w:p>
            <w:pPr>
              <w:jc w:val="right"/>
              <w:ind w:right="56"/>
              <w:spacing w:after="0"/>
              <w:rPr>
                <w:sz w:val="20"/>
                <w:szCs w:val="20"/>
                <w:color w:val="auto"/>
              </w:rPr>
            </w:pPr>
            <w:r>
              <w:rPr>
                <w:rFonts w:ascii="Arial" w:cs="Arial" w:eastAsia="Arial" w:hAnsi="Arial"/>
                <w:sz w:val="10"/>
                <w:szCs w:val="10"/>
                <w:i w:val="1"/>
                <w:iCs w:val="1"/>
                <w:color w:val="auto"/>
              </w:rPr>
              <w:t>(in thousands)</w:t>
            </w:r>
          </w:p>
        </w:tc>
        <w:tc>
          <w:tcPr>
            <w:tcW w:w="9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spacing w:after="0"/>
              <w:rPr>
                <w:sz w:val="11"/>
                <w:szCs w:val="11"/>
                <w:color w:val="auto"/>
              </w:rPr>
            </w:pPr>
          </w:p>
        </w:tc>
      </w:tr>
      <w:tr>
        <w:trPr>
          <w:trHeight w:val="133"/>
        </w:trPr>
        <w:tc>
          <w:tcPr>
            <w:tcW w:w="242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Second Quarter 2020</w:t>
            </w: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ind w:left="200"/>
              <w:spacing w:after="0"/>
              <w:rPr>
                <w:sz w:val="20"/>
                <w:szCs w:val="20"/>
                <w:color w:val="auto"/>
              </w:rPr>
            </w:pPr>
            <w:r>
              <w:rPr>
                <w:rFonts w:ascii="Arial" w:cs="Arial" w:eastAsia="Arial" w:hAnsi="Arial"/>
                <w:sz w:val="10"/>
                <w:szCs w:val="10"/>
                <w:b w:val="1"/>
                <w:bCs w:val="1"/>
                <w:color w:val="auto"/>
              </w:rPr>
              <w:t>Six Months Ended June 30, 2020</w:t>
            </w: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10"/>
        </w:trPr>
        <w:tc>
          <w:tcPr>
            <w:tcW w:w="24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Borders>
              <w:right w:val="single" w:sz="8" w:color="auto"/>
            </w:tcBorders>
          </w:tcPr>
          <w:p>
            <w:pPr>
              <w:jc w:val="right"/>
              <w:ind w:right="452"/>
              <w:spacing w:after="0" w:line="110" w:lineRule="exact"/>
              <w:rPr>
                <w:sz w:val="20"/>
                <w:szCs w:val="20"/>
                <w:color w:val="auto"/>
              </w:rPr>
            </w:pPr>
            <w:r>
              <w:rPr>
                <w:rFonts w:ascii="Arial" w:cs="Arial" w:eastAsia="Arial" w:hAnsi="Arial"/>
                <w:sz w:val="10"/>
                <w:szCs w:val="10"/>
                <w:b w:val="1"/>
                <w:bCs w:val="1"/>
                <w:color w:val="auto"/>
              </w:rPr>
              <w:t>Excl</w:t>
            </w:r>
          </w:p>
        </w:tc>
        <w:tc>
          <w:tcPr>
            <w:tcW w:w="36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ind w:right="452"/>
              <w:spacing w:after="0" w:line="110" w:lineRule="exact"/>
              <w:rPr>
                <w:sz w:val="20"/>
                <w:szCs w:val="20"/>
                <w:color w:val="auto"/>
              </w:rPr>
            </w:pPr>
            <w:r>
              <w:rPr>
                <w:rFonts w:ascii="Arial" w:cs="Arial" w:eastAsia="Arial" w:hAnsi="Arial"/>
                <w:sz w:val="10"/>
                <w:szCs w:val="10"/>
                <w:b w:val="1"/>
                <w:bCs w:val="1"/>
                <w:color w:val="auto"/>
              </w:rPr>
              <w:t>Excl</w:t>
            </w:r>
          </w:p>
        </w:tc>
      </w:tr>
      <w:tr>
        <w:trPr>
          <w:trHeight w:val="133"/>
        </w:trPr>
        <w:tc>
          <w:tcPr>
            <w:tcW w:w="242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Consolidated</w:t>
            </w:r>
          </w:p>
        </w:tc>
        <w:tc>
          <w:tcPr>
            <w:tcW w:w="3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RentPayment</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RentPayment</w:t>
            </w:r>
          </w:p>
        </w:tc>
        <w:tc>
          <w:tcPr>
            <w:tcW w:w="3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Consolidated</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RentPayment</w:t>
            </w:r>
          </w:p>
        </w:tc>
        <w:tc>
          <w:tcPr>
            <w:tcW w:w="3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RentPayment</w:t>
            </w:r>
          </w:p>
        </w:tc>
      </w:tr>
      <w:tr>
        <w:trPr>
          <w:trHeight w:val="142"/>
        </w:trPr>
        <w:tc>
          <w:tcPr>
            <w:tcW w:w="24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Revenues</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92,356</w:t>
            </w:r>
          </w:p>
        </w:tc>
        <w:tc>
          <w:tcPr>
            <w:tcW w:w="34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jc w:val="right"/>
              <w:ind w:right="16"/>
              <w:spacing w:after="0"/>
              <w:rPr>
                <w:sz w:val="20"/>
                <w:szCs w:val="20"/>
                <w:color w:val="auto"/>
              </w:rPr>
            </w:pPr>
            <w:r>
              <w:rPr>
                <w:rFonts w:ascii="Arial" w:cs="Arial" w:eastAsia="Arial" w:hAnsi="Arial"/>
                <w:sz w:val="5"/>
                <w:szCs w:val="5"/>
                <w:color w:val="auto"/>
                <w:w w:val="70"/>
              </w:rPr>
              <w:t>$</w:t>
            </w:r>
          </w:p>
        </w:tc>
        <w:tc>
          <w:tcPr>
            <w:tcW w:w="11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4,391</w:t>
            </w:r>
          </w:p>
        </w:tc>
        <w:tc>
          <w:tcPr>
            <w:tcW w:w="3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87,965</w:t>
            </w:r>
          </w:p>
        </w:tc>
        <w:tc>
          <w:tcPr>
            <w:tcW w:w="36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jc w:val="right"/>
              <w:ind w:right="136"/>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189,289</w:t>
            </w:r>
          </w:p>
        </w:tc>
        <w:tc>
          <w:tcPr>
            <w:tcW w:w="3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8,235</w:t>
            </w:r>
          </w:p>
        </w:tc>
        <w:tc>
          <w:tcPr>
            <w:tcW w:w="36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jc w:val="right"/>
              <w:ind w:right="96"/>
              <w:spacing w:after="0"/>
              <w:rPr>
                <w:sz w:val="20"/>
                <w:szCs w:val="20"/>
                <w:color w:val="auto"/>
              </w:rPr>
            </w:pPr>
            <w:r>
              <w:rPr>
                <w:rFonts w:ascii="Arial" w:cs="Arial" w:eastAsia="Arial" w:hAnsi="Arial"/>
                <w:sz w:val="5"/>
                <w:szCs w:val="5"/>
                <w:color w:val="auto"/>
                <w:w w:val="70"/>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181,054</w:t>
            </w:r>
          </w:p>
        </w:tc>
      </w:tr>
      <w:tr>
        <w:trPr>
          <w:trHeight w:val="140"/>
        </w:trPr>
        <w:tc>
          <w:tcPr>
            <w:tcW w:w="24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b w:val="1"/>
                <w:bCs w:val="1"/>
                <w:color w:val="auto"/>
              </w:rPr>
              <w:t>Operating Expenses:</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133"/>
        </w:trPr>
        <w:tc>
          <w:tcPr>
            <w:tcW w:w="24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Costs of services</w:t>
            </w: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62,398</w:t>
            </w:r>
          </w:p>
        </w:tc>
        <w:tc>
          <w:tcPr>
            <w:tcW w:w="3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498</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61,900</w:t>
            </w:r>
          </w:p>
        </w:tc>
        <w:tc>
          <w:tcPr>
            <w:tcW w:w="3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128,762</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872</w:t>
            </w:r>
          </w:p>
        </w:tc>
        <w:tc>
          <w:tcPr>
            <w:tcW w:w="3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127,890</w:t>
            </w:r>
          </w:p>
        </w:tc>
      </w:tr>
      <w:tr>
        <w:trPr>
          <w:trHeight w:val="133"/>
        </w:trPr>
        <w:tc>
          <w:tcPr>
            <w:tcW w:w="24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Salary and employee benefits</w:t>
            </w: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9,556</w:t>
            </w:r>
          </w:p>
        </w:tc>
        <w:tc>
          <w:tcPr>
            <w:tcW w:w="3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507</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9,049</w:t>
            </w:r>
          </w:p>
        </w:tc>
        <w:tc>
          <w:tcPr>
            <w:tcW w:w="3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19,685</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1,046</w:t>
            </w:r>
          </w:p>
        </w:tc>
        <w:tc>
          <w:tcPr>
            <w:tcW w:w="3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18,639</w:t>
            </w:r>
          </w:p>
        </w:tc>
      </w:tr>
      <w:tr>
        <w:trPr>
          <w:trHeight w:val="133"/>
        </w:trPr>
        <w:tc>
          <w:tcPr>
            <w:tcW w:w="24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Depreciation and amortization</w:t>
            </w: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10,363</w:t>
            </w:r>
          </w:p>
        </w:tc>
        <w:tc>
          <w:tcPr>
            <w:tcW w:w="3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1,214</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9,149</w:t>
            </w:r>
          </w:p>
        </w:tc>
        <w:tc>
          <w:tcPr>
            <w:tcW w:w="3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20,635</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2,430</w:t>
            </w:r>
          </w:p>
        </w:tc>
        <w:tc>
          <w:tcPr>
            <w:tcW w:w="3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18,205</w:t>
            </w:r>
          </w:p>
        </w:tc>
      </w:tr>
      <w:tr>
        <w:trPr>
          <w:trHeight w:val="133"/>
        </w:trPr>
        <w:tc>
          <w:tcPr>
            <w:tcW w:w="24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Selling, general and administrative</w:t>
            </w: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6,008</w:t>
            </w:r>
          </w:p>
        </w:tc>
        <w:tc>
          <w:tcPr>
            <w:tcW w:w="3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1,231</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4,777</w:t>
            </w:r>
          </w:p>
        </w:tc>
        <w:tc>
          <w:tcPr>
            <w:tcW w:w="3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12,617</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2,390</w:t>
            </w:r>
          </w:p>
        </w:tc>
        <w:tc>
          <w:tcPr>
            <w:tcW w:w="3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10,227</w:t>
            </w:r>
          </w:p>
        </w:tc>
      </w:tr>
      <w:tr>
        <w:trPr>
          <w:trHeight w:val="135"/>
        </w:trPr>
        <w:tc>
          <w:tcPr>
            <w:tcW w:w="2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0"/>
                <w:szCs w:val="10"/>
                <w:color w:val="auto"/>
              </w:rPr>
              <w:t>Total operating expenses</w:t>
            </w: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88,325</w:t>
            </w:r>
          </w:p>
        </w:tc>
        <w:tc>
          <w:tcPr>
            <w:tcW w:w="3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3,450</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84,875</w:t>
            </w:r>
          </w:p>
        </w:tc>
        <w:tc>
          <w:tcPr>
            <w:tcW w:w="3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181,699</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6,738</w:t>
            </w:r>
          </w:p>
        </w:tc>
        <w:tc>
          <w:tcPr>
            <w:tcW w:w="3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174,961</w:t>
            </w:r>
          </w:p>
        </w:tc>
      </w:tr>
      <w:tr>
        <w:trPr>
          <w:trHeight w:val="142"/>
        </w:trPr>
        <w:tc>
          <w:tcPr>
            <w:tcW w:w="2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0"/>
                <w:szCs w:val="10"/>
                <w:b w:val="1"/>
                <w:bCs w:val="1"/>
                <w:color w:val="auto"/>
              </w:rPr>
              <w:t>Income from operations</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4,031</w:t>
            </w:r>
          </w:p>
        </w:tc>
        <w:tc>
          <w:tcPr>
            <w:tcW w:w="34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jc w:val="right"/>
              <w:ind w:right="16"/>
              <w:spacing w:after="0"/>
              <w:rPr>
                <w:sz w:val="20"/>
                <w:szCs w:val="20"/>
                <w:color w:val="auto"/>
              </w:rPr>
            </w:pPr>
            <w:r>
              <w:rPr>
                <w:rFonts w:ascii="Arial" w:cs="Arial" w:eastAsia="Arial" w:hAnsi="Arial"/>
                <w:sz w:val="5"/>
                <w:szCs w:val="5"/>
                <w:color w:val="auto"/>
                <w:w w:val="70"/>
              </w:rPr>
              <w:t>$</w:t>
            </w:r>
          </w:p>
        </w:tc>
        <w:tc>
          <w:tcPr>
            <w:tcW w:w="11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941</w:t>
            </w:r>
          </w:p>
        </w:tc>
        <w:tc>
          <w:tcPr>
            <w:tcW w:w="3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3,090</w:t>
            </w:r>
          </w:p>
        </w:tc>
        <w:tc>
          <w:tcPr>
            <w:tcW w:w="36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jc w:val="right"/>
              <w:ind w:right="136"/>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7,590</w:t>
            </w:r>
          </w:p>
        </w:tc>
        <w:tc>
          <w:tcPr>
            <w:tcW w:w="3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1,497</w:t>
            </w:r>
          </w:p>
        </w:tc>
        <w:tc>
          <w:tcPr>
            <w:tcW w:w="36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jc w:val="right"/>
              <w:ind w:right="96"/>
              <w:spacing w:after="0"/>
              <w:rPr>
                <w:sz w:val="20"/>
                <w:szCs w:val="20"/>
                <w:color w:val="auto"/>
              </w:rPr>
            </w:pPr>
            <w:r>
              <w:rPr>
                <w:rFonts w:ascii="Arial" w:cs="Arial" w:eastAsia="Arial" w:hAnsi="Arial"/>
                <w:sz w:val="5"/>
                <w:szCs w:val="5"/>
                <w:color w:val="auto"/>
                <w:w w:val="70"/>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6,093</w:t>
            </w:r>
          </w:p>
        </w:tc>
      </w:tr>
      <w:tr>
        <w:trPr>
          <w:trHeight w:val="140"/>
        </w:trPr>
        <w:tc>
          <w:tcPr>
            <w:tcW w:w="2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0"/>
                <w:szCs w:val="10"/>
                <w:color w:val="auto"/>
              </w:rPr>
              <w:t>Depreciation and amortization</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10,363</w:t>
            </w:r>
          </w:p>
        </w:tc>
        <w:tc>
          <w:tcPr>
            <w:tcW w:w="34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1,214</w:t>
            </w:r>
          </w:p>
        </w:tc>
        <w:tc>
          <w:tcPr>
            <w:tcW w:w="3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9,149</w:t>
            </w:r>
          </w:p>
        </w:tc>
        <w:tc>
          <w:tcPr>
            <w:tcW w:w="36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20,635</w:t>
            </w:r>
          </w:p>
        </w:tc>
        <w:tc>
          <w:tcPr>
            <w:tcW w:w="3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2,430</w:t>
            </w:r>
          </w:p>
        </w:tc>
        <w:tc>
          <w:tcPr>
            <w:tcW w:w="36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18,205</w:t>
            </w:r>
          </w:p>
        </w:tc>
      </w:tr>
      <w:tr>
        <w:trPr>
          <w:trHeight w:val="133"/>
        </w:trPr>
        <w:tc>
          <w:tcPr>
            <w:tcW w:w="2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0"/>
                <w:szCs w:val="10"/>
                <w:color w:val="auto"/>
              </w:rPr>
              <w:t>Other income, net</w:t>
            </w: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194</w:t>
            </w:r>
          </w:p>
        </w:tc>
        <w:tc>
          <w:tcPr>
            <w:tcW w:w="3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194</w:t>
            </w:r>
          </w:p>
        </w:tc>
        <w:tc>
          <w:tcPr>
            <w:tcW w:w="3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435</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435</w:t>
            </w:r>
          </w:p>
        </w:tc>
      </w:tr>
      <w:tr>
        <w:trPr>
          <w:trHeight w:val="133"/>
        </w:trPr>
        <w:tc>
          <w:tcPr>
            <w:tcW w:w="2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0"/>
                <w:szCs w:val="10"/>
                <w:color w:val="auto"/>
              </w:rPr>
              <w:t>Non-cash stock-based compensation</w:t>
            </w: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688</w:t>
            </w:r>
          </w:p>
        </w:tc>
        <w:tc>
          <w:tcPr>
            <w:tcW w:w="3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688</w:t>
            </w:r>
          </w:p>
        </w:tc>
        <w:tc>
          <w:tcPr>
            <w:tcW w:w="3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1,026</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1,026</w:t>
            </w:r>
          </w:p>
        </w:tc>
      </w:tr>
      <w:tr>
        <w:trPr>
          <w:trHeight w:val="133"/>
        </w:trPr>
        <w:tc>
          <w:tcPr>
            <w:tcW w:w="2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0"/>
                <w:szCs w:val="10"/>
                <w:color w:val="auto"/>
              </w:rPr>
              <w:t>Legal and professional fees</w:t>
            </w: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469</w:t>
            </w:r>
          </w:p>
        </w:tc>
        <w:tc>
          <w:tcPr>
            <w:tcW w:w="3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469</w:t>
            </w:r>
          </w:p>
        </w:tc>
        <w:tc>
          <w:tcPr>
            <w:tcW w:w="3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965</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965</w:t>
            </w:r>
          </w:p>
        </w:tc>
      </w:tr>
      <w:tr>
        <w:trPr>
          <w:trHeight w:val="133"/>
        </w:trPr>
        <w:tc>
          <w:tcPr>
            <w:tcW w:w="2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0"/>
                <w:szCs w:val="10"/>
                <w:color w:val="auto"/>
              </w:rPr>
              <w:t>Legal settlements</w:t>
            </w: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77</w:t>
            </w:r>
          </w:p>
        </w:tc>
        <w:tc>
          <w:tcPr>
            <w:tcW w:w="3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100</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color w:val="auto"/>
              </w:rPr>
              <w:t>(23)</w:t>
            </w:r>
          </w:p>
        </w:tc>
        <w:tc>
          <w:tcPr>
            <w:tcW w:w="3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79</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100</w:t>
            </w:r>
          </w:p>
        </w:tc>
        <w:tc>
          <w:tcPr>
            <w:tcW w:w="3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(21)</w:t>
            </w:r>
          </w:p>
        </w:tc>
      </w:tr>
      <w:tr>
        <w:trPr>
          <w:trHeight w:val="133"/>
        </w:trPr>
        <w:tc>
          <w:tcPr>
            <w:tcW w:w="2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0"/>
                <w:szCs w:val="10"/>
                <w:color w:val="auto"/>
              </w:rPr>
              <w:t>Acquisition integration services</w:t>
            </w: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839</w:t>
            </w:r>
          </w:p>
        </w:tc>
        <w:tc>
          <w:tcPr>
            <w:tcW w:w="3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839</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rPr>
              <w:t>1,735</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color w:val="auto"/>
              </w:rPr>
              <w:t>1,735</w:t>
            </w:r>
          </w:p>
        </w:tc>
        <w:tc>
          <w:tcPr>
            <w:tcW w:w="3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r>
      <w:tr>
        <w:trPr>
          <w:trHeight w:val="137"/>
        </w:trPr>
        <w:tc>
          <w:tcPr>
            <w:tcW w:w="2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0"/>
                <w:szCs w:val="10"/>
                <w:b w:val="1"/>
                <w:bCs w:val="1"/>
                <w:color w:val="auto"/>
              </w:rPr>
              <w:t>Adjusted EBITDA</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16,661</w:t>
            </w:r>
          </w:p>
        </w:tc>
        <w:tc>
          <w:tcPr>
            <w:tcW w:w="3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jc w:val="right"/>
              <w:ind w:right="16"/>
              <w:spacing w:after="0"/>
              <w:rPr>
                <w:sz w:val="20"/>
                <w:szCs w:val="20"/>
                <w:color w:val="auto"/>
              </w:rPr>
            </w:pPr>
            <w:r>
              <w:rPr>
                <w:rFonts w:ascii="Arial" w:cs="Arial" w:eastAsia="Arial" w:hAnsi="Arial"/>
                <w:sz w:val="5"/>
                <w:szCs w:val="5"/>
                <w:b w:val="1"/>
                <w:bCs w:val="1"/>
                <w:color w:val="auto"/>
                <w:w w:val="70"/>
              </w:rPr>
              <w:t>$</w:t>
            </w:r>
          </w:p>
        </w:tc>
        <w:tc>
          <w:tcPr>
            <w:tcW w:w="11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3,094</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13,567</w:t>
            </w:r>
          </w:p>
        </w:tc>
        <w:tc>
          <w:tcPr>
            <w:tcW w:w="3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jc w:val="right"/>
              <w:ind w:right="136"/>
              <w:spacing w:after="0"/>
              <w:rPr>
                <w:sz w:val="20"/>
                <w:szCs w:val="20"/>
                <w:color w:val="auto"/>
              </w:rPr>
            </w:pPr>
            <w:r>
              <w:rPr>
                <w:rFonts w:ascii="Arial" w:cs="Arial" w:eastAsia="Arial" w:hAnsi="Arial"/>
                <w:sz w:val="5"/>
                <w:szCs w:val="5"/>
                <w:b w:val="1"/>
                <w:bCs w:val="1"/>
                <w:color w:val="auto"/>
                <w:w w:val="70"/>
              </w:rPr>
              <w:t>$</w:t>
            </w: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32,465</w:t>
            </w:r>
          </w:p>
        </w:tc>
        <w:tc>
          <w:tcPr>
            <w:tcW w:w="34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5,762</w:t>
            </w:r>
          </w:p>
        </w:tc>
        <w:tc>
          <w:tcPr>
            <w:tcW w:w="3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jc w:val="right"/>
              <w:ind w:right="96"/>
              <w:spacing w:after="0"/>
              <w:rPr>
                <w:sz w:val="20"/>
                <w:szCs w:val="20"/>
                <w:color w:val="auto"/>
              </w:rPr>
            </w:pPr>
            <w:r>
              <w:rPr>
                <w:rFonts w:ascii="Arial" w:cs="Arial" w:eastAsia="Arial" w:hAnsi="Arial"/>
                <w:sz w:val="5"/>
                <w:szCs w:val="5"/>
                <w:b w:val="1"/>
                <w:bCs w:val="1"/>
                <w:color w:val="auto"/>
                <w:w w:val="70"/>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26,703</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auto"/>
        </w:rPr>
        <w:t>CONTACT: Investor and Media Inquiries: Dave Faupel, dave.faupel@prth.com</w:t>
      </w:r>
    </w:p>
    <w:p>
      <w:pPr>
        <w:sectPr>
          <w:pgSz w:w="11900" w:h="16838" w:orient="portrait"/>
          <w:cols w:equalWidth="0" w:num="1">
            <w:col w:w="11300"/>
          </w:cols>
          <w:pgMar w:left="300" w:top="1040" w:right="299"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4857750</wp:posOffset>
            </wp:positionV>
            <wp:extent cx="713041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2021-08-09T06:10:05Z</dcterms:created>
  <dcterms:modified xsi:type="dcterms:W3CDTF">2021-08-09T06:10:05Z</dcterms:modified>
</cp:coreProperties>
</file>