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August 7, 2025</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106680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NASDAQ</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August 7, 2025, Priority Technology Holdings, Inc. ("Priority") issued a press release announcing its financial results for the quarter ended June 30, 2025.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7, 2025, Priority will hold an earnings conference call and webcast at 10:00 a.m. (Eastern Time) to discuss the financial results for the quarter ended June 30, 2025.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August 7, 2025</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7, 2025</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M.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M.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2928620</wp:posOffset>
            </wp:positionH>
            <wp:positionV relativeFrom="page">
              <wp:posOffset>517525</wp:posOffset>
            </wp:positionV>
            <wp:extent cx="1697355" cy="53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Reports Second Quarter Financial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Strong Second Quarter Growth Driven by Performance Across Unified Commerce Platform</w:t>
      </w:r>
    </w:p>
    <w:p>
      <w:pPr>
        <w:spacing w:after="0" w:line="169"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3"/>
          <w:szCs w:val="13"/>
          <w:color w:val="auto"/>
        </w:rPr>
        <w:t xml:space="preserve">ALPHARETTA, GA - August 7, 2025 -- Priority Technology Holdings, Inc. (NASDAQ: PRTH) ("Priority" or the "Company"), the payments and banking solution that streamlines collecting, storing, lending, and sending money to unlock revenue opportunities, today announced its second quarter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3"/>
          <w:szCs w:val="13"/>
          <w:color w:val="auto"/>
        </w:rPr>
        <w:t xml:space="preserve"> financial results including strong year-over-year diversified revenue growth.</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"Our strong second quarter results reflect the continued success of Priority's Connected Commerce platform, with over 9% revenue growth and 13% adjusted gross profit growth," said Tom Priore, Chairman &amp; CEO of Priority. "Importantly, our ability to connect payments and banking solutions across our diverse business segments delivered over 30% growth in adjusted gross profit for B2B and over 20% growth in Enterprise, while adjusted gross profit from recurring revenue represents 62% of total. This strong momentum and high level of visibility gives us confidence to raise the low end of our full-year revenue guidance to $970 million and narrow our adjusted EBITDA guidance range to $222.5-$227.5 million. Priority is uniquely positioned to capitalize on the accelerating trend toward embedded finance as businesses increasingly seek comprehensive payment and banking solutions from a single platform.”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r>
        <w:rPr>
          <w:rFonts w:ascii="Times New Roman" w:cs="Times New Roman" w:eastAsia="Times New Roman" w:hAnsi="Times New Roman"/>
          <w:sz w:val="17"/>
          <w:szCs w:val="17"/>
          <w:color w:val="auto"/>
          <w:vertAlign w:val="superscript"/>
        </w:rPr>
        <w:t>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Quarter 2025 Financial Highlights compared with Second Quarter 2024</w:t>
      </w:r>
    </w:p>
    <w:p>
      <w:pPr>
        <w:spacing w:after="0" w:line="17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$239.8 million increased 9.1% from $219.9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$92.4 million increased 13.0% from $81.7 million</w:t>
      </w:r>
    </w:p>
    <w:p>
      <w:pPr>
        <w:spacing w:after="0" w:line="7"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38.5% increased 135 basis points from 37.2%</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$37.4 million increased 12.6% from $33.2 million</w:t>
      </w:r>
    </w:p>
    <w:p>
      <w:pPr>
        <w:spacing w:after="0" w:line="1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$56.0 million increased 8.7% from $51.6 million</w:t>
      </w:r>
    </w:p>
    <w:p>
      <w:pPr>
        <w:spacing w:after="0" w:line="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$0.26 increased by $0.15, or 136.4%, from $0.11</w:t>
      </w:r>
    </w:p>
    <w:p>
      <w:pPr>
        <w:spacing w:after="0" w:line="91"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compute accurately due to rounding.</w:t>
      </w:r>
    </w:p>
    <w:p>
      <w:pPr>
        <w:spacing w:after="0" w:line="31" w:lineRule="exact"/>
        <w:rPr>
          <w:rFonts w:ascii="Times New Roman" w:cs="Times New Roman" w:eastAsia="Times New Roman" w:hAnsi="Times New Roman"/>
          <w:sz w:val="17"/>
          <w:szCs w:val="17"/>
          <w:i w:val="1"/>
          <w:iCs w:val="1"/>
          <w:color w:val="auto"/>
          <w:vertAlign w:val="superscript"/>
        </w:rPr>
      </w:pPr>
    </w:p>
    <w:p>
      <w:pPr>
        <w:ind w:left="420" w:hanging="212"/>
        <w:spacing w:after="0" w:line="220" w:lineRule="auto"/>
        <w:tabs>
          <w:tab w:leader="none" w:pos="4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Adjusted EBITDA, and Adjusted EPS (non-GAAP) to their most comparable GAAP measures provided within this document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44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2025 Financial Guidance</w:t>
      </w:r>
    </w:p>
    <w:p>
      <w:pPr>
        <w:spacing w:after="0" w:line="17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Priority's outlook remains strong, and we are adjusting our full year 2025 guidance to reflect narrower ranges around the midpoint of our original full year guidance. We anticipate an acceleration of organic growth in the second half of 2025 based on timing of sales pipeline, the impact of year over year comparatives, and moderating headwinds in certain areas from the first half of 2025 that offset strong growth in core operating performance. The adjusted full year 2025 guidance is as follows:</w:t>
      </w:r>
    </w:p>
    <w:p>
      <w:pPr>
        <w:spacing w:after="0" w:line="108" w:lineRule="exact"/>
        <w:rPr>
          <w:sz w:val="20"/>
          <w:szCs w:val="20"/>
          <w:color w:val="auto"/>
        </w:rPr>
      </w:pPr>
    </w:p>
    <w:p>
      <w:pPr>
        <w:ind w:left="420" w:right="20" w:hanging="212"/>
        <w:spacing w:after="0" w:line="296" w:lineRule="auto"/>
        <w:tabs>
          <w:tab w:leader="none" w:pos="41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$970 million to $990 million, a growth rate of 10.2% to 12.5%, compared to fiscal 2024 results. This ranges compares to original full year 2025 guidance of $965 million to $1 billion.</w:t>
      </w: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$365 million and $380 million, which compares to the original full year 2025 guidance range of $360 million to $385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forecast to range between $222.5 million to $227.5 million, which compares to the original full year 2025 guidance range of $220 million to $230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070707"/>
        </w:rPr>
        <w:t>The Company will host a conference call on Thursday, August 7, 2025 at 10:00 a.m. EDT to discuss its second quarter financial results. Participants can access the call by p</w:t>
      </w:r>
      <w:r>
        <w:rPr>
          <w:rFonts w:ascii="Times New Roman" w:cs="Times New Roman" w:eastAsia="Times New Roman" w:hAnsi="Times New Roman"/>
          <w:sz w:val="13"/>
          <w:szCs w:val="13"/>
          <w:color w:val="000000"/>
        </w:rPr>
        <w:t>hone in the U.S. or Canada at (833) 636-1319 or internationally at (412) 902-4286.</w:t>
      </w:r>
    </w:p>
    <w:p>
      <w:pPr>
        <w:spacing w:after="0" w:line="107"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https://viavid.webcasts.com/starthere.jsp?ei=1725531&amp;tp_key=078fc7a00a</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www.prioritycommerce.com/investors.</w:t>
      </w:r>
    </w:p>
    <w:p>
      <w:pPr>
        <w:spacing w:after="0" w:line="10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August 21, 2025, at 11:59 p.m. EDT. To listen to the audio replay, dial (844) 512-2921 or (412) 317-6671 and enter conference ID number </w:t>
      </w:r>
      <w:r>
        <w:rPr>
          <w:rFonts w:ascii="Times New Roman" w:cs="Times New Roman" w:eastAsia="Times New Roman" w:hAnsi="Times New Roman"/>
          <w:sz w:val="13"/>
          <w:szCs w:val="13"/>
          <w:b w:val="1"/>
          <w:bCs w:val="1"/>
          <w:color w:val="auto"/>
        </w:rPr>
        <w:t>10200777</w:t>
      </w:r>
      <w:r>
        <w:rPr>
          <w:rFonts w:ascii="Times New Roman" w:cs="Times New Roman" w:eastAsia="Times New Roman" w:hAnsi="Times New Roman"/>
          <w:sz w:val="13"/>
          <w:szCs w:val="13"/>
          <w:color w:val="auto"/>
        </w:rPr>
        <w:t>. Alternatively, you may access the webcast replay in the "Investor Relations" section of the Company's website at https://ir.prioritycommerce.com/.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239,812</w:t>
            </w:r>
          </w:p>
        </w:tc>
        <w:tc>
          <w:tcPr>
            <w:tcW w:w="60" w:type="dxa"/>
            <w:vAlign w:val="bottom"/>
          </w:tcPr>
          <w:p>
            <w:pPr>
              <w:spacing w:after="0"/>
              <w:rPr>
                <w:sz w:val="13"/>
                <w:szCs w:val="13"/>
                <w:color w:val="auto"/>
              </w:rPr>
            </w:pP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219,867</w:t>
            </w:r>
          </w:p>
        </w:tc>
        <w:tc>
          <w:tcPr>
            <w:tcW w:w="80" w:type="dxa"/>
            <w:vAlign w:val="bottom"/>
          </w:tcPr>
          <w:p>
            <w:pPr>
              <w:spacing w:after="0"/>
              <w:rPr>
                <w:sz w:val="13"/>
                <w:szCs w:val="13"/>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464,442</w:t>
            </w:r>
          </w:p>
        </w:tc>
        <w:tc>
          <w:tcPr>
            <w:tcW w:w="80" w:type="dxa"/>
            <w:vAlign w:val="bottom"/>
          </w:tcPr>
          <w:p>
            <w:pPr>
              <w:spacing w:after="0"/>
              <w:rPr>
                <w:sz w:val="13"/>
                <w:szCs w:val="13"/>
                <w:color w:val="auto"/>
              </w:rPr>
            </w:pPr>
          </w:p>
        </w:tc>
        <w:tc>
          <w:tcPr>
            <w:tcW w:w="68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425,586</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(147,399)</w:t>
            </w:r>
          </w:p>
        </w:tc>
        <w:tc>
          <w:tcPr>
            <w:tcW w:w="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(138,118)</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(284,752)</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(267,416)</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92,413</w:t>
            </w:r>
          </w:p>
        </w:tc>
        <w:tc>
          <w:tcPr>
            <w:tcW w:w="60" w:type="dxa"/>
            <w:vAlign w:val="bottom"/>
          </w:tcPr>
          <w:p>
            <w:pPr>
              <w:spacing w:after="0"/>
              <w:rPr>
                <w:sz w:val="14"/>
                <w:szCs w:val="14"/>
                <w:color w:val="auto"/>
              </w:rPr>
            </w:pPr>
          </w:p>
        </w:tc>
        <w:tc>
          <w:tcPr>
            <w:tcW w:w="104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81,749</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179,690</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158,170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38.5 %</w:t>
            </w: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37.2 %</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38.7 %</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37.2 %</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(4,911)</w:t>
            </w:r>
          </w:p>
        </w:tc>
        <w:tc>
          <w:tcPr>
            <w:tcW w:w="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(3,941)</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(9,597)</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(7,842)</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87,502</w:t>
            </w:r>
          </w:p>
        </w:tc>
        <w:tc>
          <w:tcPr>
            <w:tcW w:w="60" w:type="dxa"/>
            <w:vAlign w:val="bottom"/>
          </w:tcPr>
          <w:p>
            <w:pPr>
              <w:spacing w:after="0"/>
              <w:rPr>
                <w:sz w:val="14"/>
                <w:szCs w:val="14"/>
                <w:color w:val="auto"/>
              </w:rPr>
            </w:pPr>
          </w:p>
        </w:tc>
        <w:tc>
          <w:tcPr>
            <w:tcW w:w="104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77,808</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170,093</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150,328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36.5 %</w:t>
            </w: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35.4 %</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36.6 %</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35.3 %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58"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60" w:type="dxa"/>
            <w:vAlign w:val="bottom"/>
            <w:tcBorders>
              <w:bottom w:val="single" w:sz="8" w:color="auto"/>
            </w:tcBorders>
          </w:tcPr>
          <w:p>
            <w:pPr>
              <w:spacing w:after="0"/>
              <w:rPr>
                <w:sz w:val="15"/>
                <w:szCs w:val="15"/>
                <w:color w:val="auto"/>
              </w:rPr>
            </w:pPr>
          </w:p>
        </w:tc>
      </w:tr>
      <w:tr>
        <w:trPr>
          <w:trHeight w:val="160"/>
        </w:trPr>
        <w:tc>
          <w:tcPr>
            <w:tcW w:w="4480" w:type="dxa"/>
            <w:vAlign w:val="bottom"/>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10,879</w:t>
            </w:r>
          </w:p>
        </w:tc>
        <w:tc>
          <w:tcPr>
            <w:tcW w:w="80" w:type="dxa"/>
            <w:vAlign w:val="bottom"/>
          </w:tcPr>
          <w:p>
            <w:pPr>
              <w:spacing w:after="0"/>
              <w:rPr>
                <w:sz w:val="13"/>
                <w:szCs w:val="13"/>
                <w:color w:val="auto"/>
              </w:rPr>
            </w:pPr>
          </w:p>
        </w:tc>
        <w:tc>
          <w:tcPr>
            <w:tcW w:w="1080" w:type="dxa"/>
            <w:vAlign w:val="bottom"/>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tcPr>
          <w:p>
            <w:pPr>
              <w:spacing w:after="0"/>
              <w:rPr>
                <w:sz w:val="13"/>
                <w:szCs w:val="13"/>
                <w:color w:val="auto"/>
              </w:rPr>
            </w:pP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19,147</w:t>
            </w:r>
          </w:p>
        </w:tc>
        <w:tc>
          <w:tcPr>
            <w:tcW w:w="80" w:type="dxa"/>
            <w:vAlign w:val="bottom"/>
          </w:tcPr>
          <w:p>
            <w:pPr>
              <w:spacing w:after="0"/>
              <w:rPr>
                <w:sz w:val="13"/>
                <w:szCs w:val="13"/>
                <w:color w:val="auto"/>
              </w:rPr>
            </w:pPr>
          </w:p>
        </w:tc>
        <w:tc>
          <w:tcPr>
            <w:tcW w:w="680" w:type="dxa"/>
            <w:vAlign w:val="bottom"/>
          </w:tcPr>
          <w:p>
            <w:pPr>
              <w:jc w:val="right"/>
              <w:ind w:right="5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w:t>
            </w: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23,054</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42,590</w:t>
            </w: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4,423</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5,097</w:t>
            </w:r>
          </w:p>
        </w:tc>
      </w:tr>
      <w:tr>
        <w:trPr>
          <w:trHeight w:val="172"/>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14,093</w:t>
            </w: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15,244</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27,870</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30,497</w:t>
            </w:r>
          </w:p>
        </w:tc>
      </w:t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10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52,449</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99,920</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84,371</w:t>
            </w: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10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8,623</w:t>
            </w:r>
          </w:p>
        </w:tc>
      </w:tr>
      <w:tr>
        <w:trPr>
          <w:trHeight w:val="171"/>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w:t>
            </w:r>
          </w:p>
        </w:tc>
      </w:tr>
      <w:tr>
        <w:trPr>
          <w:trHeight w:val="174"/>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3,206</w:t>
            </w: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4,792</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3,462</w:t>
            </w:r>
          </w:p>
        </w:tc>
      </w:tr>
      <w:tr>
        <w:trPr>
          <w:trHeight w:val="163"/>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56,050</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51,551</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107,344</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97,891</w:t>
            </w:r>
          </w:p>
        </w:tc>
      </w:tr>
      <w:tr>
        <w:trPr>
          <w:trHeight w:val="20"/>
        </w:trPr>
        <w:tc>
          <w:tcPr>
            <w:tcW w:w="4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00" w:type="dxa"/>
            <w:vAlign w:val="bottom"/>
            <w:gridSpan w:val="3"/>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4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45"/>
        </w:trPr>
        <w:tc>
          <w:tcPr>
            <w:tcW w:w="45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0" w:type="dxa"/>
            <w:vAlign w:val="bottom"/>
          </w:tcPr>
          <w:p>
            <w:pPr>
              <w:spacing w:after="0"/>
              <w:rPr>
                <w:sz w:val="1"/>
                <w:szCs w:val="1"/>
                <w:color w:val="auto"/>
              </w:rPr>
            </w:pPr>
          </w:p>
        </w:tc>
      </w:tr>
      <w:tr>
        <w:trPr>
          <w:trHeight w:val="171"/>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171"/>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74"/>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395</w:t>
            </w:r>
          </w:p>
        </w:tc>
        <w:tc>
          <w:tcPr>
            <w:tcW w:w="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636</w:t>
            </w:r>
          </w:p>
        </w:tc>
        <w:tc>
          <w:tcPr>
            <w:tcW w:w="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2,594</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1,435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5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Earnings Per Share (Adjusted EPS)</w:t>
      </w:r>
    </w:p>
    <w:p>
      <w:pPr>
        <w:spacing w:after="0" w:line="170"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3"/>
          <w:szCs w:val="13"/>
          <w:color w:val="auto"/>
        </w:rPr>
        <w:t>Adjusted EPS is a performance measure. Adjusted EPS is calculated by dividing adjusted net income (loss) attributable to common shareholders by weighted average number shares outstanding for the respective periods.</w:t>
      </w:r>
    </w:p>
    <w:p>
      <w:pPr>
        <w:spacing w:after="0" w:line="110" w:lineRule="exact"/>
        <w:rPr>
          <w:sz w:val="20"/>
          <w:szCs w:val="20"/>
          <w:color w:val="auto"/>
        </w:rPr>
      </w:pPr>
    </w:p>
    <w:p>
      <w:pPr>
        <w:ind w:right="280"/>
        <w:spacing w:after="0" w:line="324" w:lineRule="auto"/>
        <w:rPr>
          <w:sz w:val="20"/>
          <w:szCs w:val="20"/>
          <w:color w:val="auto"/>
        </w:rPr>
      </w:pPr>
      <w:r>
        <w:rPr>
          <w:rFonts w:ascii="Times New Roman" w:cs="Times New Roman" w:eastAsia="Times New Roman" w:hAnsi="Times New Roman"/>
          <w:sz w:val="13"/>
          <w:szCs w:val="13"/>
          <w:color w:val="auto"/>
        </w:rPr>
        <w:t>Adjusted net income attributable to common shareholders begins with net income (loss) attributable to common shareholders adjusted to exclude various items listed below. We believe that adjusted EPS is a measure that is useful to investors and management in understanding our ongoing profitability and in analysis of ongoing profitability trends.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Pr>
          <w:p>
            <w:pPr>
              <w:spacing w:after="0"/>
              <w:rPr>
                <w:sz w:val="13"/>
                <w:szCs w:val="13"/>
                <w:color w:val="auto"/>
              </w:rPr>
            </w:pPr>
          </w:p>
        </w:tc>
        <w:tc>
          <w:tcPr>
            <w:tcW w:w="252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00" w:type="dxa"/>
            <w:vAlign w:val="bottom"/>
          </w:tcPr>
          <w:p>
            <w:pPr>
              <w:spacing w:after="0"/>
              <w:rPr>
                <w:sz w:val="13"/>
                <w:szCs w:val="13"/>
                <w:color w:val="auto"/>
              </w:rPr>
            </w:pPr>
          </w:p>
        </w:tc>
        <w:tc>
          <w:tcPr>
            <w:tcW w:w="2380" w:type="dxa"/>
            <w:vAlign w:val="bottom"/>
            <w:gridSpan w:val="4"/>
          </w:tcPr>
          <w:p>
            <w:pPr>
              <w:jc w:val="right"/>
              <w:ind w:right="574"/>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60"/>
        </w:trPr>
        <w:tc>
          <w:tcPr>
            <w:tcW w:w="5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Adjusted EPS</w:t>
            </w: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5"/>
        </w:trPr>
        <w:tc>
          <w:tcPr>
            <w:tcW w:w="5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10,879</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(17,629)</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19,147</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(25,679)</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Accelerated accretion expense and excise tax attributable to redeemable senior preferred stockholders</w:t>
            </w:r>
          </w:p>
        </w:tc>
        <w:tc>
          <w:tcPr>
            <w:tcW w:w="3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9,549</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Debt extinguishment and modification costs</w:t>
            </w:r>
          </w:p>
        </w:tc>
        <w:tc>
          <w:tcPr>
            <w:tcW w:w="3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Other non-recurring expenses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 related intangible assets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23,117</w:t>
            </w:r>
          </w:p>
        </w:tc>
        <w:tc>
          <w:tcPr>
            <w:tcW w:w="0" w:type="dxa"/>
            <w:vAlign w:val="bottom"/>
          </w:tcPr>
          <w:p>
            <w:pPr>
              <w:spacing w:after="0"/>
              <w:rPr>
                <w:sz w:val="1"/>
                <w:szCs w:val="1"/>
                <w:color w:val="auto"/>
              </w:rPr>
            </w:pPr>
          </w:p>
        </w:tc>
      </w:tr>
      <w:tr>
        <w:trPr>
          <w:trHeight w:val="177"/>
        </w:trPr>
        <w:tc>
          <w:tcPr>
            <w:tcW w:w="566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Tax impact of adjustments</w:t>
            </w:r>
            <w:r>
              <w:rPr>
                <w:rFonts w:ascii="Times New Roman" w:cs="Times New Roman" w:eastAsia="Times New Roman" w:hAnsi="Times New Roman"/>
                <w:sz w:val="17"/>
                <w:szCs w:val="17"/>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(3,244)</w:t>
            </w: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(5,855)</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income attributable to common share holders</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20,653</w:t>
            </w:r>
          </w:p>
        </w:tc>
        <w:tc>
          <w:tcPr>
            <w:tcW w:w="60" w:type="dxa"/>
            <w:vAlign w:val="bottom"/>
          </w:tcPr>
          <w:p>
            <w:pPr>
              <w:spacing w:after="0"/>
              <w:rPr>
                <w:sz w:val="13"/>
                <w:szCs w:val="13"/>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8,578</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38,502</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10,981</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78,878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77,878</w:t>
            </w:r>
          </w:p>
        </w:tc>
        <w:tc>
          <w:tcPr>
            <w:tcW w:w="0" w:type="dxa"/>
            <w:vAlign w:val="bottom"/>
          </w:tcPr>
          <w:p>
            <w:pPr>
              <w:spacing w:after="0"/>
              <w:rPr>
                <w:sz w:val="1"/>
                <w:szCs w:val="1"/>
                <w:color w:val="auto"/>
              </w:rPr>
            </w:pPr>
          </w:p>
        </w:tc>
      </w:tr>
      <w:tr>
        <w:trPr>
          <w:trHeight w:val="169"/>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 of dilutive potential common shares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74"/>
        </w:trPr>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79,837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78,180</w:t>
            </w:r>
          </w:p>
        </w:tc>
        <w:tc>
          <w:tcPr>
            <w:tcW w:w="0" w:type="dxa"/>
            <w:vAlign w:val="bottom"/>
          </w:tcPr>
          <w:p>
            <w:pPr>
              <w:spacing w:after="0"/>
              <w:rPr>
                <w:sz w:val="1"/>
                <w:szCs w:val="1"/>
                <w:color w:val="auto"/>
              </w:rPr>
            </w:pPr>
          </w:p>
        </w:tc>
      </w:tr>
      <w:tr>
        <w:trPr>
          <w:trHeight w:val="350"/>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Earnings (loss) per common share: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72"/>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350"/>
        </w:trPr>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earnings per common share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72"/>
        </w:trPr>
        <w:tc>
          <w:tcPr>
            <w:tcW w:w="5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The tax impact calculated using the blended statutory income tax rate (i.e. 26.0% for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160"/>
          </w:cols>
          <w:pgMar w:left="300" w:top="949" w:right="439" w:bottom="1440" w:gutter="0" w:footer="0" w:header="0"/>
        </w:sectPr>
      </w:pPr>
    </w:p>
    <w:bookmarkStart w:id="8" w:name="page9"/>
    <w:bookmarkEnd w:id="8"/>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656"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the payments and banking solution that enables businesses to collect, store, lend and send funds through a unified commerce engine. Our platform combines payables, merchant services, and banking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2025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Priority Investor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priorityIR@icrinc.com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636"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Income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2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239,812</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219,867</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464,442</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425,586</w:t>
            </w:r>
          </w:p>
        </w:tc>
        <w:tc>
          <w:tcPr>
            <w:tcW w:w="0" w:type="dxa"/>
            <w:vAlign w:val="bottom"/>
          </w:tcPr>
          <w:p>
            <w:pPr>
              <w:spacing w:after="0"/>
              <w:rPr>
                <w:sz w:val="1"/>
                <w:szCs w:val="1"/>
                <w:color w:val="auto"/>
              </w:rPr>
            </w:pPr>
          </w:p>
        </w:tc>
      </w:tr>
      <w:tr>
        <w:trPr>
          <w:trHeight w:val="131"/>
        </w:trPr>
        <w:tc>
          <w:tcPr>
            <w:tcW w:w="53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147,399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138,118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284,752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267,416</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27,060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22,119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52,835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44,269</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14,093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15,244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27,870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30,497</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13,910</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11,212</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29,010</w:t>
            </w: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22,207</w:t>
            </w:r>
          </w:p>
        </w:tc>
        <w:tc>
          <w:tcPr>
            <w:tcW w:w="0" w:type="dxa"/>
            <w:vAlign w:val="bottom"/>
          </w:tcPr>
          <w:p>
            <w:pPr>
              <w:spacing w:after="0"/>
              <w:rPr>
                <w:sz w:val="1"/>
                <w:szCs w:val="1"/>
                <w:color w:val="auto"/>
              </w:rPr>
            </w:pPr>
          </w:p>
        </w:tc>
      </w:tr>
      <w:tr>
        <w:trPr>
          <w:trHeight w:val="142"/>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202,462</w:t>
            </w: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186,693</w:t>
            </w: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394,467</w:t>
            </w: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364,389</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37,350</w:t>
            </w: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33,174</w:t>
            </w: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69,975</w:t>
            </w: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61,197</w:t>
            </w:r>
          </w:p>
        </w:tc>
        <w:tc>
          <w:tcPr>
            <w:tcW w:w="0" w:type="dxa"/>
            <w:vAlign w:val="bottom"/>
          </w:tcPr>
          <w:p>
            <w:pPr>
              <w:spacing w:after="0"/>
              <w:rPr>
                <w:sz w:val="1"/>
                <w:szCs w:val="1"/>
                <w:color w:val="auto"/>
              </w:rPr>
            </w:pPr>
          </w:p>
        </w:tc>
      </w:tr>
      <w:tr>
        <w:trPr>
          <w:trHeight w:val="131"/>
        </w:trPr>
        <w:tc>
          <w:tcPr>
            <w:tcW w:w="53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(23,054)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(46,230)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(42,590)</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1,006</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2,113</w:t>
            </w: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1,300</w:t>
            </w:r>
          </w:p>
        </w:tc>
        <w:tc>
          <w:tcPr>
            <w:tcW w:w="0" w:type="dxa"/>
            <w:vAlign w:val="bottom"/>
          </w:tcPr>
          <w:p>
            <w:pPr>
              <w:spacing w:after="0"/>
              <w:rPr>
                <w:sz w:val="1"/>
                <w:szCs w:val="1"/>
                <w:color w:val="auto"/>
              </w:rPr>
            </w:pPr>
          </w:p>
        </w:tc>
      </w:tr>
      <w:tr>
        <w:trPr>
          <w:trHeight w:val="142"/>
        </w:trPr>
        <w:tc>
          <w:tcPr>
            <w:tcW w:w="5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(22,048)</w:t>
            </w: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(29,665)</w:t>
            </w: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(44,155)</w:t>
            </w: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(49,913)</w:t>
            </w:r>
          </w:p>
        </w:tc>
        <w:tc>
          <w:tcPr>
            <w:tcW w:w="0" w:type="dxa"/>
            <w:vAlign w:val="bottom"/>
          </w:tcPr>
          <w:p>
            <w:pPr>
              <w:spacing w:after="0"/>
              <w:rPr>
                <w:sz w:val="1"/>
                <w:szCs w:val="1"/>
                <w:color w:val="auto"/>
              </w:rPr>
            </w:pPr>
          </w:p>
        </w:tc>
      </w:tr>
      <w:tr>
        <w:trPr>
          <w:trHeight w:val="140"/>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60" w:type="dxa"/>
            <w:vAlign w:val="bottom"/>
          </w:tcPr>
          <w:p>
            <w:pPr>
              <w:spacing w:after="0"/>
              <w:rPr>
                <w:sz w:val="12"/>
                <w:szCs w:val="1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15,302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25,820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11,284</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4,423</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2,515</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6,673</w:t>
            </w: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5,097</w:t>
            </w:r>
          </w:p>
        </w:tc>
        <w:tc>
          <w:tcPr>
            <w:tcW w:w="0" w:type="dxa"/>
            <w:vAlign w:val="bottom"/>
          </w:tcPr>
          <w:p>
            <w:pPr>
              <w:spacing w:after="0"/>
              <w:rPr>
                <w:sz w:val="1"/>
                <w:szCs w:val="1"/>
                <w:color w:val="auto"/>
              </w:rPr>
            </w:pPr>
          </w:p>
        </w:tc>
      </w:tr>
      <w:tr>
        <w:trPr>
          <w:trHeight w:val="140"/>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960" w:type="dxa"/>
            <w:vAlign w:val="bottom"/>
          </w:tcPr>
          <w:p>
            <w:pPr>
              <w:spacing w:after="0"/>
              <w:rPr>
                <w:sz w:val="12"/>
                <w:szCs w:val="1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10,879</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994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19,147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6,187</w:t>
            </w: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(18,565)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(31,227)</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36"/>
        </w:trPr>
        <w:tc>
          <w:tcPr>
            <w:tcW w:w="532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9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10,879</w:t>
            </w:r>
          </w:p>
        </w:tc>
        <w:tc>
          <w:tcPr>
            <w:tcW w:w="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(17,629)</w:t>
            </w:r>
          </w:p>
        </w:tc>
        <w:tc>
          <w:tcPr>
            <w:tcW w:w="80" w:type="dxa"/>
            <w:vAlign w:val="bottom"/>
          </w:tcPr>
          <w:p>
            <w:pPr>
              <w:spacing w:after="0"/>
              <w:rPr>
                <w:sz w:val="11"/>
                <w:szCs w:val="11"/>
                <w:color w:val="auto"/>
              </w:rPr>
            </w:pPr>
          </w:p>
        </w:tc>
        <w:tc>
          <w:tcPr>
            <w:tcW w:w="800" w:type="dxa"/>
            <w:vAlign w:val="bottom"/>
            <w:tcBorders>
              <w:top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19,147</w:t>
            </w:r>
          </w:p>
        </w:tc>
        <w:tc>
          <w:tcPr>
            <w:tcW w:w="80" w:type="dxa"/>
            <w:vAlign w:val="bottom"/>
          </w:tcPr>
          <w:p>
            <w:pPr>
              <w:spacing w:after="0"/>
              <w:rPr>
                <w:sz w:val="11"/>
                <w:szCs w:val="11"/>
                <w:color w:val="auto"/>
              </w:rPr>
            </w:pPr>
          </w:p>
        </w:tc>
        <w:tc>
          <w:tcPr>
            <w:tcW w:w="820" w:type="dxa"/>
            <w:vAlign w:val="bottom"/>
            <w:tcBorders>
              <w:top w:val="single" w:sz="8" w:color="auto"/>
            </w:tcBorders>
          </w:tcPr>
          <w:p>
            <w:pPr>
              <w:jc w:val="right"/>
              <w:ind w:right="67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jc w:val="right"/>
              <w:ind w:right="39"/>
              <w:spacing w:after="0" w:line="136" w:lineRule="exact"/>
              <w:rPr>
                <w:sz w:val="20"/>
                <w:szCs w:val="20"/>
                <w:color w:val="auto"/>
              </w:rPr>
            </w:pPr>
            <w:r>
              <w:rPr>
                <w:rFonts w:ascii="Times New Roman" w:cs="Times New Roman" w:eastAsia="Times New Roman" w:hAnsi="Times New Roman"/>
                <w:sz w:val="12"/>
                <w:szCs w:val="12"/>
                <w:color w:val="auto"/>
              </w:rPr>
              <w:t>(25,679)</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11,096</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(17,625)</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19,407</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(25,688)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60" w:type="dxa"/>
            <w:vAlign w:val="bottom"/>
          </w:tcPr>
          <w:p>
            <w:pPr>
              <w:jc w:val="right"/>
              <w:ind w:right="8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80" w:type="dxa"/>
            <w:vAlign w:val="bottom"/>
          </w:tcPr>
          <w:p>
            <w:pPr>
              <w:spacing w:after="0"/>
              <w:rPr>
                <w:sz w:val="13"/>
                <w:szCs w:val="13"/>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tcPr>
          <w:p>
            <w:pPr>
              <w:spacing w:after="0"/>
              <w:rPr>
                <w:sz w:val="13"/>
                <w:szCs w:val="13"/>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3"/>
                <w:szCs w:val="13"/>
                <w:color w:val="auto"/>
              </w:rPr>
            </w:pPr>
          </w:p>
        </w:tc>
        <w:tc>
          <w:tcPr>
            <w:tcW w:w="820" w:type="dxa"/>
            <w:vAlign w:val="bottom"/>
          </w:tcPr>
          <w:p>
            <w:pPr>
              <w:jc w:val="right"/>
              <w:ind w:right="67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60" w:type="dxa"/>
            <w:vAlign w:val="bottom"/>
          </w:tcPr>
          <w:p>
            <w:pPr>
              <w:jc w:val="right"/>
              <w:ind w:right="81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80" w:type="dxa"/>
            <w:vAlign w:val="bottom"/>
          </w:tcPr>
          <w:p>
            <w:pPr>
              <w:spacing w:after="0"/>
              <w:rPr>
                <w:sz w:val="13"/>
                <w:szCs w:val="13"/>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tcPr>
          <w:p>
            <w:pPr>
              <w:spacing w:after="0"/>
              <w:rPr>
                <w:sz w:val="13"/>
                <w:szCs w:val="13"/>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3"/>
                <w:szCs w:val="13"/>
                <w:color w:val="auto"/>
              </w:rPr>
            </w:pPr>
          </w:p>
        </w:tc>
        <w:tc>
          <w:tcPr>
            <w:tcW w:w="820" w:type="dxa"/>
            <w:vAlign w:val="bottom"/>
          </w:tcPr>
          <w:p>
            <w:pPr>
              <w:jc w:val="right"/>
              <w:ind w:right="679"/>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349"/>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earnings per common share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960" w:type="dxa"/>
            <w:vAlign w:val="bottom"/>
            <w:vMerge w:val="restart"/>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80" w:type="dxa"/>
            <w:vAlign w:val="bottom"/>
          </w:tcPr>
          <w:p>
            <w:pPr>
              <w:spacing w:after="0"/>
              <w:rPr>
                <w:sz w:val="24"/>
                <w:szCs w:val="24"/>
                <w:color w:val="auto"/>
              </w:rPr>
            </w:pPr>
          </w:p>
        </w:tc>
        <w:tc>
          <w:tcPr>
            <w:tcW w:w="960" w:type="dxa"/>
            <w:vAlign w:val="bottom"/>
            <w:vMerge w:val="restart"/>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24"/>
                <w:szCs w:val="24"/>
                <w:color w:val="auto"/>
              </w:rPr>
            </w:pPr>
          </w:p>
        </w:tc>
        <w:tc>
          <w:tcPr>
            <w:tcW w:w="800" w:type="dxa"/>
            <w:vAlign w:val="bottom"/>
            <w:vMerge w:val="restart"/>
          </w:tcPr>
          <w:p>
            <w:pPr>
              <w:jc w:val="right"/>
              <w:ind w:right="662"/>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80" w:type="dxa"/>
            <w:vAlign w:val="bottom"/>
          </w:tcPr>
          <w:p>
            <w:pPr>
              <w:spacing w:after="0"/>
              <w:rPr>
                <w:sz w:val="24"/>
                <w:szCs w:val="24"/>
                <w:color w:val="auto"/>
              </w:rPr>
            </w:pPr>
          </w:p>
        </w:tc>
        <w:tc>
          <w:tcPr>
            <w:tcW w:w="820" w:type="dxa"/>
            <w:vAlign w:val="bottom"/>
            <w:vMerge w:val="restart"/>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49"/>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60" w:type="dxa"/>
            <w:vAlign w:val="bottom"/>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80" w:type="dxa"/>
            <w:vAlign w:val="bottom"/>
          </w:tcPr>
          <w:p>
            <w:pPr>
              <w:spacing w:after="0"/>
              <w:rPr>
                <w:sz w:val="15"/>
                <w:szCs w:val="15"/>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5"/>
                <w:szCs w:val="15"/>
                <w:color w:val="auto"/>
              </w:rPr>
            </w:pPr>
          </w:p>
        </w:tc>
        <w:tc>
          <w:tcPr>
            <w:tcW w:w="800" w:type="dxa"/>
            <w:vAlign w:val="bottom"/>
          </w:tcPr>
          <w:p>
            <w:pPr>
              <w:jc w:val="right"/>
              <w:ind w:right="662"/>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Pr>
          <w:p>
            <w:pPr>
              <w:spacing w:after="0"/>
              <w:rPr>
                <w:sz w:val="15"/>
                <w:szCs w:val="15"/>
                <w:color w:val="auto"/>
              </w:rPr>
            </w:pPr>
          </w:p>
        </w:tc>
        <w:tc>
          <w:tcPr>
            <w:tcW w:w="820" w:type="dxa"/>
            <w:vAlign w:val="bottom"/>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331"/>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78,981</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78,878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77,878</w:t>
            </w:r>
          </w:p>
        </w:tc>
        <w:tc>
          <w:tcPr>
            <w:tcW w:w="0" w:type="dxa"/>
            <w:vAlign w:val="bottom"/>
          </w:tcPr>
          <w:p>
            <w:pPr>
              <w:spacing w:after="0"/>
              <w:rPr>
                <w:sz w:val="1"/>
                <w:szCs w:val="1"/>
                <w:color w:val="auto"/>
              </w:rPr>
            </w:pPr>
          </w:p>
        </w:tc>
      </w:tr>
      <w:tr>
        <w:trPr>
          <w:trHeight w:val="177"/>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79,837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79,968</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77,878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Adjusted EPS in a non-GAAP earnings measure. See Adjusted EPS reconciliation for further detail.</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285"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520" w:type="dxa"/>
            <w:vAlign w:val="bottom"/>
          </w:tcPr>
          <w:p>
            <w:pPr>
              <w:spacing w:after="0"/>
              <w:rPr>
                <w:sz w:val="13"/>
                <w:szCs w:val="13"/>
                <w:color w:val="auto"/>
              </w:rPr>
            </w:pPr>
          </w:p>
        </w:tc>
        <w:tc>
          <w:tcPr>
            <w:tcW w:w="1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4660" w:type="dxa"/>
            <w:vAlign w:val="bottom"/>
            <w:vMerge w:val="continue"/>
          </w:tcPr>
          <w:p>
            <w:pPr>
              <w:spacing w:after="0"/>
              <w:rPr>
                <w:sz w:val="11"/>
                <w:szCs w:val="11"/>
                <w:color w:val="auto"/>
              </w:rPr>
            </w:pPr>
          </w:p>
        </w:tc>
        <w:tc>
          <w:tcPr>
            <w:tcW w:w="2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60" w:type="dxa"/>
            <w:vAlign w:val="bottom"/>
            <w:gridSpan w:val="2"/>
          </w:tcPr>
          <w:p>
            <w:pPr>
              <w:jc w:val="right"/>
              <w:ind w:right="1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50,564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w:t>
            </w:r>
          </w:p>
        </w:tc>
        <w:tc>
          <w:tcPr>
            <w:tcW w:w="25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1,125,934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0" w:type="dxa"/>
            <w:vAlign w:val="bottom"/>
          </w:tcPr>
          <w:p>
            <w:pPr>
              <w:spacing w:after="0"/>
              <w:rPr>
                <w:sz w:val="1"/>
                <w:szCs w:val="1"/>
                <w:color w:val="auto"/>
              </w:rPr>
            </w:pPr>
          </w:p>
        </w:tc>
      </w:tr>
      <w:tr>
        <w:trPr>
          <w:trHeight w:val="140"/>
        </w:trPr>
        <w:tc>
          <w:tcPr>
            <w:tcW w:w="4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1,305,885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382,497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225,035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27,015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5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22,755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520" w:type="dxa"/>
            <w:vAlign w:val="bottom"/>
          </w:tcPr>
          <w:p>
            <w:pPr>
              <w:spacing w:after="0"/>
              <w:rPr>
                <w:sz w:val="12"/>
                <w:szCs w:val="12"/>
                <w:color w:val="auto"/>
              </w:rPr>
            </w:pPr>
          </w:p>
        </w:tc>
        <w:tc>
          <w:tcPr>
            <w:tcW w:w="144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2,027,420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Stockholders' Deficit and NCI</w:t>
            </w:r>
          </w:p>
        </w:tc>
        <w:tc>
          <w:tcPr>
            <w:tcW w:w="2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6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60" w:type="dxa"/>
            <w:vAlign w:val="bottom"/>
            <w:gridSpan w:val="2"/>
          </w:tcPr>
          <w:p>
            <w:pPr>
              <w:jc w:val="right"/>
              <w:ind w:right="1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53,692</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40,526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w:t>
            </w:r>
          </w:p>
        </w:tc>
        <w:tc>
          <w:tcPr>
            <w:tcW w:w="25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1,127,266</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0" w:type="dxa"/>
            <w:vAlign w:val="bottom"/>
          </w:tcPr>
          <w:p>
            <w:pPr>
              <w:spacing w:after="0"/>
              <w:rPr>
                <w:sz w:val="1"/>
                <w:szCs w:val="1"/>
                <w:color w:val="auto"/>
              </w:rPr>
            </w:pPr>
          </w:p>
        </w:tc>
      </w:tr>
      <w:tr>
        <w:trPr>
          <w:trHeight w:val="140"/>
        </w:trPr>
        <w:tc>
          <w:tcPr>
            <w:tcW w:w="4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1,229,171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917,017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5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25,366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5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2,171,554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0" w:type="dxa"/>
            <w:vAlign w:val="bottom"/>
          </w:tcPr>
          <w:p>
            <w:pPr>
              <w:spacing w:after="0"/>
              <w:rPr>
                <w:sz w:val="1"/>
                <w:szCs w:val="1"/>
                <w:color w:val="auto"/>
              </w:rPr>
            </w:pPr>
          </w:p>
        </w:tc>
      </w:tr>
      <w:tr>
        <w:trPr>
          <w:trHeight w:val="131"/>
        </w:trPr>
        <w:tc>
          <w:tcPr>
            <w:tcW w:w="46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Stockholders' deficit:</w:t>
            </w:r>
          </w:p>
        </w:tc>
        <w:tc>
          <w:tcPr>
            <w:tcW w:w="2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5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(127,987)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0" w:type="dxa"/>
            <w:vAlign w:val="bottom"/>
          </w:tcPr>
          <w:p>
            <w:pPr>
              <w:spacing w:after="0"/>
              <w:rPr>
                <w:sz w:val="1"/>
                <w:szCs w:val="1"/>
                <w:color w:val="auto"/>
              </w:rPr>
            </w:pPr>
          </w:p>
        </w:tc>
      </w:tr>
      <w:tr>
        <w:trPr>
          <w:trHeight w:val="140"/>
        </w:trPr>
        <w:tc>
          <w:tcPr>
            <w:tcW w:w="46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(146,115)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5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5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(144,134)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NCI</w:t>
            </w:r>
          </w:p>
        </w:tc>
        <w:tc>
          <w:tcPr>
            <w:tcW w:w="2520" w:type="dxa"/>
            <w:vAlign w:val="bottom"/>
          </w:tcPr>
          <w:p>
            <w:pPr>
              <w:spacing w:after="0"/>
              <w:rPr>
                <w:sz w:val="12"/>
                <w:szCs w:val="12"/>
                <w:color w:val="auto"/>
              </w:rPr>
            </w:pPr>
          </w:p>
        </w:tc>
        <w:tc>
          <w:tcPr>
            <w:tcW w:w="144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2,027,420</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52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9</w:t>
            </w: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2" w:name="page13"/>
    <w:bookmarkEnd w:id="12"/>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0" w:type="dxa"/>
            <w:vAlign w:val="bottom"/>
          </w:tcPr>
          <w:p>
            <w:pPr>
              <w:spacing w:after="0"/>
              <w:rPr>
                <w:sz w:val="1"/>
                <w:szCs w:val="1"/>
                <w:color w:val="auto"/>
              </w:rPr>
            </w:pPr>
          </w:p>
        </w:tc>
      </w:tr>
      <w:tr>
        <w:trPr>
          <w:trHeight w:val="131"/>
        </w:trPr>
        <w:tc>
          <w:tcPr>
            <w:tcW w:w="4820" w:type="dxa"/>
            <w:vAlign w:val="bottom"/>
            <w:vMerge w:val="continue"/>
          </w:tcPr>
          <w:p>
            <w:pPr>
              <w:spacing w:after="0"/>
              <w:rPr>
                <w:sz w:val="11"/>
                <w:szCs w:val="11"/>
                <w:color w:val="auto"/>
              </w:rPr>
            </w:pPr>
          </w:p>
        </w:tc>
        <w:tc>
          <w:tcPr>
            <w:tcW w:w="3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4140" w:type="dxa"/>
            <w:vAlign w:val="bottom"/>
            <w:gridSpan w:val="2"/>
          </w:tcPr>
          <w:p>
            <w:pPr>
              <w:jc w:val="right"/>
              <w:ind w:right="78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19,147</w:t>
            </w:r>
          </w:p>
        </w:tc>
        <w:tc>
          <w:tcPr>
            <w:tcW w:w="80" w:type="dxa"/>
            <w:vAlign w:val="bottom"/>
          </w:tcPr>
          <w:p>
            <w:pPr>
              <w:spacing w:after="0"/>
              <w:rPr>
                <w:sz w:val="13"/>
                <w:szCs w:val="13"/>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6,187</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27,870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1,824</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w:t>
            </w: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deferred consideration</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(17,912)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(7,145)</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(5,037)</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Notes receivable</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10,225</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Accrued residuals commissions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0" w:type="dxa"/>
            <w:vAlign w:val="bottom"/>
          </w:tcPr>
          <w:p>
            <w:pPr>
              <w:spacing w:after="0"/>
              <w:rPr>
                <w:sz w:val="1"/>
                <w:szCs w:val="1"/>
                <w:color w:val="auto"/>
              </w:rPr>
            </w:pPr>
          </w:p>
        </w:tc>
      </w:tr>
      <w:tr>
        <w:trPr>
          <w:trHeight w:val="153"/>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0" w:type="dxa"/>
            <w:vAlign w:val="bottom"/>
          </w:tcPr>
          <w:p>
            <w:pPr>
              <w:spacing w:after="0"/>
              <w:rPr>
                <w:sz w:val="1"/>
                <w:szCs w:val="1"/>
                <w:color w:val="auto"/>
              </w:rPr>
            </w:pPr>
          </w:p>
        </w:tc>
      </w:tr>
      <w:tr>
        <w:trPr>
          <w:trHeight w:val="155"/>
        </w:trPr>
        <w:tc>
          <w:tcPr>
            <w:tcW w:w="4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noncurrent assets and liabilities, net</w:t>
            </w:r>
          </w:p>
        </w:tc>
        <w:tc>
          <w:tcPr>
            <w:tcW w:w="3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(1,922)</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(5,859)</w:t>
            </w:r>
          </w:p>
        </w:tc>
        <w:tc>
          <w:tcPr>
            <w:tcW w:w="0" w:type="dxa"/>
            <w:vAlign w:val="bottom"/>
          </w:tcPr>
          <w:p>
            <w:pPr>
              <w:spacing w:after="0"/>
              <w:rPr>
                <w:sz w:val="1"/>
                <w:szCs w:val="1"/>
                <w:color w:val="auto"/>
              </w:rPr>
            </w:pP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27,080</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42,007</w:t>
            </w:r>
          </w:p>
        </w:tc>
        <w:tc>
          <w:tcPr>
            <w:tcW w:w="0" w:type="dxa"/>
            <w:vAlign w:val="bottom"/>
          </w:tcPr>
          <w:p>
            <w:pPr>
              <w:spacing w:after="0"/>
              <w:rPr>
                <w:sz w:val="1"/>
                <w:szCs w:val="1"/>
                <w:color w:val="auto"/>
              </w:rPr>
            </w:pPr>
          </w:p>
        </w:tc>
      </w:tr>
      <w:tr>
        <w:trPr>
          <w:trHeight w:val="131"/>
        </w:trPr>
        <w:tc>
          <w:tcPr>
            <w:tcW w:w="48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(12,988)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(11,718)</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w:t>
            </w:r>
          </w:p>
        </w:tc>
        <w:tc>
          <w:tcPr>
            <w:tcW w:w="0" w:type="dxa"/>
            <w:vAlign w:val="bottom"/>
          </w:tcPr>
          <w:p>
            <w:pPr>
              <w:spacing w:after="0"/>
              <w:rPr>
                <w:sz w:val="1"/>
                <w:szCs w:val="1"/>
                <w:color w:val="auto"/>
              </w:rPr>
            </w:pPr>
          </w:p>
        </w:tc>
      </w:tr>
      <w:tr>
        <w:trPr>
          <w:trHeight w:val="155"/>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3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(2,275)</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(7,474)</w:t>
            </w:r>
          </w:p>
        </w:tc>
        <w:tc>
          <w:tcPr>
            <w:tcW w:w="0" w:type="dxa"/>
            <w:vAlign w:val="bottom"/>
          </w:tcPr>
          <w:p>
            <w:pPr>
              <w:spacing w:after="0"/>
              <w:rPr>
                <w:sz w:val="1"/>
                <w:szCs w:val="1"/>
                <w:color w:val="auto"/>
              </w:rPr>
            </w:pP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(21,145)</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(20,598)</w:t>
            </w:r>
          </w:p>
        </w:tc>
        <w:tc>
          <w:tcPr>
            <w:tcW w:w="0" w:type="dxa"/>
            <w:vAlign w:val="bottom"/>
          </w:tcPr>
          <w:p>
            <w:pPr>
              <w:spacing w:after="0"/>
              <w:rPr>
                <w:sz w:val="1"/>
                <w:szCs w:val="1"/>
                <w:color w:val="auto"/>
              </w:rPr>
            </w:pPr>
          </w:p>
        </w:tc>
      </w:tr>
      <w:tr>
        <w:trPr>
          <w:trHeight w:val="131"/>
        </w:trPr>
        <w:tc>
          <w:tcPr>
            <w:tcW w:w="48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830,200</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(7,555)</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(654,372)</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PHOT redeemable NCI</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shares withheld for taxes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senior preferred stock</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(136,936)</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accumulated unpaid dividend on redeemable senior preferred stock</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(30,819)</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(16,393)</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 net</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190,863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40,914</w:t>
            </w:r>
          </w:p>
        </w:tc>
        <w:tc>
          <w:tcPr>
            <w:tcW w:w="0" w:type="dxa"/>
            <w:vAlign w:val="bottom"/>
          </w:tcPr>
          <w:p>
            <w:pPr>
              <w:spacing w:after="0"/>
              <w:rPr>
                <w:sz w:val="1"/>
                <w:szCs w:val="1"/>
                <w:color w:val="auto"/>
              </w:rPr>
            </w:pPr>
          </w:p>
        </w:tc>
      </w:tr>
      <w:tr>
        <w:trPr>
          <w:trHeight w:val="155"/>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deferred/contingent consideration related to business combination</w:t>
            </w:r>
          </w:p>
        </w:tc>
        <w:tc>
          <w:tcPr>
            <w:tcW w:w="3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(4,156)</w:t>
            </w:r>
          </w:p>
        </w:tc>
        <w:tc>
          <w:tcPr>
            <w:tcW w:w="0" w:type="dxa"/>
            <w:vAlign w:val="bottom"/>
          </w:tcPr>
          <w:p>
            <w:pPr>
              <w:spacing w:after="0"/>
              <w:rPr>
                <w:sz w:val="1"/>
                <w:szCs w:val="1"/>
                <w:color w:val="auto"/>
              </w:rPr>
            </w:pPr>
          </w:p>
        </w:tc>
      </w:tr>
      <w:tr>
        <w:trPr>
          <w:trHeight w:val="136"/>
        </w:trPr>
        <w:tc>
          <w:tcPr>
            <w:tcW w:w="482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178,091</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18,149</w:t>
            </w:r>
          </w:p>
        </w:tc>
        <w:tc>
          <w:tcPr>
            <w:tcW w:w="0" w:type="dxa"/>
            <w:vAlign w:val="bottom"/>
          </w:tcPr>
          <w:p>
            <w:pPr>
              <w:spacing w:after="0"/>
              <w:rPr>
                <w:sz w:val="1"/>
                <w:szCs w:val="1"/>
                <w:color w:val="auto"/>
              </w:rPr>
            </w:pPr>
          </w:p>
        </w:tc>
      </w:tr>
      <w:tr>
        <w:trPr>
          <w:trHeight w:val="157"/>
        </w:trPr>
        <w:tc>
          <w:tcPr>
            <w:tcW w:w="48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184,026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39,558</w:t>
            </w:r>
          </w:p>
        </w:tc>
        <w:tc>
          <w:tcPr>
            <w:tcW w:w="0" w:type="dxa"/>
            <w:vAlign w:val="bottom"/>
          </w:tcPr>
          <w:p>
            <w:pPr>
              <w:spacing w:after="0"/>
              <w:rPr>
                <w:sz w:val="1"/>
                <w:szCs w:val="1"/>
                <w:color w:val="auto"/>
              </w:rPr>
            </w:pPr>
          </w:p>
        </w:tc>
      </w:tr>
      <w:tr>
        <w:trPr>
          <w:trHeight w:val="155"/>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993,864</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3240" w:type="dxa"/>
            <w:vAlign w:val="bottom"/>
          </w:tcPr>
          <w:p>
            <w:pPr>
              <w:spacing w:after="0"/>
              <w:rPr>
                <w:sz w:val="12"/>
                <w:szCs w:val="12"/>
                <w:color w:val="auto"/>
              </w:rPr>
            </w:pPr>
          </w:p>
        </w:tc>
        <w:tc>
          <w:tcPr>
            <w:tcW w:w="90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1,177,890</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835,781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140" w:type="dxa"/>
            <w:vAlign w:val="bottom"/>
            <w:gridSpan w:val="2"/>
          </w:tcPr>
          <w:p>
            <w:pPr>
              <w:jc w:val="right"/>
              <w:ind w:right="78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50,564</w:t>
            </w:r>
          </w:p>
        </w:tc>
        <w:tc>
          <w:tcPr>
            <w:tcW w:w="80" w:type="dxa"/>
            <w:vAlign w:val="bottom"/>
          </w:tcPr>
          <w:p>
            <w:pPr>
              <w:spacing w:after="0"/>
              <w:rPr>
                <w:sz w:val="13"/>
                <w:szCs w:val="13"/>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34,626</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14,205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w:t>
            </w:r>
          </w:p>
        </w:tc>
        <w:tc>
          <w:tcPr>
            <w:tcW w:w="0" w:type="dxa"/>
            <w:vAlign w:val="bottom"/>
          </w:tcPr>
          <w:p>
            <w:pPr>
              <w:spacing w:after="0"/>
              <w:rPr>
                <w:sz w:val="1"/>
                <w:szCs w:val="1"/>
                <w:color w:val="auto"/>
              </w:rPr>
            </w:pPr>
          </w:p>
        </w:tc>
      </w:tr>
      <w:tr>
        <w:trPr>
          <w:trHeight w:val="155"/>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(restricted in nature)</w:t>
            </w:r>
          </w:p>
        </w:tc>
        <w:tc>
          <w:tcPr>
            <w:tcW w:w="3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1,113,121</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788,530</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240" w:type="dxa"/>
            <w:vAlign w:val="bottom"/>
          </w:tcPr>
          <w:p>
            <w:pPr>
              <w:spacing w:after="0"/>
              <w:rPr>
                <w:sz w:val="12"/>
                <w:szCs w:val="12"/>
                <w:color w:val="auto"/>
              </w:rPr>
            </w:pPr>
          </w:p>
        </w:tc>
        <w:tc>
          <w:tcPr>
            <w:tcW w:w="90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1,177,890</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835,781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40" w:type="dxa"/>
            <w:vAlign w:val="bottom"/>
            <w:vMerge w:val="restart"/>
          </w:tcPr>
          <w:p>
            <w:pPr>
              <w:jc w:val="right"/>
              <w:ind w:right="2300"/>
              <w:spacing w:after="0"/>
              <w:rPr>
                <w:sz w:val="20"/>
                <w:szCs w:val="20"/>
                <w:color w:val="auto"/>
              </w:rPr>
            </w:pPr>
            <w:r>
              <w:rPr>
                <w:rFonts w:ascii="Times New Roman" w:cs="Times New Roman" w:eastAsia="Times New Roman" w:hAnsi="Times New Roman"/>
                <w:sz w:val="12"/>
                <w:szCs w:val="12"/>
                <w:color w:val="auto"/>
              </w:rPr>
              <w:t>10</w:t>
            </w: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8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1440" w:gutter="0" w:footer="0" w:header="0"/>
        </w:sectPr>
      </w:pPr>
    </w:p>
    <w:bookmarkStart w:id="13" w:name="page14"/>
    <w:bookmarkEnd w:id="13"/>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42"/>
        </w:trPr>
        <w:tc>
          <w:tcPr>
            <w:tcW w:w="51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0"/>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163,230</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155,101</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314,920</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299,105</w:t>
            </w:r>
          </w:p>
        </w:tc>
      </w:tr>
      <w:tr>
        <w:trPr>
          <w:trHeight w:val="155"/>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27,749</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53,454</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r>
      <w:tr>
        <w:trPr>
          <w:trHeight w:val="331"/>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16,150,363</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15,801,626</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31,444,496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30,579,730</w:t>
            </w: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205,530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193,841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391,068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369,069</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18,667,898</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18,253,900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36,353,389</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35,352,661</w:t>
            </w:r>
          </w:p>
        </w:tc>
      </w:tr>
      <w:tr>
        <w:trPr>
          <w:trHeight w:val="331"/>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25,033</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21,881</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48,951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43,225</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r>
      <w:tr>
        <w:trPr>
          <w:trHeight w:val="295"/>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220,227</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249,454</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457,517</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477,266</w:t>
            </w:r>
          </w:p>
        </w:tc>
      </w:tr>
      <w:tr>
        <w:trPr>
          <w:trHeight w:val="155"/>
        </w:trPr>
        <w:tc>
          <w:tcPr>
            <w:tcW w:w="5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r>
      <w:tr>
        <w:trPr>
          <w:trHeight w:val="331"/>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52,658</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43,670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102,746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84,660</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45,558</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88,001</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r>
      <w:tr>
        <w:trPr>
          <w:trHeight w:val="322"/>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992,279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762,873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966,371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733,380</w:t>
            </w:r>
          </w:p>
        </w:tc>
      </w:tr>
      <w:tr>
        <w:trPr>
          <w:trHeight w:val="155"/>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new enrollments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57,818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55,416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56,882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54,484</w:t>
            </w:r>
          </w:p>
        </w:tc>
      </w:tr>
      <w:tr>
        <w:trPr>
          <w:trHeight w:val="873"/>
        </w:trPr>
        <w:tc>
          <w:tcPr>
            <w:tcW w:w="5120" w:type="dxa"/>
            <w:vAlign w:val="bottom"/>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80"/>
          </w:cols>
          <w:pgMar w:left="300" w:top="122" w:right="319" w:bottom="1440" w:gutter="0" w:footer="0" w:header="0"/>
        </w:sectPr>
      </w:pPr>
    </w:p>
    <w:bookmarkStart w:id="14" w:name="page15"/>
    <w:bookmarkEnd w:id="14"/>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2025</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45,558</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(21,027)</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56,050</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(23,054)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(3,094)</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(3,206)</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21,121</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1,634</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40,341</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(47,794)</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15,302</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(4,423)</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10,879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6"/>
            <w:vMerge w:val="restart"/>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53,454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88,001</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(41,397)</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107,344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(46,230)</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(27,870)</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(4,792)</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40,197</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2,799</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78,110</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(95,286)</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25,820</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(6,673)</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19,147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(15,820)</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51,551</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(1,684)</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(1,829)</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20,052</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(1,081)</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33,125</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(48,587)</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3,509</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(2,515)</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00" w:top="122" w:right="379" w:bottom="1440" w:gutter="0" w:footer="0" w:header="0"/>
        </w:sectPr>
      </w:pPr>
    </w:p>
    <w:bookmarkStart w:id="15" w:name="page16"/>
    <w:bookmarkEnd w:id="15"/>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97,891</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(42,590)</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36,485</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(1,896)</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63,780</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(87,085)</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11,284</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(5,097)</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6,187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00" w:top="122" w:right="37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2025-08-07T06:49:01Z</dcterms:created>
  <dcterms:modified xsi:type="dcterms:W3CDTF">2025-08-07T06:49:01Z</dcterms:modified>
</cp:coreProperties>
</file>