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May 13,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5715</wp:posOffset>
            </wp:positionV>
            <wp:extent cx="2537460" cy="1174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37460" cy="11747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Priority Technology Holdings,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2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Delaware</w:t>
            </w:r>
          </w:p>
        </w:tc>
        <w:tc>
          <w:tcPr>
            <w:tcW w:w="2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001-37872</w:t>
            </w: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560" w:type="dxa"/>
            <w:vAlign w:val="bottom"/>
          </w:tcPr>
          <w:p>
            <w:pPr>
              <w:jc w:val="right"/>
              <w:ind w:right="1250"/>
              <w:spacing w:after="0"/>
              <w:rPr>
                <w:sz w:val="20"/>
                <w:szCs w:val="20"/>
                <w:color w:val="auto"/>
              </w:rPr>
            </w:pPr>
            <w:r>
              <w:rPr>
                <w:rFonts w:ascii="Arial" w:cs="Arial" w:eastAsia="Arial" w:hAnsi="Arial"/>
                <w:sz w:val="18"/>
                <w:szCs w:val="18"/>
                <w:b w:val="1"/>
                <w:bCs w:val="1"/>
                <w:color w:val="auto"/>
              </w:rPr>
              <w:t>47-4257046</w:t>
            </w:r>
          </w:p>
        </w:tc>
        <w:tc>
          <w:tcPr>
            <w:tcW w:w="20" w:type="dxa"/>
            <w:vAlign w:val="bottom"/>
          </w:tcPr>
          <w:p>
            <w:pPr>
              <w:spacing w:after="0"/>
              <w:rPr>
                <w:sz w:val="20"/>
                <w:szCs w:val="20"/>
                <w:color w:val="auto"/>
              </w:rPr>
            </w:pPr>
          </w:p>
        </w:tc>
      </w:tr>
      <w:tr>
        <w:trPr>
          <w:trHeight w:val="224"/>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40" w:type="dxa"/>
            <w:vAlign w:val="bottom"/>
          </w:tcPr>
          <w:p>
            <w:pPr>
              <w:spacing w:after="0"/>
              <w:rPr>
                <w:sz w:val="19"/>
                <w:szCs w:val="19"/>
                <w:color w:val="auto"/>
              </w:rPr>
            </w:pPr>
          </w:p>
        </w:tc>
        <w:tc>
          <w:tcPr>
            <w:tcW w:w="332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8"/>
                <w:szCs w:val="18"/>
                <w:color w:val="auto"/>
                <w:w w:val="92"/>
              </w:rPr>
              <w:t>(Commission File Number)</w:t>
            </w:r>
          </w:p>
        </w:tc>
        <w:tc>
          <w:tcPr>
            <w:tcW w:w="340" w:type="dxa"/>
            <w:vAlign w:val="bottom"/>
          </w:tcPr>
          <w:p>
            <w:pPr>
              <w:spacing w:after="0"/>
              <w:rPr>
                <w:sz w:val="19"/>
                <w:szCs w:val="19"/>
                <w:color w:val="auto"/>
              </w:rPr>
            </w:pPr>
          </w:p>
        </w:tc>
        <w:tc>
          <w:tcPr>
            <w:tcW w:w="3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c>
          <w:tcPr>
            <w:tcW w:w="20" w:type="dxa"/>
            <w:vAlign w:val="bottom"/>
          </w:tcPr>
          <w:p>
            <w:pPr>
              <w:spacing w:after="0"/>
              <w:rPr>
                <w:sz w:val="19"/>
                <w:szCs w:val="19"/>
                <w:color w:val="auto"/>
              </w:rPr>
            </w:pPr>
          </w:p>
        </w:tc>
      </w:tr>
      <w:tr>
        <w:trPr>
          <w:trHeight w:val="656"/>
        </w:trPr>
        <w:tc>
          <w:tcPr>
            <w:tcW w:w="4000" w:type="dxa"/>
            <w:vAlign w:val="bottom"/>
            <w:gridSpan w:val="2"/>
          </w:tcPr>
          <w:p>
            <w:pPr>
              <w:jc w:val="center"/>
              <w:ind w:left="1650"/>
              <w:spacing w:after="0"/>
              <w:rPr>
                <w:sz w:val="20"/>
                <w:szCs w:val="20"/>
                <w:color w:val="auto"/>
              </w:rPr>
            </w:pPr>
            <w:r>
              <w:rPr>
                <w:rFonts w:ascii="Arial" w:cs="Arial" w:eastAsia="Arial" w:hAnsi="Arial"/>
                <w:sz w:val="18"/>
                <w:szCs w:val="18"/>
                <w:b w:val="1"/>
                <w:bCs w:val="1"/>
                <w:color w:val="auto"/>
                <w:w w:val="90"/>
              </w:rPr>
              <w:t>2001 Westside Parkway</w:t>
            </w:r>
          </w:p>
        </w:tc>
        <w:tc>
          <w:tcPr>
            <w:tcW w:w="1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00" w:type="dxa"/>
            <w:vAlign w:val="bottom"/>
            <w:gridSpan w:val="2"/>
          </w:tcPr>
          <w:p>
            <w:pPr>
              <w:jc w:val="center"/>
              <w:ind w:left="1650"/>
              <w:spacing w:after="0"/>
              <w:rPr>
                <w:sz w:val="20"/>
                <w:szCs w:val="20"/>
                <w:color w:val="auto"/>
              </w:rPr>
            </w:pPr>
            <w:r>
              <w:rPr>
                <w:rFonts w:ascii="Arial" w:cs="Arial" w:eastAsia="Arial" w:hAnsi="Arial"/>
                <w:sz w:val="18"/>
                <w:szCs w:val="18"/>
                <w:b w:val="1"/>
                <w:bCs w:val="1"/>
                <w:color w:val="auto"/>
                <w:w w:val="88"/>
              </w:rPr>
              <w:t>Suite 155</w:t>
            </w:r>
          </w:p>
        </w:tc>
        <w:tc>
          <w:tcPr>
            <w:tcW w:w="17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4"/>
        </w:trPr>
        <w:tc>
          <w:tcPr>
            <w:tcW w:w="4000" w:type="dxa"/>
            <w:vAlign w:val="bottom"/>
            <w:gridSpan w:val="2"/>
          </w:tcPr>
          <w:p>
            <w:pPr>
              <w:ind w:left="1000"/>
              <w:spacing w:after="0"/>
              <w:rPr>
                <w:sz w:val="20"/>
                <w:szCs w:val="20"/>
                <w:color w:val="auto"/>
              </w:rPr>
            </w:pPr>
            <w:r>
              <w:rPr>
                <w:rFonts w:ascii="Arial" w:cs="Arial" w:eastAsia="Arial" w:hAnsi="Arial"/>
                <w:sz w:val="18"/>
                <w:szCs w:val="18"/>
                <w:b w:val="1"/>
                <w:bCs w:val="1"/>
                <w:color w:val="auto"/>
              </w:rPr>
              <w:t>Alpharetta,</w:t>
            </w:r>
          </w:p>
        </w:tc>
        <w:tc>
          <w:tcPr>
            <w:tcW w:w="3660" w:type="dxa"/>
            <w:vAlign w:val="bottom"/>
            <w:gridSpan w:val="4"/>
          </w:tcPr>
          <w:p>
            <w:pPr>
              <w:spacing w:after="0"/>
              <w:rPr>
                <w:sz w:val="20"/>
                <w:szCs w:val="20"/>
                <w:color w:val="auto"/>
              </w:rPr>
            </w:pPr>
            <w:r>
              <w:rPr>
                <w:rFonts w:ascii="Arial" w:cs="Arial" w:eastAsia="Arial" w:hAnsi="Arial"/>
                <w:sz w:val="18"/>
                <w:szCs w:val="18"/>
                <w:b w:val="1"/>
                <w:bCs w:val="1"/>
                <w:color w:val="auto"/>
              </w:rPr>
              <w:t>Georgia</w:t>
            </w:r>
          </w:p>
        </w:tc>
        <w:tc>
          <w:tcPr>
            <w:tcW w:w="3560" w:type="dxa"/>
            <w:vAlign w:val="bottom"/>
          </w:tcPr>
          <w:p>
            <w:pPr>
              <w:jc w:val="right"/>
              <w:ind w:right="2250"/>
              <w:spacing w:after="0"/>
              <w:rPr>
                <w:sz w:val="20"/>
                <w:szCs w:val="20"/>
                <w:color w:val="auto"/>
              </w:rPr>
            </w:pPr>
            <w:r>
              <w:rPr>
                <w:rFonts w:ascii="Arial" w:cs="Arial" w:eastAsia="Arial" w:hAnsi="Arial"/>
                <w:sz w:val="18"/>
                <w:szCs w:val="18"/>
                <w:b w:val="1"/>
                <w:bCs w:val="1"/>
                <w:color w:val="auto"/>
              </w:rPr>
              <w:t>30004</w:t>
            </w:r>
          </w:p>
        </w:tc>
        <w:tc>
          <w:tcPr>
            <w:tcW w:w="20" w:type="dxa"/>
            <w:vAlign w:val="bottom"/>
          </w:tcPr>
          <w:p>
            <w:pPr>
              <w:spacing w:after="0"/>
              <w:rPr>
                <w:sz w:val="20"/>
                <w:szCs w:val="20"/>
                <w:color w:val="auto"/>
              </w:rPr>
            </w:pPr>
          </w:p>
        </w:tc>
      </w:tr>
      <w:tr>
        <w:trPr>
          <w:trHeight w:val="224"/>
        </w:trPr>
        <w:tc>
          <w:tcPr>
            <w:tcW w:w="574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20" w:type="dxa"/>
            <w:vAlign w:val="bottom"/>
          </w:tcPr>
          <w:p>
            <w:pPr>
              <w:spacing w:after="0"/>
              <w:rPr>
                <w:sz w:val="19"/>
                <w:szCs w:val="19"/>
                <w:color w:val="auto"/>
              </w:rPr>
            </w:pPr>
          </w:p>
        </w:tc>
        <w:tc>
          <w:tcPr>
            <w:tcW w:w="1600" w:type="dxa"/>
            <w:vAlign w:val="bottom"/>
            <w:tcBorders>
              <w:top w:val="single" w:sz="8" w:color="auto"/>
            </w:tcBorders>
            <w:gridSpan w:val="2"/>
          </w:tcPr>
          <w:p>
            <w:pPr>
              <w:spacing w:after="0"/>
              <w:rPr>
                <w:sz w:val="19"/>
                <w:szCs w:val="19"/>
                <w:color w:val="auto"/>
              </w:rPr>
            </w:pPr>
          </w:p>
        </w:tc>
        <w:tc>
          <w:tcPr>
            <w:tcW w:w="3560" w:type="dxa"/>
            <w:vAlign w:val="bottom"/>
            <w:tcBorders>
              <w:top w:val="single" w:sz="8" w:color="auto"/>
            </w:tcBorders>
          </w:tcPr>
          <w:p>
            <w:pPr>
              <w:jc w:val="center"/>
              <w:ind w:right="1530"/>
              <w:spacing w:after="0"/>
              <w:rPr>
                <w:sz w:val="20"/>
                <w:szCs w:val="20"/>
                <w:color w:val="auto"/>
              </w:rPr>
            </w:pPr>
            <w:r>
              <w:rPr>
                <w:rFonts w:ascii="Arial" w:cs="Arial" w:eastAsia="Arial" w:hAnsi="Arial"/>
                <w:sz w:val="18"/>
                <w:szCs w:val="18"/>
                <w:color w:val="auto"/>
                <w:w w:val="91"/>
              </w:rPr>
              <w:t>(Zip Code)</w:t>
            </w:r>
          </w:p>
        </w:tc>
        <w:tc>
          <w:tcPr>
            <w:tcW w:w="20" w:type="dxa"/>
            <w:vAlign w:val="bottom"/>
            <w:tcBorders>
              <w:top w:val="single" w:sz="8" w:color="auto"/>
            </w:tcBorders>
          </w:tcPr>
          <w:p>
            <w:pPr>
              <w:spacing w:after="0"/>
              <w:rPr>
                <w:sz w:val="19"/>
                <w:szCs w:val="19"/>
                <w:color w:val="auto"/>
              </w:rPr>
            </w:pPr>
          </w:p>
        </w:tc>
      </w:tr>
    </w:tbl>
    <w:p>
      <w:pPr>
        <w:spacing w:after="0" w:line="278"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Symbol</w:t>
            </w:r>
          </w:p>
        </w:tc>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4"/>
        </w:trPr>
        <w:tc>
          <w:tcPr>
            <w:tcW w:w="58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$0.001 par value</w:t>
            </w:r>
          </w:p>
        </w:tc>
        <w:tc>
          <w:tcPr>
            <w:tcW w:w="200" w:type="dxa"/>
            <w:vAlign w:val="bottom"/>
          </w:tcPr>
          <w:p>
            <w:pPr>
              <w:spacing w:after="0"/>
              <w:rPr>
                <w:sz w:val="19"/>
                <w:szCs w:val="19"/>
                <w:color w:val="auto"/>
              </w:rPr>
            </w:pPr>
          </w:p>
        </w:tc>
        <w:tc>
          <w:tcPr>
            <w:tcW w:w="19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PRTH</w:t>
            </w:r>
          </w:p>
        </w:tc>
        <w:tc>
          <w:tcPr>
            <w:tcW w:w="220" w:type="dxa"/>
            <w:vAlign w:val="bottom"/>
          </w:tcPr>
          <w:p>
            <w:pPr>
              <w:spacing w:after="0"/>
              <w:rPr>
                <w:sz w:val="19"/>
                <w:szCs w:val="19"/>
                <w:color w:val="auto"/>
              </w:rPr>
            </w:pPr>
          </w:p>
        </w:tc>
        <w:tc>
          <w:tcPr>
            <w:tcW w:w="4360" w:type="dxa"/>
            <w:vAlign w:val="bottom"/>
            <w:tcBorders>
              <w:top w:val="single" w:sz="8" w:color="auto"/>
            </w:tcBorders>
          </w:tcPr>
          <w:p>
            <w:pPr>
              <w:ind w:left="1360"/>
              <w:spacing w:after="0"/>
              <w:rPr>
                <w:sz w:val="20"/>
                <w:szCs w:val="20"/>
                <w:color w:val="auto"/>
              </w:rPr>
            </w:pPr>
            <w:r>
              <w:rPr>
                <w:rFonts w:ascii="Arial" w:cs="Arial" w:eastAsia="Arial" w:hAnsi="Arial"/>
                <w:sz w:val="18"/>
                <w:szCs w:val="18"/>
                <w:color w:val="auto"/>
              </w:rPr>
              <w:t>Nasdaq Global Market</w:t>
            </w:r>
          </w:p>
        </w:tc>
        <w:tc>
          <w:tcPr>
            <w:tcW w:w="560" w:type="dxa"/>
            <w:vAlign w:val="bottom"/>
          </w:tcPr>
          <w:p>
            <w:pPr>
              <w:spacing w:after="0"/>
              <w:rPr>
                <w:sz w:val="19"/>
                <w:szCs w:val="19"/>
                <w:color w:val="auto"/>
              </w:rPr>
            </w:pPr>
          </w:p>
        </w:tc>
      </w:tr>
      <w:tr>
        <w:trPr>
          <w:trHeight w:val="1221"/>
        </w:trPr>
        <w:tc>
          <w:tcPr>
            <w:tcW w:w="5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0"/>
          <w:szCs w:val="20"/>
          <w:color w:val="auto"/>
        </w:rPr>
      </w:pPr>
    </w:p>
    <w:p>
      <w:pPr>
        <w:ind w:left="18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0"/>
          <w:szCs w:val="20"/>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ind w:right="26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0" w:lineRule="exact"/>
        <w:rPr>
          <w:sz w:val="20"/>
          <w:szCs w:val="20"/>
          <w:color w:val="auto"/>
        </w:rPr>
      </w:pPr>
    </w:p>
    <w:p>
      <w:pPr>
        <w:spacing w:after="0" w:line="236" w:lineRule="exact"/>
        <w:rPr>
          <w:sz w:val="20"/>
          <w:szCs w:val="20"/>
          <w:color w:val="auto"/>
        </w:rPr>
      </w:pPr>
    </w:p>
    <w:p>
      <w:pPr>
        <w:spacing w:after="0" w:line="324" w:lineRule="auto"/>
        <w:rPr>
          <w:sz w:val="20"/>
          <w:szCs w:val="20"/>
          <w:color w:val="auto"/>
        </w:rPr>
      </w:pPr>
      <w:r>
        <w:rPr>
          <w:rFonts w:ascii="Arial" w:cs="Arial" w:eastAsia="Arial" w:hAnsi="Arial"/>
          <w:sz w:val="18"/>
          <w:szCs w:val="18"/>
          <w:color w:val="auto"/>
        </w:rPr>
        <w:t>On May 13, 2022, Priority Technology Holdings, Inc. (the “Company” or “Priority”) announced that Michael Vollkommer will be retiring from his position as Chief Financial Officer (“CFO”) effective September 1, 2022. The Company has begun its search for a new CFO.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13, 2022, the Company issued a press release announcing the retirement of Mr. Vollkommer as CFO of the Company. A copy of the press release announcing the retirement of Mr. Vollkommer is furnished as Exhibit 99.1 to this Report on Form 8-K.</w:t>
      </w:r>
    </w:p>
    <w:p>
      <w:pPr>
        <w:spacing w:after="0" w:line="19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 – The following exhibit is furnished as part of this Current Report on Form 8-K.</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 Number</w:t>
            </w:r>
          </w:p>
        </w:tc>
        <w:tc>
          <w:tcPr>
            <w:tcW w:w="97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Description</w:t>
            </w:r>
          </w:p>
        </w:tc>
      </w:tr>
      <w:tr>
        <w:trPr>
          <w:trHeight w:val="183"/>
        </w:trPr>
        <w:tc>
          <w:tcPr>
            <w:tcW w:w="1480" w:type="dxa"/>
            <w:vAlign w:val="bottom"/>
            <w:gridSpan w:val="3"/>
          </w:tcPr>
          <w:p>
            <w:pPr>
              <w:ind w:left="20"/>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9760" w:type="dxa"/>
            <w:vAlign w:val="bottom"/>
            <w:gridSpan w:val="3"/>
          </w:tcPr>
          <w:p>
            <w:pPr>
              <w:ind w:left="180"/>
              <w:spacing w:after="0" w:line="182" w:lineRule="exact"/>
              <w:rPr>
                <w:rFonts w:ascii="Arial" w:cs="Arial" w:eastAsia="Arial" w:hAnsi="Arial"/>
                <w:sz w:val="18"/>
                <w:szCs w:val="18"/>
                <w:color w:val="0000FF"/>
              </w:rPr>
            </w:pPr>
            <w:hyperlink w:anchor="page4">
              <w:r>
                <w:rPr>
                  <w:rFonts w:ascii="Arial" w:cs="Arial" w:eastAsia="Arial" w:hAnsi="Arial"/>
                  <w:sz w:val="18"/>
                  <w:szCs w:val="18"/>
                  <w:color w:val="0000FF"/>
                </w:rPr>
                <w:t>Press Release of Priority Technology Holdings, Inc. dated May 13, 2022</w:t>
              </w:r>
            </w:hyperlink>
          </w:p>
        </w:tc>
      </w:tr>
      <w:tr>
        <w:trPr>
          <w:trHeight w:val="20"/>
        </w:trPr>
        <w:tc>
          <w:tcPr>
            <w:tcW w:w="3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20" w:type="dxa"/>
            <w:vAlign w:val="bottom"/>
            <w:shd w:val="clear" w:color="auto" w:fill="0000FF"/>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50"/>
        </w:trPr>
        <w:tc>
          <w:tcPr>
            <w:tcW w:w="340" w:type="dxa"/>
            <w:vAlign w:val="bottom"/>
            <w:gridSpan w:val="2"/>
          </w:tcPr>
          <w:p>
            <w:pPr>
              <w:ind w:left="20"/>
              <w:spacing w:after="0"/>
              <w:rPr>
                <w:sz w:val="20"/>
                <w:szCs w:val="20"/>
                <w:color w:val="auto"/>
              </w:rPr>
            </w:pPr>
            <w:r>
              <w:rPr>
                <w:rFonts w:ascii="Arial" w:cs="Arial" w:eastAsia="Arial" w:hAnsi="Arial"/>
                <w:sz w:val="18"/>
                <w:szCs w:val="18"/>
                <w:color w:val="auto"/>
                <w:w w:val="99"/>
              </w:rPr>
              <w:t>104</w:t>
            </w:r>
          </w:p>
        </w:tc>
        <w:tc>
          <w:tcPr>
            <w:tcW w:w="1140" w:type="dxa"/>
            <w:vAlign w:val="bottom"/>
          </w:tcPr>
          <w:p>
            <w:pPr>
              <w:spacing w:after="0"/>
              <w:rPr>
                <w:sz w:val="21"/>
                <w:szCs w:val="21"/>
                <w:color w:val="auto"/>
              </w:rPr>
            </w:pPr>
          </w:p>
        </w:tc>
        <w:tc>
          <w:tcPr>
            <w:tcW w:w="9760" w:type="dxa"/>
            <w:vAlign w:val="bottom"/>
            <w:gridSpan w:val="3"/>
          </w:tcPr>
          <w:p>
            <w:pPr>
              <w:ind w:left="180"/>
              <w:spacing w:after="0"/>
              <w:rPr>
                <w:sz w:val="20"/>
                <w:szCs w:val="20"/>
                <w:color w:val="auto"/>
              </w:rPr>
            </w:pPr>
            <w:r>
              <w:rPr>
                <w:rFonts w:ascii="Arial" w:cs="Arial" w:eastAsia="Arial" w:hAnsi="Arial"/>
                <w:sz w:val="18"/>
                <w:szCs w:val="18"/>
                <w:color w:val="auto"/>
              </w:rPr>
              <w:t>The cover page from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13, 2022</w:t>
      </w:r>
    </w:p>
    <w:p>
      <w:pPr>
        <w:spacing w:after="0" w:line="25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PRIORITY TECHNOLOGY HOLDINGS, INC.</w:t>
      </w:r>
    </w:p>
    <w:p>
      <w:pPr>
        <w:spacing w:after="0" w:line="252"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By: /s/ Bradley J. Miller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Name: Bradley J. Miller</w:t>
      </w:r>
    </w:p>
    <w:p>
      <w:pPr>
        <w:spacing w:after="0" w:line="23"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1240"/>
          </w:cols>
          <w:pgMar w:left="320" w:top="891"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929005</wp:posOffset>
            </wp:positionV>
            <wp:extent cx="1765935" cy="62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65935"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Priority Investor and Media Inquiries: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Chris Kettmann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ckettmann@lincolnchurchilladvisors.com</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(773) 497-7575</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Priority Technology Holdings, Inc. Announces Retirement of Chief Financial Officer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Alpharetta, GA – May 13, 2022 – Priority Technology Holdings, Inc. (NASDAQ: PRTH) ("Priority" or the "Company"), a leading payments technology company helping customers collect, store and send money, today announced the retirement of Michael Vollkommer, its Chief Financial Officer (CFO).</w:t>
      </w:r>
    </w:p>
    <w:p>
      <w:pPr>
        <w:spacing w:after="0" w:line="215" w:lineRule="exact"/>
        <w:rPr>
          <w:sz w:val="20"/>
          <w:szCs w:val="20"/>
          <w:color w:val="auto"/>
        </w:rPr>
      </w:pPr>
    </w:p>
    <w:p>
      <w:pPr>
        <w:jc w:val="both"/>
        <w:spacing w:after="0" w:line="359" w:lineRule="auto"/>
        <w:rPr>
          <w:sz w:val="20"/>
          <w:szCs w:val="20"/>
          <w:color w:val="auto"/>
        </w:rPr>
      </w:pPr>
      <w:r>
        <w:rPr>
          <w:rFonts w:ascii="Arial" w:cs="Arial" w:eastAsia="Arial" w:hAnsi="Arial"/>
          <w:sz w:val="20"/>
          <w:szCs w:val="20"/>
          <w:color w:val="auto"/>
        </w:rPr>
        <w:t>Mr. Vollkommer, who has been the Company’s Chief Financial Officer since December 2018, will retire from Priority on September 1, 2022. Subsequently, Mr. Vollkommer will remain with the Company in an advisory capacity to ensure a smooth transition and to assist in executing strategic projects going forward. The Company has begun its search for Mr. Vollkommer’s replacement and expects to name the next CFO during the third quarter.</w:t>
      </w:r>
    </w:p>
    <w:p>
      <w:pPr>
        <w:spacing w:after="0" w:line="217" w:lineRule="exact"/>
        <w:rPr>
          <w:sz w:val="20"/>
          <w:szCs w:val="20"/>
          <w:color w:val="auto"/>
        </w:rPr>
      </w:pPr>
    </w:p>
    <w:p>
      <w:pPr>
        <w:jc w:val="both"/>
        <w:spacing w:after="0" w:line="388" w:lineRule="auto"/>
        <w:rPr>
          <w:sz w:val="20"/>
          <w:szCs w:val="20"/>
          <w:color w:val="auto"/>
        </w:rPr>
      </w:pPr>
      <w:r>
        <w:rPr>
          <w:rFonts w:ascii="Arial" w:cs="Arial" w:eastAsia="Arial" w:hAnsi="Arial"/>
          <w:sz w:val="19"/>
          <w:szCs w:val="19"/>
          <w:color w:val="auto"/>
        </w:rPr>
        <w:t>“On behalf of all of my Priority colleagues and the Board of Directors, I would like to thank Mike for his dedication to helping advance the mission at Priority,” noted Tom Priore, Chairman and Chief Executive Office at Priority. “Mike has been instrumental in setting a strong foundation for Priority as a publicly traded company. We congratulate Mike as he transitions to this new phase in life.”</w:t>
      </w:r>
    </w:p>
    <w:p>
      <w:pPr>
        <w:spacing w:after="0" w:line="196" w:lineRule="exact"/>
        <w:rPr>
          <w:sz w:val="20"/>
          <w:szCs w:val="20"/>
          <w:color w:val="auto"/>
        </w:rPr>
      </w:pPr>
    </w:p>
    <w:p>
      <w:pPr>
        <w:jc w:val="both"/>
        <w:spacing w:after="0" w:line="362" w:lineRule="auto"/>
        <w:rPr>
          <w:sz w:val="20"/>
          <w:szCs w:val="20"/>
          <w:color w:val="auto"/>
        </w:rPr>
      </w:pPr>
      <w:r>
        <w:rPr>
          <w:rFonts w:ascii="Arial" w:cs="Arial" w:eastAsia="Arial" w:hAnsi="Arial"/>
          <w:sz w:val="20"/>
          <w:szCs w:val="20"/>
          <w:color w:val="auto"/>
        </w:rPr>
        <w:t>“I am proud of what we accomplished in the time I’ve been with Priority and excited about the future prospects of the Company,” said Mr. Vollkommer. “While I am stepping away from the role of CFO, I look forward to continuing to contribute to the Company in an advisory capacity.”</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Priority Technology Holdings, Inc.</w:t>
      </w:r>
    </w:p>
    <w:p>
      <w:pPr>
        <w:spacing w:after="0" w:line="114" w:lineRule="exact"/>
        <w:rPr>
          <w:sz w:val="20"/>
          <w:szCs w:val="20"/>
          <w:color w:val="auto"/>
        </w:rPr>
      </w:pPr>
    </w:p>
    <w:p>
      <w:pPr>
        <w:jc w:val="both"/>
        <w:spacing w:after="0" w:line="373" w:lineRule="auto"/>
        <w:rPr>
          <w:sz w:val="20"/>
          <w:szCs w:val="20"/>
          <w:color w:val="auto"/>
        </w:rPr>
      </w:pPr>
      <w:r>
        <w:rPr>
          <w:rFonts w:ascii="Arial" w:cs="Arial" w:eastAsia="Arial" w:hAnsi="Arial"/>
          <w:sz w:val="20"/>
          <w:szCs w:val="20"/>
          <w:color w:val="auto"/>
        </w:rPr>
        <w:t>Priority is a payments powerhouse driving the convergence of payments and banking. The company has built a single platform to collect, store, and send money that operates at scale. We help our customers take and make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62" w:lineRule="auto"/>
        <w:rPr>
          <w:sz w:val="20"/>
          <w:szCs w:val="20"/>
          <w:color w:val="auto"/>
        </w:rPr>
      </w:pPr>
      <w:r>
        <w:rPr>
          <w:rFonts w:ascii="Arial" w:cs="Arial" w:eastAsia="Arial" w:hAnsi="Arial"/>
          <w:sz w:val="20"/>
          <w:szCs w:val="20"/>
          <w:color w:val="auto"/>
        </w:rPr>
        <w:t xml:space="preserve">payments while managing business and consumer operating accounts to monetize payment networks. Our tailored, agile technology powers high-value, payments products bolstered by our industry-leading personalized support. Additional information can be found at </w:t>
      </w:r>
      <w:r>
        <w:rPr>
          <w:rFonts w:ascii="Arial" w:cs="Arial" w:eastAsia="Arial" w:hAnsi="Arial"/>
          <w:sz w:val="20"/>
          <w:szCs w:val="20"/>
          <w:color w:val="0000FF"/>
        </w:rPr>
        <w:t>www.PRTH.com</w:t>
      </w:r>
      <w:r>
        <w:rPr>
          <w:rFonts w:ascii="Arial" w:cs="Arial" w:eastAsia="Arial" w:hAnsi="Arial"/>
          <w:sz w:val="20"/>
          <w:szCs w:val="20"/>
          <w:color w:val="000000"/>
        </w:rPr>
        <w:t>.</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0A0A0A"/>
        </w:rPr>
        <w:t>Forward-Looking Statements</w:t>
      </w:r>
    </w:p>
    <w:p>
      <w:pPr>
        <w:spacing w:after="0" w:line="343" w:lineRule="exact"/>
        <w:rPr>
          <w:sz w:val="20"/>
          <w:szCs w:val="20"/>
          <w:color w:val="auto"/>
        </w:rPr>
      </w:pPr>
    </w:p>
    <w:p>
      <w:pPr>
        <w:jc w:val="both"/>
        <w:spacing w:after="0" w:line="359"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“anticipates,” “outlook” or words of similar meaning. These forward-looking statements include, but are not limited to, our 2022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These forward-looking statements may include, but are not limited to, statements about the effects of the COVID-19 pandemic on our revenues and financial operating results. Our actual results could differ materially, and potentially adversely, from those discussed or implied herein.</w:t>
      </w:r>
    </w:p>
    <w:p>
      <w:pPr>
        <w:spacing w:after="0" w:line="212" w:lineRule="exact"/>
        <w:rPr>
          <w:sz w:val="20"/>
          <w:szCs w:val="20"/>
          <w:color w:val="auto"/>
        </w:rPr>
      </w:pPr>
    </w:p>
    <w:p>
      <w:pPr>
        <w:jc w:val="both"/>
        <w:spacing w:after="0" w:line="388" w:lineRule="auto"/>
        <w:rPr>
          <w:sz w:val="20"/>
          <w:szCs w:val="20"/>
          <w:color w:val="auto"/>
        </w:rPr>
      </w:pPr>
      <w:r>
        <w:rPr>
          <w:rFonts w:ascii="Arial" w:cs="Arial" w:eastAsia="Arial" w:hAnsi="Arial"/>
          <w:sz w:val="18"/>
          <w:szCs w:val="18"/>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Securities and Exchange Commission (“SEC”) filings, including our Annual Report on Form 10-K and our Quarterly Report on Form 10-Q filed with the SEC on March 16, 2022 and May 11, 2022, respectively. These filings are available online at www.sec.gov or www.PRTH.com.</w:t>
      </w:r>
    </w:p>
    <w:p>
      <w:pPr>
        <w:spacing w:after="0" w:line="190" w:lineRule="exact"/>
        <w:rPr>
          <w:sz w:val="20"/>
          <w:szCs w:val="20"/>
          <w:color w:val="auto"/>
        </w:rPr>
      </w:pPr>
    </w:p>
    <w:p>
      <w:pPr>
        <w:jc w:val="both"/>
        <w:spacing w:after="0" w:line="360" w:lineRule="auto"/>
        <w:rPr>
          <w:sz w:val="20"/>
          <w:szCs w:val="20"/>
          <w:color w:val="auto"/>
        </w:rPr>
      </w:pPr>
      <w:r>
        <w:rPr>
          <w:rFonts w:ascii="Arial" w:cs="Arial" w:eastAsia="Arial" w:hAnsi="Arial"/>
          <w:sz w:val="19"/>
          <w:szCs w:val="19"/>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sectPr>
      <w:pgSz w:w="11900" w:h="16838" w:orient="portrait"/>
      <w:cols w:equalWidth="0" w:num="1">
        <w:col w:w="11240"/>
      </w:cols>
      <w:pgMar w:left="320" w:top="9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2022-05-13T16:57:47Z</dcterms:created>
  <dcterms:modified xsi:type="dcterms:W3CDTF">2022-05-13T16:57:47Z</dcterms:modified>
</cp:coreProperties>
</file>