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4"/>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964"/>
        <w:spacing w:after="0"/>
        <w:rPr>
          <w:sz w:val="20"/>
          <w:szCs w:val="20"/>
          <w:color w:val="auto"/>
        </w:rPr>
      </w:pPr>
      <w:r>
        <w:rPr>
          <w:rFonts w:ascii="Arial" w:cs="Arial" w:eastAsia="Arial" w:hAnsi="Arial"/>
          <w:sz w:val="22"/>
          <w:szCs w:val="22"/>
          <w:b w:val="1"/>
          <w:bCs w:val="1"/>
          <w:color w:val="auto"/>
        </w:rPr>
        <w:t>SECURITIES AND EXCHANGE COMMISSION</w:t>
      </w:r>
    </w:p>
    <w:p>
      <w:pPr>
        <w:ind w:left="4604"/>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4"/>
        <w:spacing w:after="0"/>
        <w:rPr>
          <w:sz w:val="20"/>
          <w:szCs w:val="20"/>
          <w:color w:val="auto"/>
        </w:rPr>
      </w:pPr>
      <w:r>
        <w:rPr>
          <w:rFonts w:ascii="Arial" w:cs="Arial" w:eastAsia="Arial" w:hAnsi="Arial"/>
          <w:sz w:val="18"/>
          <w:szCs w:val="18"/>
          <w:color w:val="auto"/>
        </w:rPr>
        <w:t>_________________</w:t>
      </w:r>
    </w:p>
    <w:p>
      <w:pPr>
        <w:spacing w:after="0" w:line="9" w:lineRule="exact"/>
        <w:rPr>
          <w:sz w:val="24"/>
          <w:szCs w:val="24"/>
          <w:color w:val="auto"/>
        </w:rPr>
      </w:pPr>
    </w:p>
    <w:p>
      <w:pPr>
        <w:jc w:val="center"/>
        <w:ind w:right="-1064"/>
        <w:spacing w:after="0"/>
        <w:rPr>
          <w:sz w:val="20"/>
          <w:szCs w:val="20"/>
          <w:color w:val="auto"/>
        </w:rPr>
      </w:pPr>
      <w:r>
        <w:rPr>
          <w:rFonts w:ascii="Arial" w:cs="Arial" w:eastAsia="Arial" w:hAnsi="Arial"/>
          <w:sz w:val="22"/>
          <w:szCs w:val="22"/>
          <w:b w:val="1"/>
          <w:bCs w:val="1"/>
          <w:color w:val="auto"/>
        </w:rPr>
        <w:t>SCHEDULE 14A</w:t>
      </w:r>
    </w:p>
    <w:p>
      <w:pPr>
        <w:spacing w:after="0" w:line="219" w:lineRule="exact"/>
        <w:rPr>
          <w:sz w:val="24"/>
          <w:szCs w:val="24"/>
          <w:color w:val="auto"/>
        </w:rPr>
      </w:pPr>
    </w:p>
    <w:p>
      <w:pPr>
        <w:jc w:val="center"/>
        <w:ind w:right="-964"/>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964"/>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4784"/>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ind w:left="4084"/>
        <w:spacing w:after="0"/>
        <w:rPr>
          <w:sz w:val="20"/>
          <w:szCs w:val="20"/>
          <w:color w:val="auto"/>
        </w:rPr>
      </w:pPr>
      <w:r>
        <w:rPr>
          <w:rFonts w:ascii="Arial" w:cs="Arial" w:eastAsia="Arial" w:hAnsi="Arial"/>
          <w:sz w:val="16"/>
          <w:szCs w:val="16"/>
          <w:color w:val="auto"/>
        </w:rPr>
        <w:t>Filed by the Registrant X</w:t>
      </w:r>
    </w:p>
    <w:p>
      <w:pPr>
        <w:spacing w:after="0" w:line="154" w:lineRule="exact"/>
        <w:rPr>
          <w:sz w:val="24"/>
          <w:szCs w:val="24"/>
          <w:color w:val="auto"/>
        </w:rPr>
      </w:pPr>
    </w:p>
    <w:p>
      <w:pPr>
        <w:jc w:val="center"/>
        <w:ind w:right="-96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4" w:lineRule="exact"/>
        <w:rPr>
          <w:sz w:val="24"/>
          <w:szCs w:val="24"/>
          <w:color w:val="auto"/>
        </w:rPr>
      </w:pPr>
    </w:p>
    <w:p>
      <w:pPr>
        <w:ind w:left="4584"/>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384" w:hanging="384"/>
        <w:spacing w:after="0"/>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24" w:right="4039" w:hanging="24"/>
        <w:spacing w:after="0" w:line="317" w:lineRule="auto"/>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Confidential, For Use of the Commission Only (as permitted by Rule 14a-6(e)(2)) </w:t>
      </w:r>
      <w:r>
        <w:rPr>
          <w:rFonts w:ascii="Arial" w:cs="Arial" w:eastAsia="Arial" w:hAnsi="Arial"/>
          <w:sz w:val="16"/>
          <w:szCs w:val="16"/>
          <w:color w:val="auto"/>
        </w:rPr>
        <w:t>X Definitive Proxy Statement</w:t>
      </w:r>
    </w:p>
    <w:p>
      <w:pPr>
        <w:spacing w:after="0" w:line="30" w:lineRule="exact"/>
        <w:rPr>
          <w:rFonts w:ascii="MS PGothic" w:cs="MS PGothic" w:eastAsia="MS PGothic" w:hAnsi="MS PGothic"/>
          <w:sz w:val="16"/>
          <w:szCs w:val="16"/>
          <w:color w:val="auto"/>
        </w:rPr>
      </w:pPr>
    </w:p>
    <w:p>
      <w:pPr>
        <w:ind w:left="384" w:hanging="384"/>
        <w:spacing w:after="0"/>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384" w:hanging="384"/>
        <w:spacing w:after="0"/>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329" w:lineRule="exact"/>
        <w:rPr>
          <w:sz w:val="24"/>
          <w:szCs w:val="24"/>
          <w:color w:val="auto"/>
        </w:rPr>
      </w:pPr>
    </w:p>
    <w:p>
      <w:pPr>
        <w:ind w:left="2884"/>
        <w:spacing w:after="0"/>
        <w:rPr>
          <w:sz w:val="20"/>
          <w:szCs w:val="20"/>
          <w:color w:val="auto"/>
        </w:rPr>
      </w:pPr>
      <w:r>
        <w:rPr>
          <w:rFonts w:ascii="Arial" w:cs="Arial" w:eastAsia="Arial" w:hAnsi="Arial"/>
          <w:sz w:val="25"/>
          <w:szCs w:val="25"/>
          <w:b w:val="1"/>
          <w:bCs w:val="1"/>
          <w:u w:val="single" w:color="auto"/>
          <w:color w:val="auto"/>
        </w:rPr>
        <w:t>PRIORITY TECHNOLOGY HOLDINGS, INC.</w:t>
      </w:r>
    </w:p>
    <w:p>
      <w:pPr>
        <w:spacing w:after="0" w:line="35" w:lineRule="exact"/>
        <w:rPr>
          <w:sz w:val="24"/>
          <w:szCs w:val="24"/>
          <w:color w:val="auto"/>
        </w:rPr>
      </w:pPr>
    </w:p>
    <w:p>
      <w:pPr>
        <w:ind w:left="4024" w:hanging="111"/>
        <w:spacing w:after="0"/>
        <w:tabs>
          <w:tab w:leader="none" w:pos="4024" w:val="left"/>
        </w:tabs>
        <w:numPr>
          <w:ilvl w:val="0"/>
          <w:numId w:val="2"/>
        </w:numPr>
        <w:rPr>
          <w:rFonts w:ascii="Arial" w:cs="Arial" w:eastAsia="Arial" w:hAnsi="Arial"/>
          <w:sz w:val="18"/>
          <w:szCs w:val="18"/>
          <w:color w:val="auto"/>
        </w:rPr>
      </w:pPr>
      <w:r>
        <w:rPr>
          <w:rFonts w:ascii="Arial" w:cs="Arial" w:eastAsia="Arial" w:hAnsi="Arial"/>
          <w:sz w:val="16"/>
          <w:szCs w:val="16"/>
          <w:color w:val="auto"/>
        </w:rPr>
        <w:t>Name of Registrant as Specified in Its Charter)</w:t>
      </w:r>
    </w:p>
    <w:p>
      <w:pPr>
        <w:spacing w:after="0" w:line="185" w:lineRule="exact"/>
        <w:rPr>
          <w:sz w:val="24"/>
          <w:szCs w:val="24"/>
          <w:color w:val="auto"/>
        </w:rPr>
      </w:pPr>
    </w:p>
    <w:p>
      <w:pPr>
        <w:ind w:left="2984"/>
        <w:spacing w:after="0"/>
        <w:rPr>
          <w:sz w:val="20"/>
          <w:szCs w:val="20"/>
          <w:color w:val="auto"/>
        </w:rPr>
      </w:pPr>
      <w:r>
        <w:rPr>
          <w:rFonts w:ascii="Arial" w:cs="Arial" w:eastAsia="Arial" w:hAnsi="Arial"/>
          <w:sz w:val="15"/>
          <w:szCs w:val="15"/>
          <w:color w:val="auto"/>
        </w:rPr>
        <w:t>______________________________________________________________</w:t>
      </w:r>
    </w:p>
    <w:p>
      <w:pPr>
        <w:spacing w:after="0" w:line="31" w:lineRule="exact"/>
        <w:rPr>
          <w:sz w:val="24"/>
          <w:szCs w:val="24"/>
          <w:color w:val="auto"/>
        </w:rPr>
      </w:pPr>
    </w:p>
    <w:p>
      <w:pPr>
        <w:jc w:val="center"/>
        <w:ind w:right="-964"/>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21" w:lineRule="exact"/>
        <w:rPr>
          <w:sz w:val="24"/>
          <w:szCs w:val="24"/>
          <w:color w:val="auto"/>
        </w:rPr>
      </w:pPr>
    </w:p>
    <w:p>
      <w:pPr>
        <w:ind w:left="3804"/>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384" w:hanging="368"/>
        <w:spacing w:after="0"/>
        <w:tabs>
          <w:tab w:leader="none" w:pos="384"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289" w:lineRule="exact"/>
        <w:rPr>
          <w:sz w:val="24"/>
          <w:szCs w:val="24"/>
          <w:color w:val="auto"/>
        </w:rPr>
      </w:pPr>
    </w:p>
    <w:p>
      <w:pPr>
        <w:ind w:left="384" w:hanging="384"/>
        <w:spacing w:after="0"/>
        <w:tabs>
          <w:tab w:leader="none" w:pos="38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302" w:lineRule="exact"/>
        <w:rPr>
          <w:rFonts w:ascii="MS PGothic" w:cs="MS PGothic" w:eastAsia="MS PGothic" w:hAnsi="MS PGothic"/>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15"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15" w:lineRule="exact"/>
        <w:rPr>
          <w:rFonts w:ascii="Arial" w:cs="Arial" w:eastAsia="Arial" w:hAnsi="Arial"/>
          <w:sz w:val="16"/>
          <w:szCs w:val="16"/>
          <w:color w:val="auto"/>
        </w:rPr>
      </w:pPr>
    </w:p>
    <w:p>
      <w:pPr>
        <w:ind w:left="844" w:right="1739" w:hanging="378"/>
        <w:spacing w:after="0" w:line="381" w:lineRule="auto"/>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of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02"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384" w:hanging="384"/>
        <w:spacing w:after="0"/>
        <w:tabs>
          <w:tab w:leader="none" w:pos="38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88" w:lineRule="exact"/>
        <w:rPr>
          <w:rFonts w:ascii="MS PGothic" w:cs="MS PGothic" w:eastAsia="MS PGothic" w:hAnsi="MS PGothic"/>
          <w:sz w:val="16"/>
          <w:szCs w:val="16"/>
          <w:color w:val="auto"/>
        </w:rPr>
      </w:pPr>
    </w:p>
    <w:p>
      <w:pPr>
        <w:ind w:left="404" w:right="1899" w:hanging="404"/>
        <w:spacing w:after="0" w:line="366" w:lineRule="auto"/>
        <w:tabs>
          <w:tab w:leader="none" w:pos="39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rFonts w:ascii="MS PGothic" w:cs="MS PGothic" w:eastAsia="MS PGothic" w:hAnsi="MS PGothic"/>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15"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844" w:hanging="378"/>
        <w:spacing w:after="0"/>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518795</wp:posOffset>
            </wp:positionH>
            <wp:positionV relativeFrom="paragraph">
              <wp:posOffset>189230</wp:posOffset>
            </wp:positionV>
            <wp:extent cx="6515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-135890</wp:posOffset>
            </wp:positionV>
            <wp:extent cx="6515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-478790</wp:posOffset>
            </wp:positionV>
            <wp:extent cx="6515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-804545</wp:posOffset>
            </wp:positionV>
            <wp:extent cx="6515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-2210435</wp:posOffset>
            </wp:positionV>
            <wp:extent cx="6515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-2553335</wp:posOffset>
            </wp:positionV>
            <wp:extent cx="6515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-2861945</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-3350260</wp:posOffset>
            </wp:positionV>
            <wp:extent cx="6515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-3667760</wp:posOffset>
            </wp:positionV>
            <wp:extent cx="6515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532130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3"/>
          </w:cols>
          <w:pgMar w:left="456" w:top="23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774700</wp:posOffset>
            </wp:positionV>
            <wp:extent cx="1825625"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PROXY STATEMENT AND NOTICE OF</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2020 ANNUAL MEETING OF STOCKHOLDERS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Wednesday, June 17, 2020</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9:00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 Date and Meeting Method Subject to Change Due to the COVID-19 Pandemic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911860</wp:posOffset>
            </wp:positionV>
            <wp:extent cx="182562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and officers of Priority Technology Holdings Inc. join me in extending to you a cordial invitation to attend our 2020 Annual Meeting of Stockholders. The meeting will be held on Wednesday, June 17, 2020, at 9:00 a.m. Eastern Daylight Time.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 coronavirus, or COVID-19, outbreak, for the safety of all of our stakeholders, and taking into account recent federal, state and local guidance that has been issued, we have determined that the Annual Meeting will be held in a virtual meeting format only, via the Internet, with no physical in-person meeting. Stockholders will be able to attend, vote and submit questions (both before, and for a portion of, the meeting) from any location via the Internet at www.virtualshareholdermeeting.com/PRTH2020. If you plan to participate in the virtual meeting, please see “Proxy Statement Q&amp;A.”</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annual meeting, stockholders will be asked to vote on two proposals set forth in the Notice of 2020 Annual Meeting of Stockholders and the proxy statement following this letter.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have any questions concerning the annual meeting and you are the stockholder of record of your shares of stock, please contact our Investor Relations representative at ckettmann@lincolnchurchilladvisors.com or (773) 497-7575. If your shares of stock are held by a broker or other nominee (that is, in ''street name''), please contact your broker or other nominee for questions concerning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speaking with you on June 17th.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C. Priore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226060</wp:posOffset>
            </wp:positionV>
            <wp:extent cx="182562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2001 Westside Parkway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Alpharetta, GA 30004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2020 ANNUAL MEETING OF STOCKHOLDERS</w:t>
      </w: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2020 Annual Meeting of Stockholders (the "Annual Meeting") of Priority Technology Holdings, Inc. (the "Company") will be held at 9:00 a.m. EDT on June 17, 2020. Our Annual Meeting can be accessed virtually via the Internet at: www.virtualshareholdermeeting.com/PRTH2020.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stockholders will be asked to vote on the following proposals: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of directors and named in the proxy statement.</w:t>
      </w:r>
    </w:p>
    <w:p>
      <w:pPr>
        <w:spacing w:after="0" w:line="23" w:lineRule="exact"/>
        <w:rPr>
          <w:rFonts w:ascii="Arial" w:cs="Arial" w:eastAsia="Arial" w:hAnsi="Arial"/>
          <w:sz w:val="18"/>
          <w:szCs w:val="18"/>
          <w:color w:val="auto"/>
        </w:rPr>
      </w:pPr>
    </w:p>
    <w:p>
      <w:pPr>
        <w:ind w:left="660" w:right="38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reappointment of RSM US LLP (or "RSM") as the Company's independent registered public accounting firm for the year ending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proposals listed above.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may also transact any other business that may properly come before the Annual Meeting or any adjournments or postponements thereof.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Close of business on April 13, 2020.</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or about May 5, 2020, we intend to mail this proxy statement and accompanying proxy card and our Annual Report (as defined herein) to stockholders of record as of April 13, 2020. Only stockholders of record at the close of business on April 13, 2020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light of the current COVID-19 pandemic, we will monitor the need to change the time or date of our 2020 Annual Meeting of Stockholders, as permitted by guidance issued from the U.S. Securities and Exchange Commission ("SEC") and NASDAQ.</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Bradley J. Miller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Bradley J. Miller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General Counsel, Chief Risk Officer, and Corporate Secretary</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Alpharetta, Georgia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April 29,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MATERIALS FOR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our Annual Report are available via the Internet at </w:t>
      </w:r>
      <w:r>
        <w:rPr>
          <w:rFonts w:ascii="Arial" w:cs="Arial" w:eastAsia="Arial" w:hAnsi="Arial"/>
          <w:sz w:val="18"/>
          <w:szCs w:val="18"/>
          <w:b w:val="1"/>
          <w:bCs w:val="1"/>
          <w:color w:val="auto"/>
        </w:rPr>
        <w:t>http://materials.proxyvote.com/74275G</w:t>
      </w:r>
      <w:r>
        <w:rPr>
          <w:rFonts w:ascii="Arial" w:cs="Arial" w:eastAsia="Arial" w:hAnsi="Arial"/>
          <w:sz w:val="18"/>
          <w:szCs w:val="18"/>
          <w:color w:val="auto"/>
        </w:rPr>
        <w:t xml:space="preserve">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auto"/>
        </w:rPr>
        <w:t>Proxy Statement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0" w:type="dxa"/>
            <w:vAlign w:val="bottom"/>
          </w:tcPr>
          <w:p>
            <w:pPr>
              <w:spacing w:after="0"/>
              <w:rPr>
                <w:sz w:val="22"/>
                <w:szCs w:val="22"/>
                <w:color w:val="auto"/>
              </w:rPr>
            </w:pPr>
          </w:p>
        </w:tc>
        <w:tc>
          <w:tcPr>
            <w:tcW w:w="864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Page</w:t>
            </w:r>
          </w:p>
        </w:tc>
        <w:tc>
          <w:tcPr>
            <w:tcW w:w="520" w:type="dxa"/>
            <w:vAlign w:val="bottom"/>
          </w:tcPr>
          <w:p>
            <w:pPr>
              <w:spacing w:after="0"/>
              <w:rPr>
                <w:sz w:val="22"/>
                <w:szCs w:val="22"/>
                <w:color w:val="auto"/>
              </w:rPr>
            </w:pPr>
          </w:p>
        </w:tc>
      </w:tr>
      <w:tr>
        <w:trPr>
          <w:trHeight w:val="216"/>
        </w:trPr>
        <w:tc>
          <w:tcPr>
            <w:tcW w:w="5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Information about the Proxy Materials and the Annual Meeting</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Executive Officers and Board of Directors</w:t>
            </w:r>
          </w:p>
        </w:tc>
        <w:tc>
          <w:tcPr>
            <w:tcW w:w="154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5</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Governance</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Report of the Audit Committee</w:t>
            </w:r>
          </w:p>
        </w:tc>
        <w:tc>
          <w:tcPr>
            <w:tcW w:w="154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Delinquent Section 16(a) Reports</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Compensation of Executive Officers</w:t>
            </w:r>
          </w:p>
        </w:tc>
        <w:tc>
          <w:tcPr>
            <w:tcW w:w="15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of Directors</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Outstanding Equity Awards at 2019 Year End</w:t>
            </w:r>
          </w:p>
        </w:tc>
        <w:tc>
          <w:tcPr>
            <w:tcW w:w="15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Ownership of Certain Beneficial Owners, Directors, and Executive Officers</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21</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154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Proposal Number One - Election of Directors</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Proposal Number Two - Ratification of Independent Registered Public Accounting Firm</w:t>
            </w:r>
          </w:p>
        </w:tc>
        <w:tc>
          <w:tcPr>
            <w:tcW w:w="154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24</w:t>
              </w:r>
            </w:hyperlink>
          </w:p>
        </w:tc>
        <w:tc>
          <w:tcPr>
            <w:tcW w:w="5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Matters</w:t>
            </w:r>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c>
          <w:tcPr>
            <w:tcW w:w="52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Proxy Card</w:t>
            </w:r>
          </w:p>
        </w:tc>
        <w:tc>
          <w:tcPr>
            <w:tcW w:w="154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26</w:t>
              </w:r>
            </w:hyperlink>
          </w:p>
        </w:tc>
        <w:tc>
          <w:tcPr>
            <w:tcW w:w="520" w:type="dxa"/>
            <w:vAlign w:val="bottom"/>
          </w:tcPr>
          <w:p>
            <w:pPr>
              <w:spacing w:after="0"/>
              <w:rPr>
                <w:sz w:val="21"/>
                <w:szCs w:val="21"/>
                <w:color w:val="auto"/>
              </w:rPr>
            </w:pPr>
          </w:p>
        </w:tc>
      </w:tr>
      <w:tr>
        <w:trPr>
          <w:trHeight w:val="2707"/>
        </w:trPr>
        <w:tc>
          <w:tcPr>
            <w:tcW w:w="54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151765</wp:posOffset>
            </wp:positionV>
            <wp:extent cx="1825625"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this proxy statement?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(the "Board") of Priority Technology Holdings, Inc. ("we," "us," "our," "Priority," "PRTH," or the "Company") is soliciting proxies for our 2020 Annual Meeting of Stockholders on June 17, 2020 (the "Annual Meeting"). This proxy statement and accompanying proxy card are being mailed on or about May 5, 2020 to stockholders of record as of April 13, 2020, the record date (the "Record Date") for the Annual Meeting.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for the Company's stockholders to vote on the following proposals: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and named in the proxy statement.</w:t>
      </w:r>
    </w:p>
    <w:p>
      <w:pPr>
        <w:spacing w:after="0" w:line="23" w:lineRule="exact"/>
        <w:rPr>
          <w:rFonts w:ascii="Arial" w:cs="Arial" w:eastAsia="Arial" w:hAnsi="Arial"/>
          <w:sz w:val="18"/>
          <w:szCs w:val="18"/>
          <w:color w:val="auto"/>
        </w:rPr>
      </w:pPr>
    </w:p>
    <w:p>
      <w:pPr>
        <w:ind w:left="660" w:right="38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reappointment of RSM US LLP (or "RSM") as the Company's independent registered public accounting firm for the year ending December 31, 2020.</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Who is asking for my vote and approximately how much will these solicitation activities cost?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soliciting your proxy on behalf of the Board. Solicitation of proxies is being made by the Company through the mail, in person and by telecommunications. The cost of this solicitation will be borne by the Company. In addition, management has retained Broadridge Financial Solutions, Inc. to assist in soliciting proxies for a fee of approximately $7,000, plus reasonable out-of-pocket expenses.</w:t>
      </w: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Who can attend the Annual Meeting?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67,512,167 shares of common stock issued and 67,060,943 outstanding.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Stockholders as of the record date may attend and vote virtually at the Annual Meeting by logging in at www.virtualshareholdermeeting.com/PRTH2020.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my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Ask Questions At The Virtual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as of our record date who attend and participate in our virtual Annual Meeting at www.virtualshareholdermeeting.com/PRTH2020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difference between holding shares of common stock as a stockholder of record and as a beneficial owner "in street name"?</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Two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3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election of the director nominees (Proposal Number One), stockholders may:</w:t>
      </w:r>
    </w:p>
    <w:p>
      <w:pPr>
        <w:spacing w:after="0" w:line="225"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for any of the nominees;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against any of the nominees; or</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abstain from voting on any of the nominees.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3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ratification of the appointment of RSM as the Company's independent registered public accounting firm for the year ending December 31, 2020, and what vote is needed to approve this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ratification of RSM (Proposal Number Two), stockholders may:</w:t>
      </w:r>
    </w:p>
    <w:p>
      <w:pPr>
        <w:spacing w:after="0" w:line="22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to ratify RSM's appointment;</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against ratifying RSM's appointment; 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abstain from voting on ratifying RSM's appointment.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w:t>
      </w:r>
    </w:p>
    <w:p>
      <w:pPr>
        <w:spacing w:after="0" w:line="221" w:lineRule="exact"/>
        <w:rPr>
          <w:sz w:val="20"/>
          <w:szCs w:val="20"/>
          <w:color w:val="auto"/>
        </w:rPr>
      </w:pPr>
    </w:p>
    <w:p>
      <w:pPr>
        <w:ind w:right="5600"/>
        <w:spacing w:after="0" w:line="34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six nominated directors (Proposal Number One); and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 ratification of the appointment of RSM (Proposal Number Two).</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 vote in one of four ways.</w:t>
      </w:r>
    </w:p>
    <w:p>
      <w:pPr>
        <w:spacing w:after="0" w:line="225" w:lineRule="exact"/>
        <w:rPr>
          <w:sz w:val="20"/>
          <w:szCs w:val="20"/>
          <w:color w:val="auto"/>
        </w:rPr>
      </w:pPr>
    </w:p>
    <w:p>
      <w:pPr>
        <w:ind w:left="660" w:right="3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you may vote over the Internet by completing the voting instructions form found at www.proxyvote.com. You will need your proxy card when voting over the Internet.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you may vote by touch-tone telephone by calling 1-800-690-6903.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you may vote by mail by signing, dating, and mailing your proxy card in the enclosed envelope.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Fourth, you may vote in person at the virtual Annual Meeting.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Even after you have submitted your proxy card, you may change or revoke your vote at any time before your proxy votes your shares of stock by submitting written notice of revocation to Mr. Miller, the Company's General Counsel, Chief Risk Officer, and Corporate Secretary, at the Company's address set forth in the 2020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hold your shares of stock through a broker or other custodian and would like to change your voting instructions, please review the directions provided to you by that broker or custodian.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vote confidentially?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Bradley J. Miller, our General Counsel, Chief Risk Officer, and Corporate Secretary, will count the votes and act as the inspector of election for the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in our current report on Form 8-K within four business days after the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 of the Annual Meeting materials?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Securities and Exchange Commission (the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2020 Notice of Annual Meeting or by calling us at (404) 952-2192.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obtain a copy of the Company's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copy of our 2019 Annual Report on Form 10-K (the "Annual Report") accompanies this proxy statement and is also available at www.prth.com.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Stockholders may also obtain a free copy of our Annual Report by sending a request in writing to Mr. Miller at the Company's address set forth in the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or by calling us at (404) 952-2192.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help answer my questions?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you have any questions about the Annual Meeting or how to submit or revoke your proxy, or to request an invitation to the Annual Meeting, contact Mr. Miller at the Company's address set forth in the 2020 Notice of Annual Meeting or by calling us at (404) 952-2192.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executive officers and directors, as of the date of this proxy statement:</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264"/>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Age</w:t>
            </w:r>
          </w:p>
        </w:tc>
        <w:tc>
          <w:tcPr>
            <w:tcW w:w="59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Thomas Priore</w:t>
            </w:r>
          </w:p>
        </w:tc>
        <w:tc>
          <w:tcPr>
            <w:tcW w:w="1200" w:type="dxa"/>
            <w:vAlign w:val="bottom"/>
          </w:tcPr>
          <w:p>
            <w:pPr>
              <w:ind w:left="640"/>
              <w:spacing w:after="0"/>
              <w:rPr>
                <w:sz w:val="20"/>
                <w:szCs w:val="20"/>
                <w:color w:val="auto"/>
              </w:rPr>
            </w:pPr>
            <w:r>
              <w:rPr>
                <w:rFonts w:ascii="Arial" w:cs="Arial" w:eastAsia="Arial" w:hAnsi="Arial"/>
                <w:sz w:val="18"/>
                <w:szCs w:val="18"/>
                <w:color w:val="auto"/>
              </w:rPr>
              <w:t>51</w:t>
            </w:r>
          </w:p>
        </w:tc>
        <w:tc>
          <w:tcPr>
            <w:tcW w:w="5980" w:type="dxa"/>
            <w:vAlign w:val="bottom"/>
          </w:tcPr>
          <w:p>
            <w:pPr>
              <w:ind w:left="240"/>
              <w:spacing w:after="0"/>
              <w:rPr>
                <w:sz w:val="20"/>
                <w:szCs w:val="20"/>
                <w:color w:val="auto"/>
              </w:rPr>
            </w:pPr>
            <w:r>
              <w:rPr>
                <w:rFonts w:ascii="Arial" w:cs="Arial" w:eastAsia="Arial" w:hAnsi="Arial"/>
                <w:sz w:val="18"/>
                <w:szCs w:val="18"/>
                <w:color w:val="auto"/>
              </w:rPr>
              <w:t>President, Chief Executive Officer and Chairman</w:t>
            </w: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Priore</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56</w:t>
            </w:r>
          </w:p>
        </w:tc>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Vice-Chairman</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Michael Vollkommer</w:t>
            </w:r>
          </w:p>
        </w:tc>
        <w:tc>
          <w:tcPr>
            <w:tcW w:w="1200" w:type="dxa"/>
            <w:vAlign w:val="bottom"/>
          </w:tcPr>
          <w:p>
            <w:pPr>
              <w:ind w:left="640"/>
              <w:spacing w:after="0"/>
              <w:rPr>
                <w:sz w:val="20"/>
                <w:szCs w:val="20"/>
                <w:color w:val="auto"/>
              </w:rPr>
            </w:pPr>
            <w:r>
              <w:rPr>
                <w:rFonts w:ascii="Arial" w:cs="Arial" w:eastAsia="Arial" w:hAnsi="Arial"/>
                <w:sz w:val="18"/>
                <w:szCs w:val="18"/>
                <w:color w:val="auto"/>
              </w:rPr>
              <w:t>61</w:t>
            </w:r>
          </w:p>
        </w:tc>
        <w:tc>
          <w:tcPr>
            <w:tcW w:w="598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Sean Kiewiet</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48</w:t>
            </w:r>
          </w:p>
        </w:tc>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Chief Technology Officer</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Cindy O'Neill</w:t>
            </w:r>
          </w:p>
        </w:tc>
        <w:tc>
          <w:tcPr>
            <w:tcW w:w="1200" w:type="dxa"/>
            <w:vAlign w:val="bottom"/>
          </w:tcPr>
          <w:p>
            <w:pPr>
              <w:ind w:left="640"/>
              <w:spacing w:after="0"/>
              <w:rPr>
                <w:sz w:val="20"/>
                <w:szCs w:val="20"/>
                <w:color w:val="auto"/>
              </w:rPr>
            </w:pPr>
            <w:r>
              <w:rPr>
                <w:rFonts w:ascii="Arial" w:cs="Arial" w:eastAsia="Arial" w:hAnsi="Arial"/>
                <w:sz w:val="18"/>
                <w:szCs w:val="18"/>
                <w:color w:val="auto"/>
              </w:rPr>
              <w:t>52</w:t>
            </w:r>
          </w:p>
        </w:tc>
        <w:tc>
          <w:tcPr>
            <w:tcW w:w="5980" w:type="dxa"/>
            <w:vAlign w:val="bottom"/>
          </w:tcPr>
          <w:p>
            <w:pPr>
              <w:ind w:left="240"/>
              <w:spacing w:after="0"/>
              <w:rPr>
                <w:sz w:val="20"/>
                <w:szCs w:val="20"/>
                <w:color w:val="auto"/>
              </w:rPr>
            </w:pPr>
            <w:r>
              <w:rPr>
                <w:rFonts w:ascii="Arial" w:cs="Arial" w:eastAsia="Arial" w:hAnsi="Arial"/>
                <w:sz w:val="18"/>
                <w:szCs w:val="18"/>
                <w:color w:val="auto"/>
              </w:rPr>
              <w:t>President of Commercial Payments</w:t>
            </w: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Bradley J. Miller</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49</w:t>
            </w:r>
          </w:p>
        </w:tc>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Counsel, Chief Risk Officer, and Corporate Secretary</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William Gahan</w:t>
            </w:r>
          </w:p>
        </w:tc>
        <w:tc>
          <w:tcPr>
            <w:tcW w:w="1200" w:type="dxa"/>
            <w:vAlign w:val="bottom"/>
          </w:tcPr>
          <w:p>
            <w:pPr>
              <w:ind w:left="640"/>
              <w:spacing w:after="0"/>
              <w:rPr>
                <w:sz w:val="20"/>
                <w:szCs w:val="20"/>
                <w:color w:val="auto"/>
              </w:rPr>
            </w:pPr>
            <w:r>
              <w:rPr>
                <w:rFonts w:ascii="Arial" w:cs="Arial" w:eastAsia="Arial" w:hAnsi="Arial"/>
                <w:sz w:val="18"/>
                <w:szCs w:val="18"/>
                <w:color w:val="auto"/>
              </w:rPr>
              <w:t>54</w:t>
            </w:r>
          </w:p>
        </w:tc>
        <w:tc>
          <w:tcPr>
            <w:tcW w:w="5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Kearney</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59</w:t>
            </w:r>
          </w:p>
        </w:tc>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Michael K. Passilla</w:t>
            </w:r>
          </w:p>
        </w:tc>
        <w:tc>
          <w:tcPr>
            <w:tcW w:w="1200" w:type="dxa"/>
            <w:vAlign w:val="bottom"/>
          </w:tcPr>
          <w:p>
            <w:pPr>
              <w:ind w:left="640"/>
              <w:spacing w:after="0"/>
              <w:rPr>
                <w:sz w:val="20"/>
                <w:szCs w:val="20"/>
                <w:color w:val="auto"/>
              </w:rPr>
            </w:pPr>
            <w:r>
              <w:rPr>
                <w:rFonts w:ascii="Arial" w:cs="Arial" w:eastAsia="Arial" w:hAnsi="Arial"/>
                <w:sz w:val="18"/>
                <w:szCs w:val="18"/>
                <w:color w:val="auto"/>
              </w:rPr>
              <w:t>53</w:t>
            </w:r>
          </w:p>
        </w:tc>
        <w:tc>
          <w:tcPr>
            <w:tcW w:w="5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Christina M. Favilla</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53</w:t>
            </w:r>
          </w:p>
        </w:tc>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7"/>
        </w:trPr>
        <w:tc>
          <w:tcPr>
            <w:tcW w:w="2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President, Chief Executive Officer and Chairman since December 2018 and as Executive Chairman and founding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from August 2005 through November 2018.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Vice-Chairman of Priority since December 2018. Prior to that, John Priore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Michael Vollkommer </w:t>
      </w:r>
      <w:r>
        <w:rPr>
          <w:rFonts w:ascii="Arial" w:cs="Arial" w:eastAsia="Arial" w:hAnsi="Arial"/>
          <w:sz w:val="16"/>
          <w:szCs w:val="16"/>
          <w:color w:val="auto"/>
        </w:rPr>
        <w:t>has served as Chief Financial Officer of Priority since December 2018. Mr. Vollkommer is a CPA who has over 30 years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has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Officer of Priority since August 2005.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Cindy O'Neill </w:t>
      </w:r>
      <w:r>
        <w:rPr>
          <w:rFonts w:ascii="Arial" w:cs="Arial" w:eastAsia="Arial" w:hAnsi="Arial"/>
          <w:sz w:val="17"/>
          <w:szCs w:val="17"/>
          <w:color w:val="auto"/>
        </w:rPr>
        <w:t>has served as Priority's President of Commercial Payments since March 2017. From July 2016 to March 2017, Ms. O'Neill worked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Ms. O'Neill served as Managing Director, Group Head of Cash Management Product, at Bank of the West. From June 2010 to February 2015, Ms. O'Neill served as the Head of Global Product Management and Region Head of U.S. Commercial Business at Visa. Prior to assuming those positions, Ms. O'Neill spent 17 years in treasury management, holding leadership positions at Wells Fargo (February 2007 to June 2010) and Bank of America (October 1994 to February 2007).</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Bradley J. Miller </w:t>
      </w:r>
      <w:r>
        <w:rPr>
          <w:rFonts w:ascii="Arial" w:cs="Arial" w:eastAsia="Arial" w:hAnsi="Arial"/>
          <w:sz w:val="18"/>
          <w:szCs w:val="18"/>
          <w:color w:val="222222"/>
        </w:rPr>
        <w:t>Bradley J. Miller has served as Priority’s General Counsel and Chief Risk Officer since February 2020. Mr. Miller has over 25 years of</w:t>
      </w:r>
      <w:r>
        <w:rPr>
          <w:rFonts w:ascii="Arial" w:cs="Arial" w:eastAsia="Arial" w:hAnsi="Arial"/>
          <w:sz w:val="18"/>
          <w:szCs w:val="18"/>
          <w:b w:val="1"/>
          <w:bCs w:val="1"/>
          <w:color w:val="auto"/>
        </w:rPr>
        <w:t xml:space="preserve"> </w:t>
      </w:r>
      <w:r>
        <w:rPr>
          <w:rFonts w:ascii="Arial" w:cs="Arial" w:eastAsia="Arial" w:hAnsi="Arial"/>
          <w:sz w:val="18"/>
          <w:szCs w:val="18"/>
          <w:color w:val="222222"/>
        </w:rPr>
        <w:t>legal and financial industry experience having served as EVP &amp; General Counsel of United Community Banks, Inc. (UCBI), a $13 billion regional community bank, for over 12 years. Mr. Miller also served as Chief Risk Officer of UCBI for over five years while continuing to serve 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William Gahan </w:t>
      </w:r>
      <w:r>
        <w:rPr>
          <w:rFonts w:ascii="Arial" w:cs="Arial" w:eastAsia="Arial" w:hAnsi="Arial"/>
          <w:sz w:val="16"/>
          <w:szCs w:val="16"/>
          <w:color w:val="auto"/>
        </w:rPr>
        <w:t>has served as a director of Priority since July 25, 2018. Mr. Gahan is a risk management specialist focused on institutional fixed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asset management and debt capital markets. Most recently, from 2011 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Matthew Kearney </w:t>
      </w:r>
      <w:r>
        <w:rPr>
          <w:rFonts w:ascii="Arial" w:cs="Arial" w:eastAsia="Arial" w:hAnsi="Arial"/>
          <w:sz w:val="16"/>
          <w:szCs w:val="16"/>
          <w:color w:val="auto"/>
        </w:rPr>
        <w:t>has served as a director of Priority since July 25, 2018. Mr. Kearney has been an Operating Partner at Rockbridge Growth Equity, LLC</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2015. Mr. Kearney is responsible for driving a range of 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Acquisitions, Inc. Mr. Kearney previously served as CEO of Screenvision, a cinema advertising and media distribution company. Mr. Kearney holds a B.S. degree in Aeronautical Engineering from the University of Manchester and an MBA from London Business School.</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Michael K. Passilla </w:t>
      </w:r>
      <w:r>
        <w:rPr>
          <w:rFonts w:ascii="Arial" w:cs="Arial" w:eastAsia="Arial" w:hAnsi="Arial"/>
          <w:sz w:val="18"/>
          <w:szCs w:val="18"/>
          <w:color w:val="auto"/>
        </w:rPr>
        <w:t>has served as a director of Priority since June 4, 2019. Mr. Passilla served as Vice Chairman for JP Morgan Chase &amp; Company from</w:t>
      </w:r>
      <w:r>
        <w:rPr>
          <w:rFonts w:ascii="Arial" w:cs="Arial" w:eastAsia="Arial" w:hAnsi="Arial"/>
          <w:sz w:val="18"/>
          <w:szCs w:val="18"/>
          <w:b w:val="1"/>
          <w:bCs w:val="1"/>
          <w:color w:val="auto"/>
        </w:rPr>
        <w:t xml:space="preserve"> </w:t>
      </w:r>
      <w:r>
        <w:rPr>
          <w:rFonts w:ascii="Arial" w:cs="Arial" w:eastAsia="Arial" w:hAnsi="Arial"/>
          <w:sz w:val="18"/>
          <w:szCs w:val="18"/>
          <w:color w:val="auto"/>
        </w:rPr>
        <w:t>July 2016 until his retirement in June 2018, after serving as Chief Executive Officer of Chase Merchant Services from May 2013 to June 2016. He previously served as Chief Executive Officer of Evalon - US Bank, Inc. from August 2010 to April 2013, after serving as Executive Vice President of Global Business Development since August 2007. Mr. Passilla received a Bachelor of Business Administration from the University of Notre Dame in 1989 and an MBA from Northwestern University in 1995.</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Christina M. Favilla </w:t>
      </w:r>
      <w:r>
        <w:rPr>
          <w:rFonts w:ascii="Arial" w:cs="Arial" w:eastAsia="Arial" w:hAnsi="Arial"/>
          <w:sz w:val="18"/>
          <w:szCs w:val="18"/>
          <w:color w:val="auto"/>
        </w:rPr>
        <w:t>has served as a director of Priority since October 23, 2019. Ms. Favilla served as Chief Operating Officer of Sterling National Bank</w:t>
      </w:r>
      <w:r>
        <w:rPr>
          <w:rFonts w:ascii="Arial" w:cs="Arial" w:eastAsia="Arial" w:hAnsi="Arial"/>
          <w:sz w:val="18"/>
          <w:szCs w:val="18"/>
          <w:b w:val="1"/>
          <w:bCs w:val="1"/>
          <w:color w:val="auto"/>
        </w:rPr>
        <w:t xml:space="preserve"> </w:t>
      </w:r>
      <w:r>
        <w:rPr>
          <w:rFonts w:ascii="Arial" w:cs="Arial" w:eastAsia="Arial" w:hAnsi="Arial"/>
          <w:sz w:val="18"/>
          <w:szCs w:val="18"/>
          <w:color w:val="auto"/>
        </w:rPr>
        <w:t>from July 2017 until December 2018. She 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our Vice-Chairman, are brothers.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above, to our knowledge, during the past ten years, none of our directors, executive officers, promoters, control persons, or nominees has been:</w:t>
      </w:r>
    </w:p>
    <w:p>
      <w:pPr>
        <w:spacing w:after="0" w:line="170" w:lineRule="exact"/>
        <w:rPr>
          <w:sz w:val="20"/>
          <w:szCs w:val="20"/>
          <w:color w:val="auto"/>
        </w:rPr>
      </w:pPr>
    </w:p>
    <w:p>
      <w:pPr>
        <w:ind w:firstLine="221"/>
        <w:spacing w:after="0" w:line="277" w:lineRule="auto"/>
        <w:tabs>
          <w:tab w:leader="none" w:pos="48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70" w:lineRule="exact"/>
        <w:rPr>
          <w:rFonts w:ascii="Arial" w:cs="Arial" w:eastAsia="Arial" w:hAnsi="Arial"/>
          <w:sz w:val="18"/>
          <w:szCs w:val="18"/>
          <w:color w:val="auto"/>
        </w:rPr>
      </w:pPr>
    </w:p>
    <w:p>
      <w:pPr>
        <w:ind w:left="440" w:hanging="25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convicted in a criminal proceeding or is subject to a pending criminal proceeding (excluding traffic violations and other minor offenses);</w:t>
      </w:r>
    </w:p>
    <w:p>
      <w:pPr>
        <w:spacing w:after="0" w:line="225" w:lineRule="exact"/>
        <w:rPr>
          <w:rFonts w:ascii="Arial" w:cs="Arial" w:eastAsia="Arial" w:hAnsi="Arial"/>
          <w:sz w:val="18"/>
          <w:szCs w:val="18"/>
          <w:color w:val="auto"/>
        </w:rPr>
      </w:pPr>
    </w:p>
    <w:p>
      <w:pPr>
        <w:jc w:val="both"/>
        <w:ind w:firstLine="213"/>
        <w:spacing w:after="0" w:line="263" w:lineRule="auto"/>
        <w:tabs>
          <w:tab w:leader="none" w:pos="4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83" w:lineRule="exact"/>
        <w:rPr>
          <w:rFonts w:ascii="Arial" w:cs="Arial" w:eastAsia="Arial" w:hAnsi="Arial"/>
          <w:sz w:val="18"/>
          <w:szCs w:val="18"/>
          <w:color w:val="auto"/>
        </w:rPr>
      </w:pPr>
    </w:p>
    <w:p>
      <w:pPr>
        <w:ind w:firstLine="217"/>
        <w:spacing w:after="0" w:line="277" w:lineRule="auto"/>
        <w:tabs>
          <w:tab w:leader="none" w:pos="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found by a court of competent jurisdiction (in a civil action), the SEC or the Commodity Futures Trading Commission to have violated a federal or state securities or commodities law;</w:t>
      </w:r>
    </w:p>
    <w:p>
      <w:pPr>
        <w:spacing w:after="0" w:line="170" w:lineRule="exact"/>
        <w:rPr>
          <w:rFonts w:ascii="Arial" w:cs="Arial" w:eastAsia="Arial" w:hAnsi="Arial"/>
          <w:sz w:val="18"/>
          <w:szCs w:val="18"/>
          <w:color w:val="auto"/>
        </w:rPr>
      </w:pPr>
    </w:p>
    <w:p>
      <w:pPr>
        <w:jc w:val="both"/>
        <w:ind w:firstLine="206"/>
        <w:spacing w:after="0" w:line="257" w:lineRule="auto"/>
        <w:tabs>
          <w:tab w:leader="none" w:pos="45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187" w:lineRule="exact"/>
        <w:rPr>
          <w:rFonts w:ascii="Arial" w:cs="Arial" w:eastAsia="Arial" w:hAnsi="Arial"/>
          <w:sz w:val="18"/>
          <w:szCs w:val="18"/>
          <w:color w:val="auto"/>
        </w:rPr>
      </w:pPr>
    </w:p>
    <w:p>
      <w:pPr>
        <w:jc w:val="both"/>
        <w:ind w:firstLine="197"/>
        <w:spacing w:after="0" w:line="259" w:lineRule="auto"/>
        <w:tabs>
          <w:tab w:leader="none" w:pos="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www.prth.com.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Thomas Priore continues to control a majority of the voting power of our outstanding common stock. As a result, we are a "controlled company" within the meaning of the corporate governance standards of the Nasdaq Stock Market LLC ("NASDAQ"). Under these rules, a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we have a Nominating and Governance Committee that is composed entirely of independent directors with a written charter addressing the Committee purpose and responsibilities; and</w:t>
      </w: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and intend to continue to utilize these exemptions. As a result, while we do currently have a majority of independent directors,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 In the event that we cease to be a "controlled company" and our shares continue to be listed on the Nasdaq Global Market, we will be required to comply with these provisions within the applicable transition periods.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 our securities trading policy, all covered persons, including all executive officers and directors, are prohibited from purchasing Company securities on margin or pledging Company securities as collateral. We granted an exception to Thomas Priore, our President, Chief Executive Officer and Chairman, allowing him to pledge 47,732,899 shares of our common stock held by him and in beneficial interest to him pursuant to a letter of credit. In the event of a default under the letter of credit, the secured parties may foreclose upon any and all shares of common stock pledged to them. As of the Record Date, borrowings of $1,801,611 were outstanding under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our common stock being listed on the Nasdaq Global Market,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Messrs. Gahan, Kearney, Passilla and Ms. Favilla are independent directors. Our independent directors have regularly scheduled meetings at which only independent directors are present.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provide that persons to be nominated:</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should have the highest ethical standards, a strong sense of professionalism and intense dedication to serving the interest of stockholders.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J. Miller, the Company's General Counsel, Chief Risk Officer, and Corporate Secretary, at the Company's address set forth in the 2020 Notice of Annual Meeting. The Nominating and Governance Committee does not distinguish among nominees recommended by stockholders and other persons.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and Interested Party Communications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met three times during 2019. Also during 2019, the Audit Committee met six times, the Nominating and Governance Committee met two times, and the Compensation Committee met once. All of our then directors attended all of the Board meetings during 2019 and all of our then members of the Audit Committee, the Nominating and Governance Committee, and the Compensation Committee attended all of the respective committee meetings during 2019.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Attendance at Annual Meetings of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non-management directors are held regularly throughout the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has the following standing committees: Audit Committee, Compensation Committee, and Nominating and Governance Committee. The charters for each committee are available in the investor relations section of our website at www.prth.com or in print by contacting Mr. Miller at the Company's address. The Board may also establish other committees to assist in the discharge of its responsibilities.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committee members and committee chairperson (as indicated by a "C") as of the date of this proxy statement:</w:t>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Nominating and</w:t>
            </w:r>
          </w:p>
        </w:tc>
      </w:tr>
      <w:tr>
        <w:trPr>
          <w:trHeight w:val="261"/>
        </w:trPr>
        <w:tc>
          <w:tcPr>
            <w:tcW w:w="40" w:type="dxa"/>
            <w:vAlign w:val="bottom"/>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Director</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5"/>
              </w:rPr>
              <w:t>Audit</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Corporate Governance</w:t>
            </w:r>
          </w:p>
        </w:tc>
      </w:tr>
      <w:tr>
        <w:trPr>
          <w:trHeight w:val="237"/>
        </w:trPr>
        <w:tc>
          <w:tcPr>
            <w:tcW w:w="40" w:type="dxa"/>
            <w:vAlign w:val="bottom"/>
          </w:tcPr>
          <w:p>
            <w:pPr>
              <w:spacing w:after="0"/>
              <w:rPr>
                <w:sz w:val="20"/>
                <w:szCs w:val="20"/>
                <w:color w:val="auto"/>
              </w:rPr>
            </w:pPr>
          </w:p>
        </w:tc>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Thomas Priore</w:t>
            </w:r>
          </w:p>
        </w:tc>
        <w:tc>
          <w:tcPr>
            <w:tcW w:w="10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Priore</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40" w:type="dxa"/>
            <w:vAlign w:val="bottom"/>
          </w:tcPr>
          <w:p>
            <w:pPr>
              <w:spacing w:after="0"/>
              <w:rPr>
                <w:sz w:val="21"/>
                <w:szCs w:val="21"/>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Matthew Kearney *</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Gahan *</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40" w:type="dxa"/>
            <w:vAlign w:val="bottom"/>
          </w:tcPr>
          <w:p>
            <w:pPr>
              <w:spacing w:after="0"/>
              <w:rPr>
                <w:sz w:val="21"/>
                <w:szCs w:val="21"/>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Michael K. Passilla *</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Christina M. Favilla *</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432"/>
        </w:trPr>
        <w:tc>
          <w:tcPr>
            <w:tcW w:w="3800" w:type="dxa"/>
            <w:vAlign w:val="bottom"/>
            <w:gridSpan w:val="3"/>
          </w:tcPr>
          <w:p>
            <w:pPr>
              <w:spacing w:after="0"/>
              <w:rPr>
                <w:sz w:val="20"/>
                <w:szCs w:val="20"/>
                <w:color w:val="auto"/>
              </w:rPr>
            </w:pPr>
            <w:r>
              <w:rPr>
                <w:rFonts w:ascii="Arial" w:cs="Arial" w:eastAsia="Arial" w:hAnsi="Arial"/>
                <w:sz w:val="18"/>
                <w:szCs w:val="18"/>
                <w:color w:val="auto"/>
              </w:rPr>
              <w:t>* Independent director</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established an Audit Committee comprised of independent directors. The Audit Committee consists of Matthew Kearney, Michael K. Passilla, and Christina Favilla, with Mr. Kearney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Kearney serves as the financial expert on the Audit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has established a Compensation Committee consisting of Thomas Priore, Michael Passilla, and Christina Favilla, with Mr.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established a Nominating and Governance Committee comprised of Thomas Priore, John Priore and William Gahan, with Mr. Priore as the chairman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RSM, our independent registered public accounting firm, is responsible for auditing our financial statements and expressing an opinion as to their conformity with accounting principles generally accepted in the United States of America.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with management and RSM. The Audit Committee also discussed with RSM the matters required to be discussed by applicable requirements of the Public Company Accounting Oversight Board and the Securities and Exchange Commission. In addition, the Audit Committee received the written disclosures and the letters from RSM required by applicable requirements of the Public Company Accounting Oversight Board regarding RSM's communications with the Audit Committee concerning independence, and discussed with RSM their independence.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its Annual Report on Form 10-K for the year ended December 31, 2019,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Matthew Kearney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Christina Favilla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K. Passilla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Based on that review and on written information given to use by our executive officers and directors, we believe that all Section 16(a) filings during the past fiscal year were filed on a timely basis and that all directors, executive officers and 10% beneficial owners have fully complied with such requirements during the past fiscal year.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and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NEOs for Priority's year ended December 31, 2019 were: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Thomas Priore, its Executive Chairman and, as of December 1, 2018, its President, Chief Executive Officer and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Afshin Yazdian, its President of Core Acquiring until January 17, 2020;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Michael Vollkommer, its Chief Financial Officer effective December 3,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years ended December 31, 2019 and 2018 for the Named Executive Officers:</w:t>
      </w:r>
    </w:p>
    <w:p>
      <w:pPr>
        <w:spacing w:after="0" w:line="98"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1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Change in Pension</w:t>
            </w: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7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Value and Deferred</w:t>
            </w: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17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4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w:t>
            </w:r>
          </w:p>
        </w:tc>
        <w:tc>
          <w:tcPr>
            <w:tcW w:w="12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12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4"/>
        </w:trPr>
        <w:tc>
          <w:tcPr>
            <w:tcW w:w="17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w w:val="91"/>
              </w:rPr>
              <w:t>Name and Principal Position</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Year</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Salary $</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Bonus $</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Awards $</w:t>
            </w: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6"/>
              </w:rPr>
              <w:t>Awards $</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4"/>
              </w:rPr>
              <w:t>Compensation $</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87"/>
              </w:rPr>
              <w:t>Earnings $</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Compensation $</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Total $</w:t>
            </w:r>
          </w:p>
        </w:tc>
      </w:tr>
      <w:tr>
        <w:trPr>
          <w:trHeight w:val="175"/>
        </w:trPr>
        <w:tc>
          <w:tcPr>
            <w:tcW w:w="17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Thomas Priore</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600,000</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1,100,000</w:t>
            </w:r>
          </w:p>
        </w:tc>
      </w:tr>
      <w:tr>
        <w:trPr>
          <w:trHeight w:val="148"/>
        </w:trPr>
        <w:tc>
          <w:tcPr>
            <w:tcW w:w="1720" w:type="dxa"/>
            <w:vAlign w:val="bottom"/>
          </w:tcPr>
          <w:p>
            <w:pPr>
              <w:ind w:left="160"/>
              <w:spacing w:after="0" w:line="148" w:lineRule="exact"/>
              <w:rPr>
                <w:sz w:val="20"/>
                <w:szCs w:val="20"/>
                <w:color w:val="auto"/>
              </w:rPr>
            </w:pPr>
            <w:r>
              <w:rPr>
                <w:rFonts w:ascii="Arial" w:cs="Arial" w:eastAsia="Arial" w:hAnsi="Arial"/>
                <w:sz w:val="13"/>
                <w:szCs w:val="13"/>
                <w:i w:val="1"/>
                <w:iCs w:val="1"/>
                <w:color w:val="auto"/>
              </w:rPr>
              <w:t>President, Chief Executive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720" w:type="dxa"/>
            <w:vAlign w:val="bottom"/>
          </w:tcPr>
          <w:p>
            <w:pPr>
              <w:ind w:left="160"/>
              <w:spacing w:after="0"/>
              <w:rPr>
                <w:sz w:val="20"/>
                <w:szCs w:val="20"/>
                <w:color w:val="auto"/>
              </w:rPr>
            </w:pPr>
            <w:r>
              <w:rPr>
                <w:rFonts w:ascii="Arial" w:cs="Arial" w:eastAsia="Arial" w:hAnsi="Arial"/>
                <w:sz w:val="13"/>
                <w:szCs w:val="13"/>
                <w:i w:val="1"/>
                <w:iCs w:val="1"/>
                <w:color w:val="auto"/>
              </w:rPr>
              <w:t>Officer, and Chairman *</w:t>
            </w:r>
          </w:p>
        </w:tc>
        <w:tc>
          <w:tcPr>
            <w:tcW w:w="440" w:type="dxa"/>
            <w:vAlign w:val="bottom"/>
          </w:tcPr>
          <w:p>
            <w:pPr>
              <w:ind w:left="10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400,000</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900,000</w:t>
            </w:r>
          </w:p>
        </w:tc>
      </w:tr>
      <w:tr>
        <w:trPr>
          <w:trHeight w:val="238"/>
        </w:trPr>
        <w:tc>
          <w:tcPr>
            <w:tcW w:w="1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2"/>
        </w:trPr>
        <w:tc>
          <w:tcPr>
            <w:tcW w:w="1720" w:type="dxa"/>
            <w:vAlign w:val="bottom"/>
          </w:tcPr>
          <w:p>
            <w:pPr>
              <w:ind w:left="20"/>
              <w:spacing w:after="0"/>
              <w:rPr>
                <w:sz w:val="20"/>
                <w:szCs w:val="20"/>
                <w:color w:val="auto"/>
              </w:rPr>
            </w:pPr>
            <w:r>
              <w:rPr>
                <w:rFonts w:ascii="Arial" w:cs="Arial" w:eastAsia="Arial" w:hAnsi="Arial"/>
                <w:sz w:val="13"/>
                <w:szCs w:val="13"/>
                <w:color w:val="auto"/>
              </w:rPr>
              <w:t>Afshin Yazdian</w:t>
            </w:r>
          </w:p>
        </w:tc>
        <w:tc>
          <w:tcPr>
            <w:tcW w:w="440" w:type="dxa"/>
            <w:vAlign w:val="bottom"/>
          </w:tcPr>
          <w:p>
            <w:pPr>
              <w:ind w:left="100"/>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2"/>
                <w:szCs w:val="2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11,200</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w w:val="87"/>
              </w:rPr>
              <w:t>(1)</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411,200</w:t>
            </w:r>
          </w:p>
        </w:tc>
      </w:tr>
      <w:tr>
        <w:trPr>
          <w:trHeight w:val="156"/>
        </w:trPr>
        <w:tc>
          <w:tcPr>
            <w:tcW w:w="1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w w:val="96"/>
              </w:rPr>
              <w:t>President of Core Acquiring</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21,137</w:t>
            </w:r>
          </w:p>
        </w:tc>
        <w:tc>
          <w:tcPr>
            <w:tcW w:w="4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7"/>
              </w:rPr>
              <w:t>(2)</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601,137</w:t>
            </w:r>
          </w:p>
        </w:tc>
      </w:tr>
      <w:tr>
        <w:trPr>
          <w:trHeight w:val="189"/>
        </w:trPr>
        <w:tc>
          <w:tcPr>
            <w:tcW w:w="1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 Vollkommer</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425,000</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253,927</w:t>
            </w:r>
          </w:p>
        </w:tc>
        <w:tc>
          <w:tcPr>
            <w:tcW w:w="4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7"/>
              </w:rPr>
              <w:t>(3)</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8,859</w:t>
            </w:r>
          </w:p>
        </w:tc>
        <w:tc>
          <w:tcPr>
            <w:tcW w:w="4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7"/>
              </w:rPr>
              <w:t>(4)</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750,000</w:t>
            </w:r>
          </w:p>
        </w:tc>
      </w:tr>
      <w:tr>
        <w:trPr>
          <w:trHeight w:val="254"/>
        </w:trPr>
        <w:tc>
          <w:tcPr>
            <w:tcW w:w="1720" w:type="dxa"/>
            <w:vAlign w:val="bottom"/>
          </w:tcPr>
          <w:p>
            <w:pPr>
              <w:ind w:left="160"/>
              <w:spacing w:after="0"/>
              <w:rPr>
                <w:sz w:val="20"/>
                <w:szCs w:val="20"/>
                <w:color w:val="auto"/>
              </w:rPr>
            </w:pPr>
            <w:r>
              <w:rPr>
                <w:rFonts w:ascii="Arial" w:cs="Arial" w:eastAsia="Arial" w:hAnsi="Arial"/>
                <w:sz w:val="13"/>
                <w:szCs w:val="13"/>
                <w:i w:val="1"/>
                <w:iCs w:val="1"/>
                <w:color w:val="auto"/>
              </w:rPr>
              <w:t>Chief Financial Officer</w:t>
            </w:r>
          </w:p>
        </w:tc>
        <w:tc>
          <w:tcPr>
            <w:tcW w:w="440" w:type="dxa"/>
            <w:vAlign w:val="bottom"/>
          </w:tcPr>
          <w:p>
            <w:pPr>
              <w:ind w:left="10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16,346</w:t>
            </w:r>
          </w:p>
        </w:tc>
        <w:tc>
          <w:tcPr>
            <w:tcW w:w="100" w:type="dxa"/>
            <w:vAlign w:val="bottom"/>
          </w:tcPr>
          <w:p>
            <w:pPr>
              <w:spacing w:after="0"/>
              <w:rPr>
                <w:sz w:val="22"/>
                <w:szCs w:val="2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9"/>
              </w:rPr>
              <w:t>750,000</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w w:val="87"/>
              </w:rPr>
              <w:t>(3)</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1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766,346</w:t>
            </w:r>
          </w:p>
        </w:tc>
      </w:tr>
    </w:tbl>
    <w:p>
      <w:pPr>
        <w:spacing w:after="0" w:line="222" w:lineRule="exact"/>
        <w:rPr>
          <w:sz w:val="20"/>
          <w:szCs w:val="20"/>
          <w:color w:val="auto"/>
        </w:rPr>
      </w:pPr>
    </w:p>
    <w:p>
      <w:pPr>
        <w:ind w:left="660" w:right="3920" w:hanging="4"/>
        <w:spacing w:after="0" w:line="349" w:lineRule="auto"/>
        <w:tabs>
          <w:tab w:leader="none" w:pos="781"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Executive Chairman and, as of December 1, 2018, President, Chief Executive Officer and Chairman. ** Mr. Yazdian resigned from his position as President of Core Acquiring effective January 17, 2020.</w:t>
      </w:r>
    </w:p>
    <w:p>
      <w:pPr>
        <w:spacing w:after="0" w:line="126"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 401(k) plan matching contribution for Mr. Yazdian.</w:t>
      </w:r>
    </w:p>
    <w:p>
      <w:pPr>
        <w:spacing w:after="0" w:line="19" w:lineRule="exact"/>
        <w:rPr>
          <w:rFonts w:ascii="Arial" w:cs="Arial" w:eastAsia="Arial" w:hAnsi="Arial"/>
          <w:sz w:val="16"/>
          <w:szCs w:val="16"/>
          <w:color w:val="auto"/>
        </w:rPr>
      </w:pPr>
    </w:p>
    <w:p>
      <w:pPr>
        <w:ind w:left="660" w:hanging="4"/>
        <w:spacing w:after="0" w:line="246" w:lineRule="auto"/>
        <w:tabs>
          <w:tab w:leader="none" w:pos="8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(i) Priority's payment of Mr. Yazdian's health insurance premiums in the amount of $10,137 and (ii) a 401(k) plan matching contribution in the amount of $11,000.</w:t>
      </w:r>
    </w:p>
    <w:p>
      <w:pPr>
        <w:jc w:val="both"/>
        <w:ind w:left="660" w:hanging="4"/>
        <w:spacing w:after="0" w:line="262" w:lineRule="auto"/>
        <w:tabs>
          <w:tab w:leader="none" w:pos="889" w:val="left"/>
        </w:tabs>
        <w:numPr>
          <w:ilvl w:val="0"/>
          <w:numId w:val="15"/>
        </w:numPr>
        <w:rPr>
          <w:rFonts w:ascii="Arial" w:cs="Arial" w:eastAsia="Arial" w:hAnsi="Arial"/>
          <w:sz w:val="15"/>
          <w:szCs w:val="15"/>
          <w:color w:val="auto"/>
        </w:rPr>
      </w:pPr>
      <w:r>
        <w:rPr>
          <w:rFonts w:ascii="Arial" w:cs="Arial" w:eastAsia="Arial" w:hAnsi="Arial"/>
          <w:sz w:val="15"/>
          <w:szCs w:val="15"/>
          <w:color w:val="auto"/>
        </w:rPr>
        <w:t>Pursuant to the terms of an employment agreement and an equity award agreement executed in December 2018 between the Company and Mr. Vollkommer that provide for potential annual equity grants in December of each of the years 2018, 2019, 2020, 2021, and 2022, subject to annual approval by the Board. For 2019, the Board in February 2020 granted restricted stock units for 107,143 shares of the Company's common stock with a grant-date fair value of $253,927. For 2018, the Board in December 2018 granted restricted stock units for 107,143 shares of the Company's common stock with a grant-date fair value of $750,000. At vesting of the awards, the Company has not guaranteed that the vested award will have any specific monetary value, nor may Mr. Vollkommer or the Company elect settlement in any deliverable other than shares of the Company's common stock.</w:t>
      </w:r>
    </w:p>
    <w:p>
      <w:pPr>
        <w:spacing w:after="0" w:line="4" w:lineRule="exact"/>
        <w:rPr>
          <w:rFonts w:ascii="Arial" w:cs="Arial" w:eastAsia="Arial" w:hAnsi="Arial"/>
          <w:sz w:val="15"/>
          <w:szCs w:val="15"/>
          <w:color w:val="auto"/>
        </w:rPr>
      </w:pPr>
    </w:p>
    <w:p>
      <w:pPr>
        <w:ind w:left="880" w:hanging="224"/>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 401(k) plan matching contribution for Mr. Vollkommer.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He is eligible to receive a monthly fee in the amount of $41,667 and a discretionary annual fee in an amount up to $500,000 for 2018 and $600,000 for 2019.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Thomas Priore Director Agreement may be terminated at any time by mutual written agreement of the parties or by any party for cause in the event the other party materially breaches its duties and obligations or is in default of any obligation. Upon any termination of the Thomas Priore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Afshin Yazdian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Yazdian was party to an employment agreement among the Employers and Priority, dated May 21, 2014 (which we refer to as the "Yazdian Employment Agreement"). The Yazdian Employment Agreement provided for a term that expired on October 16, 2018, and was thereafter automatically renewed for additional one-year periods until either party provided written notice at least 90 days prior to the end of the then term. The Yasdian Employment Agreement ended effective January 17, 2020. Section 5(d) of the Yazdian Employment Agreement related to non-competition matters will remain in effect until July 1, 2020.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Yazdian Employment Agreement, Mr. Yazdian received an annual base salary of $410,010 in 2019 and 2018. For 2018, the Employer paid 100% of all insurance premiums for Mr. Yazdian, his spouse and eligible children under the Employers' employee benefit plans. Mr. Yazdian was eligible to receive an annual bonus targeted at 50% of his base salary based on the achievement of performance criteria, which could have been increased up to a maximum of 65% of his base salary at the discretion of our Board if such performance criteria were achieved. For 2018, Mr. Yazdian's annual cash bonus was $180,000. No cash bonus was awarded for 2019.</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was entitled to:</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was entitled to a pro-rata portion of any earned but unpaid annual bonus for the year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our Board clearly communicated to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change in his title or reporting responsibilities such that he no longer reports to our Board or the chief executive officer of the Employers;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the Yazdian Employment Agreement, Mr. Yazdian began serving Priority as an adviser to its board of directors through May 15, 2020.</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Vollkommer Employment Agreement, Mr. Vollkommer's receives an annual base salary ($425,000 in 2018) and, commencing in 2019, is eligible for an annual discretionary bonus ranging from 25%-50% of Mr. Vollkommer's annual base salary. No cash bonus was awarded for 2019. Mr. Vollkommer also received a restricted stock unit award in December 2018 with a grant-date fair value $750,000, subject to a two-year service vesting schedule. Mr. Vollkommer is also eligible to receive an annual award of restricted stock units with a value of up to $750,000 on each of the first four anniversary dates of his hiring as our Chief Financial Officer, each of which would be subject to a two-year service vesting schedule.</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"Cause" generally means Mr. Vollkommer's:</w:t>
      </w:r>
    </w:p>
    <w:p>
      <w:pPr>
        <w:spacing w:after="0" w:line="225" w:lineRule="exact"/>
        <w:rPr>
          <w:sz w:val="20"/>
          <w:szCs w:val="20"/>
          <w:color w:val="auto"/>
        </w:rPr>
      </w:pPr>
    </w:p>
    <w:p>
      <w:pPr>
        <w:ind w:left="660" w:right="54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arbitrary, unreasonable or willful failure to perform, in any material respect, the duties and responsibilities required under the Vollkommer Employment Agreement and assigned by the Executive Chairman from time to time (including, without limitation, continuous constructive collaboration with the Executive Chairman and other members of the management team);</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Mr. Vollkommer's duties under the Vollkommer Employment Agreement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commission of an act constituting fraud, embezzlement, breach of any fiduciary duty owed to Priority or its stockholders or other material dishonesty with respect to Priority;</w:t>
      </w:r>
    </w:p>
    <w:p>
      <w:pPr>
        <w:ind w:left="660" w:right="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conviction of, or the filing of a plea of nolo contendere or its equivalent, with respect to a felony or any other crime involving dishonesty or moral turpitude; or</w:t>
      </w: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substance abuse (for the purposes of the Vollkommer Employment Agreement substance abuse is the use of alcohol or illegal substances including misuse of otherwise legally obtained medications that otherwise interferes with Mr. Vollkommer's ability to perform the functions of the position) that is materially injurious to Priority (whether from a monetary perspective or otherwise); or</w:t>
      </w:r>
    </w:p>
    <w:p>
      <w:pPr>
        <w:spacing w:after="0" w:line="1"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breach of Mr. Vollkommer's obligations under the Vollkommer Employment Agreement or Employee Confidentiality, Assignment of Inventions, and Non-Solicitation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"Good Reason" generally means:</w:t>
      </w:r>
    </w:p>
    <w:p>
      <w:pPr>
        <w:spacing w:after="0" w:line="225" w:lineRule="exact"/>
        <w:rPr>
          <w:sz w:val="20"/>
          <w:szCs w:val="20"/>
          <w:color w:val="auto"/>
        </w:rPr>
      </w:pPr>
    </w:p>
    <w:p>
      <w:pPr>
        <w:ind w:left="660" w:right="4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Priority reduces Mr. Vollkommer's base salary or benefits (other than in connection with a proportional reduction of the base salaries or benefits in excess of twenty percent (20%) of all executive employees of Priority); or</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Priority materially breaches any of compensation provisions in the Vollkommer Employment Agreement, or otherwise requires Mr. Vollkommer to report to a senior executive other than the Chairman of the Board or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maintains a tax-qualified 401(k) defined contribution plan available to substantially all of our employees. The 401(k) plan is available on the same terms to all of its U.S. employees, including Mr. Yazdian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 ended December 31, 2019 for our non-employee directors:</w:t>
      </w: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6"/>
              </w:rPr>
              <w:t>Change in Pension Value</w:t>
            </w: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35"/>
        </w:trPr>
        <w:tc>
          <w:tcPr>
            <w:tcW w:w="15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Fees Earned or</w:t>
            </w: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166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and Non-qualified</w:t>
            </w:r>
          </w:p>
        </w:tc>
        <w:tc>
          <w:tcPr>
            <w:tcW w:w="11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b w:val="1"/>
                <w:bCs w:val="1"/>
                <w:color w:val="auto"/>
                <w:w w:val="94"/>
              </w:rPr>
              <w:t>All Other</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80"/>
        </w:trPr>
        <w:tc>
          <w:tcPr>
            <w:tcW w:w="156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Name of Director</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Paid in Cash $</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Awards $</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Awards $</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Plan Compensation $</w:t>
            </w:r>
          </w:p>
        </w:tc>
        <w:tc>
          <w:tcPr>
            <w:tcW w:w="166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7"/>
              </w:rPr>
              <w:t>Deferred Compensation $</w:t>
            </w:r>
          </w:p>
        </w:tc>
        <w:tc>
          <w:tcPr>
            <w:tcW w:w="1160" w:type="dxa"/>
            <w:vAlign w:val="bottom"/>
            <w:shd w:val="clear" w:color="auto" w:fill="CCEEFF"/>
          </w:tcPr>
          <w:p>
            <w:pPr>
              <w:jc w:val="center"/>
              <w:ind w:left="17"/>
              <w:spacing w:after="0"/>
              <w:rPr>
                <w:sz w:val="20"/>
                <w:szCs w:val="20"/>
                <w:color w:val="auto"/>
              </w:rPr>
            </w:pPr>
            <w:r>
              <w:rPr>
                <w:rFonts w:ascii="Arial" w:cs="Arial" w:eastAsia="Arial" w:hAnsi="Arial"/>
                <w:sz w:val="13"/>
                <w:szCs w:val="13"/>
                <w:b w:val="1"/>
                <w:bCs w:val="1"/>
                <w:color w:val="auto"/>
                <w:w w:val="86"/>
              </w:rPr>
              <w:t>Compensation $</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Total $</w:t>
            </w:r>
          </w:p>
        </w:tc>
      </w:tr>
      <w:tr>
        <w:trPr>
          <w:trHeight w:val="216"/>
        </w:trPr>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Priore *</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336,704</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11,201</w:t>
            </w:r>
          </w:p>
        </w:tc>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347,905</w:t>
            </w:r>
          </w:p>
        </w:tc>
      </w:tr>
      <w:tr>
        <w:trPr>
          <w:trHeight w:val="216"/>
        </w:trPr>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William Gahan</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45,833</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1"/>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45,833</w:t>
            </w:r>
          </w:p>
        </w:tc>
      </w:tr>
      <w:tr>
        <w:trPr>
          <w:trHeight w:val="189"/>
        </w:trPr>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Matthew Kearney</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68,750</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1"/>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68,750</w:t>
            </w:r>
          </w:p>
        </w:tc>
      </w:tr>
      <w:tr>
        <w:trPr>
          <w:trHeight w:val="216"/>
        </w:trPr>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 K. Passilla</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29,166</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1"/>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29,166</w:t>
            </w:r>
          </w:p>
        </w:tc>
      </w:tr>
      <w:tr>
        <w:trPr>
          <w:trHeight w:val="230"/>
        </w:trPr>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Christina M. Favilla</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6,451</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1"/>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6,451</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President and Chief Executive Officer prior to December 1, 2018, and Vice-Chairman effective on that date.</w:t>
      </w:r>
    </w:p>
    <w:p>
      <w:pPr>
        <w:spacing w:after="0" w:line="194" w:lineRule="exact"/>
        <w:rPr>
          <w:sz w:val="20"/>
          <w:szCs w:val="20"/>
          <w:color w:val="auto"/>
        </w:rPr>
      </w:pPr>
    </w:p>
    <w:p>
      <w:pPr>
        <w:ind w:right="20" w:firstLine="8"/>
        <w:spacing w:after="0" w:line="275"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$11,201 in payments to Mr. John Priore for reimbursement of health insurance premiums for Mr. Priore and his eligible dependents, pursuant to his former employment agreement dated May 14, 2914 and amended November 13, 2018.</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John Priore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November 30, 2018, Mr. John Priore served as our President and Chief Executive Officer. Effective as of December 1, 2018, Mr. John Priore was appointed as our Vice-Chairman.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John Priore has been a party to an employment agreement among the Employers, and Priority, dated May 21, 2014 (which we refer to as the "John Priore Employment Agreement"). In connection with the change in Mr. John Priore's position with us, Mr. John Priore entered into an amendment to the John Priore Employment Agreement, dated November 13, 2018 (which we refer to as the "Priore Amendment") as well as a new Director Agreement with the Company, dated December 1, 2018 (which we refer to as the "John Priore Director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John Priore Director Agreement and the John Priore Employment Agreement, as amended by the Priore Amendment, Mr. John Priore will receive a monthly fee of $20,833.34 ($250,000 per year) as Vice-Chairman. He is also eligible to receive a performance fee of up to $12,500 per quarter (up to $50,000 per year) and an additional annual fee of up to $50,000, each in the discretion of our Board. Payment of the monthly fee is subject to applicable restrictions under the debt and equity financing agreements of the Company and its subsidiaries. If such restrictions prohibit payment of the monthly fee such amount will accrue interest at a rate of 6% per annum until such amount is permitted to be paid. The John Priore Director Agreement may be terminated at any time by mutual written agreement of the parties or by any party for cause in the event the other party materially breaches its duties and obligations or is in default of any obligation. If Mr. John Priore ceases to be a director of the Company for any reason other than a reason that would constitute a removal for Cause (as provided under the John Priore Employment Agreement) prior to November 30, 2020, Mr. John Priore will receive a lump sum equal to the monthly fee that he would have been entitled to receive through November 30, 2020, subject to his compliance with restrictive covenants included in the John Priore Employment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John Priore Employment Agreement, as amended by the Priore Amendment, with respect to equity securities of the Company held by Mr. John Priore, in any year following a termination of Mr. John Priore's service, either (1) the Company may repurchase up to $2.0 million of equity securities of the Company held by Mr. John Priore unless Mr. John Priore beneficially owns less than 5% of the Company's outstanding equity, or (2) Mr. John Priore may require the Company purchase up to $2.0 million of equity securities of the Company held by him unless Mr. John Priore beneficially owns less than 5% of the Company's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outstanding equity or the Company files a resale registration statement allowing him to sell at least $2.0 million of equity securities on NASDAQ.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William Gahan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19, 2018, we entered into an agreement with independent director William Gahan - pursuant to which he receives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As an independent director, Mr. Gahan is reimbursed for reasonable and documented out-of-pocket expenses incurred by him in the performance of his duties.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Matthew Kearney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19, 2018, we entered into an agreement with independent director Matthew Kearney - pursuant to which he receives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In addition, pursuant to Mr. Kearney's agreement, Mr. Kearney received an additional $25,000 per year, payable in monthly cash installments, for serving as chair of our Audit Committee. As an independent director, Mr. Kearney is reimbursed for reasonable and documented out-of-pocket expenses incurred by him in the performance of his duties.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Michael Passilla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4, 2019, we entered into an agreement with independent director Michael Passilla - pursuant to which he receives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As an independent director, Mr. Passilla is reimbursed for reasonable and documented out-of-pocket expenses incurred by him in the performance of his duties.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Christina M. Favilla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23, 2019, we entered into an agreement with independent director Christina Favilla - pursuant to which she receives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As an independent director, Ms. Favilla is reimbursed for reasonable and documented out-of-pocket expenses incurred by her in the performance of her duties.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2019 YEAR END</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regarding unexercised stock options, stock that has not yet vested, and equity incentive plan awards for each NEO outstanding as of the end of 2019. Each outstanding award is represented by a separate row that indicates the number of securities underlying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211455</wp:posOffset>
            </wp:positionV>
            <wp:extent cx="6694805" cy="1877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18776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178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 (#)</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 (#)</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20"/>
        </w:trPr>
        <w:tc>
          <w:tcPr>
            <w:tcW w:w="1780" w:type="dxa"/>
            <w:vAlign w:val="bottom"/>
          </w:tcPr>
          <w:p>
            <w:pPr>
              <w:spacing w:after="0"/>
              <w:rPr>
                <w:sz w:val="20"/>
                <w:szCs w:val="20"/>
                <w:color w:val="auto"/>
              </w:rPr>
            </w:pPr>
            <w:r>
              <w:rPr>
                <w:rFonts w:ascii="Arial" w:cs="Arial" w:eastAsia="Arial" w:hAnsi="Arial"/>
                <w:sz w:val="14"/>
                <w:szCs w:val="14"/>
                <w:color w:val="auto"/>
              </w:rPr>
              <w:t>Thomas Priore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0"/>
                <w:szCs w:val="20"/>
                <w:color w:val="auto"/>
              </w:rPr>
            </w:pPr>
            <w:r>
              <w:rPr>
                <w:rFonts w:ascii="Arial" w:cs="Arial" w:eastAsia="Arial" w:hAnsi="Arial"/>
                <w:sz w:val="14"/>
                <w:szCs w:val="14"/>
                <w:color w:val="auto"/>
              </w:rPr>
              <w:t>Afshin Yazdian</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05"/>
        </w:trPr>
        <w:tc>
          <w:tcPr>
            <w:tcW w:w="1780" w:type="dxa"/>
            <w:vAlign w:val="bottom"/>
          </w:tcPr>
          <w:p>
            <w:pPr>
              <w:spacing w:after="0"/>
              <w:rPr>
                <w:sz w:val="20"/>
                <w:szCs w:val="20"/>
                <w:color w:val="auto"/>
              </w:rPr>
            </w:pPr>
            <w:r>
              <w:rPr>
                <w:rFonts w:ascii="Arial" w:cs="Arial" w:eastAsia="Arial" w:hAnsi="Arial"/>
                <w:sz w:val="14"/>
                <w:szCs w:val="14"/>
                <w:color w:val="auto"/>
              </w:rPr>
              <w:t>Michael Vollkommer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Stock Awards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Equity Incentive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8"/>
        </w:trPr>
        <w:tc>
          <w:tcPr>
            <w:tcW w:w="16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Unearned Shares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 Stock,</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Stock, Units, or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Have Not Yet Vested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Yet Vested ($)</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420"/>
        </w:trPr>
        <w:tc>
          <w:tcPr>
            <w:tcW w:w="16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32"/>
        </w:trPr>
        <w:tc>
          <w:tcPr>
            <w:tcW w:w="1660" w:type="dxa"/>
            <w:vAlign w:val="bottom"/>
            <w:gridSpan w:val="2"/>
          </w:tcPr>
          <w:p>
            <w:pPr>
              <w:jc w:val="center"/>
              <w:ind w:left="608"/>
              <w:spacing w:after="0"/>
              <w:rPr>
                <w:sz w:val="20"/>
                <w:szCs w:val="20"/>
                <w:color w:val="auto"/>
              </w:rPr>
            </w:pPr>
            <w:r>
              <w:rPr>
                <w:rFonts w:ascii="Arial" w:cs="Arial" w:eastAsia="Arial" w:hAnsi="Arial"/>
                <w:sz w:val="14"/>
                <w:szCs w:val="14"/>
                <w:color w:val="auto"/>
                <w:w w:val="99"/>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1660" w:type="dxa"/>
            <w:vAlign w:val="bottom"/>
            <w:gridSpan w:val="2"/>
          </w:tcPr>
          <w:p>
            <w:pPr>
              <w:jc w:val="center"/>
              <w:ind w:left="588"/>
              <w:spacing w:after="0"/>
              <w:rPr>
                <w:sz w:val="20"/>
                <w:szCs w:val="20"/>
                <w:color w:val="auto"/>
              </w:rPr>
            </w:pPr>
            <w:r>
              <w:rPr>
                <w:rFonts w:ascii="Arial" w:cs="Arial" w:eastAsia="Arial" w:hAnsi="Arial"/>
                <w:sz w:val="14"/>
                <w:szCs w:val="14"/>
                <w:color w:val="auto"/>
              </w:rPr>
              <w:t>160,713  (b)</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393,747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780" w:space="220"/>
            <w:col w:w="3240"/>
          </w:cols>
          <w:pgMar w:left="320" w:top="125" w:right="339" w:bottom="1440" w:gutter="0" w:footer="0" w:header="0"/>
          <w:type w:val="continuous"/>
        </w:sectPr>
      </w:pPr>
    </w:p>
    <w:p>
      <w:pPr>
        <w:spacing w:after="0" w:line="234"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the closing price per share of the Company's common stock of $2.45 as traded on the Nasdaq Global Market on December 31, 2019.</w:t>
      </w:r>
    </w:p>
    <w:p>
      <w:pPr>
        <w:spacing w:after="0" w:line="194" w:lineRule="exact"/>
        <w:rPr>
          <w:rFonts w:ascii="Arial" w:cs="Arial" w:eastAsia="Arial" w:hAnsi="Arial"/>
          <w:sz w:val="16"/>
          <w:szCs w:val="16"/>
          <w:color w:val="auto"/>
        </w:rPr>
      </w:pPr>
    </w:p>
    <w:p>
      <w:pPr>
        <w:jc w:val="both"/>
        <w:ind w:left="660" w:hanging="4"/>
        <w:spacing w:after="0" w:line="295" w:lineRule="auto"/>
        <w:tabs>
          <w:tab w:leader="none" w:pos="889" w:val="left"/>
        </w:tabs>
        <w:numPr>
          <w:ilvl w:val="0"/>
          <w:numId w:val="22"/>
        </w:numPr>
        <w:rPr>
          <w:rFonts w:ascii="Arial" w:cs="Arial" w:eastAsia="Arial" w:hAnsi="Arial"/>
          <w:sz w:val="14"/>
          <w:szCs w:val="14"/>
          <w:color w:val="auto"/>
        </w:rPr>
      </w:pPr>
      <w:r>
        <w:rPr>
          <w:rFonts w:ascii="Arial" w:cs="Arial" w:eastAsia="Arial" w:hAnsi="Arial"/>
          <w:sz w:val="14"/>
          <w:szCs w:val="14"/>
          <w:color w:val="auto"/>
        </w:rPr>
        <w:t>53,571 of this amount relates to a December 2018 time-based restricted stock unit award that vested 50% on December 3, 2019 and the remaining 50%, or 53,571, are scheduled to vest on December 3, 2020. This December 2018 equity award agreement also allows Mr. Vollkommer the eligibility to receive additional annual equity grants with a fair value of up to $750,000 each in December of each of the years 2019, 2020, 2021, and 2022, subject to Board approval. In February 2020, the Board approved the annual award for December 2019 by granting Mr. Vollkommer an additional 107,142 time-based restricted stock units that are scheduled to vest 50% on December 3, 2020 and 50% on December 3, 2021. At vesting, the Company has not guaranteed that the vested award will have any specific monetary value, nor may Mr. Vollkommer or the Company elect settlement in any deliverable other than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DIRECTORS, AND EXECUTIVE OFFICERS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the Record Date regarding the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0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2"/>
              </w:rPr>
              <w:t>Amount and Nature of</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8"/>
              </w:rPr>
              <w:t>Approximate Percentage of</w:t>
            </w:r>
          </w:p>
        </w:tc>
      </w:tr>
      <w:tr>
        <w:trPr>
          <w:trHeight w:val="243"/>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 and Address of Beneficial Owner (1)</w:t>
            </w:r>
          </w:p>
        </w:tc>
        <w:tc>
          <w:tcPr>
            <w:tcW w:w="2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0"/>
              </w:rPr>
              <w:t>Beneficial Ownership</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Outstanding Common Stock (2)</w:t>
            </w:r>
          </w:p>
        </w:tc>
      </w:tr>
      <w:tr>
        <w:trPr>
          <w:trHeight w:val="169"/>
        </w:trPr>
        <w:tc>
          <w:tcPr>
            <w:tcW w:w="5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r>
      <w:tr>
        <w:trPr>
          <w:trHeight w:val="25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5% or Greater Stockholders (Other than below):</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3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None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37"/>
        </w:trPr>
        <w:tc>
          <w:tcPr>
            <w:tcW w:w="5340" w:type="dxa"/>
            <w:vAlign w:val="bottom"/>
            <w:gridSpan w:val="2"/>
          </w:tcPr>
          <w:p>
            <w:pPr>
              <w:ind w:left="20"/>
              <w:spacing w:after="0"/>
              <w:rPr>
                <w:sz w:val="20"/>
                <w:szCs w:val="20"/>
                <w:color w:val="auto"/>
              </w:rPr>
            </w:pPr>
            <w:r>
              <w:rPr>
                <w:rFonts w:ascii="Arial" w:cs="Arial" w:eastAsia="Arial" w:hAnsi="Arial"/>
                <w:sz w:val="16"/>
                <w:szCs w:val="16"/>
                <w:i w:val="1"/>
                <w:iCs w:val="1"/>
                <w:color w:val="auto"/>
              </w:rPr>
              <w:t>Directors and Named Executive Officers: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Thomas Priore (3)</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46,113,250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3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John Priore (4)</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9,295,618</w:t>
            </w:r>
          </w:p>
        </w:tc>
        <w:tc>
          <w:tcPr>
            <w:tcW w:w="1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Afshin Yazdian</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1,303,701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Michael Vollkommer</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53,571</w:t>
            </w:r>
          </w:p>
        </w:tc>
        <w:tc>
          <w:tcPr>
            <w:tcW w:w="120" w:type="dxa"/>
            <w:vAlign w:val="bottom"/>
          </w:tcPr>
          <w:p>
            <w:pPr>
              <w:spacing w:after="0"/>
              <w:rPr>
                <w:sz w:val="20"/>
                <w:szCs w:val="20"/>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Matthey Kearney (5)</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William Gahan (5)</w:t>
            </w: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Michael K. Passilla (5)</w:t>
            </w: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Christina M. Favilla (5)</w:t>
            </w: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All directors and executive officers as a group (13 individuals)</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59,500,849</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33"/>
        </w:trPr>
        <w:tc>
          <w:tcPr>
            <w:tcW w:w="5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ind w:left="66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6"/>
          <w:szCs w:val="16"/>
          <w:color w:val="auto"/>
        </w:rPr>
        <w:t>Less than 1%</w:t>
      </w:r>
    </w:p>
    <w:p>
      <w:pPr>
        <w:spacing w:after="0" w:line="215" w:lineRule="exact"/>
        <w:rPr>
          <w:sz w:val="20"/>
          <w:szCs w:val="20"/>
          <w:color w:val="auto"/>
        </w:rPr>
      </w:pPr>
    </w:p>
    <w:p>
      <w:pPr>
        <w:ind w:left="660" w:hanging="4"/>
        <w:spacing w:after="0" w:line="275" w:lineRule="auto"/>
        <w:tabs>
          <w:tab w:leader="none" w:pos="8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Priority Technology Holdings, Inc., 2001 Westside Parkway, Alpharetta, GA 30004.</w:t>
      </w:r>
    </w:p>
    <w:p>
      <w:pPr>
        <w:spacing w:after="0" w:line="145" w:lineRule="exact"/>
        <w:rPr>
          <w:rFonts w:ascii="Arial" w:cs="Arial" w:eastAsia="Arial" w:hAnsi="Arial"/>
          <w:sz w:val="16"/>
          <w:szCs w:val="16"/>
          <w:color w:val="auto"/>
        </w:rPr>
      </w:pPr>
    </w:p>
    <w:p>
      <w:pPr>
        <w:jc w:val="both"/>
        <w:ind w:left="660" w:hanging="4"/>
        <w:spacing w:after="0" w:line="261" w:lineRule="auto"/>
        <w:tabs>
          <w:tab w:leader="none" w:pos="9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percentage of beneficial ownership of Priority is calculated based on 67,060,943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155" w:lineRule="exact"/>
        <w:rPr>
          <w:rFonts w:ascii="Arial" w:cs="Arial" w:eastAsia="Arial" w:hAnsi="Arial"/>
          <w:sz w:val="16"/>
          <w:szCs w:val="16"/>
          <w:color w:val="auto"/>
        </w:rPr>
      </w:pPr>
    </w:p>
    <w:p>
      <w:pPr>
        <w:jc w:val="both"/>
        <w:ind w:left="660" w:hanging="4"/>
        <w:spacing w:after="0" w:line="278" w:lineRule="auto"/>
        <w:tabs>
          <w:tab w:leader="none" w:pos="8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10,000,000 shares of the Company's common stock directly held by Lori A. Priore, the spouse of Thomas C. Priore, in her capacity as trustee of the Thomas Priore 2019 GRAT, for the benefit of Lori A. Priore and the children of Thomas C. Priore and Lori A. Priore. Also 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146"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As of the Record Date, Thomas Priore had pledged, hypothecated or granted security interests in substantially 46,113,250 shares of our common stock held by him pursuant to a margin loan agreement. In the event of a default under the margin loan agreement, the secured parties may foreclose upon any and all shares of common stock pledged to them.</w:t>
      </w:r>
    </w:p>
    <w:p>
      <w:pPr>
        <w:spacing w:after="0" w:line="156" w:lineRule="exact"/>
        <w:rPr>
          <w:sz w:val="20"/>
          <w:szCs w:val="20"/>
          <w:color w:val="auto"/>
        </w:rPr>
      </w:pPr>
    </w:p>
    <w:p>
      <w:pPr>
        <w:ind w:left="660" w:right="20" w:hanging="4"/>
        <w:spacing w:after="0" w:line="275" w:lineRule="auto"/>
        <w:tabs>
          <w:tab w:leader="none" w:pos="9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145" w:lineRule="exact"/>
        <w:rPr>
          <w:rFonts w:ascii="Arial" w:cs="Arial" w:eastAsia="Arial" w:hAnsi="Arial"/>
          <w:sz w:val="16"/>
          <w:szCs w:val="16"/>
          <w:color w:val="auto"/>
        </w:rPr>
      </w:pPr>
    </w:p>
    <w:p>
      <w:pPr>
        <w:jc w:val="both"/>
        <w:ind w:left="660" w:hanging="4"/>
        <w:spacing w:after="0" w:line="256" w:lineRule="auto"/>
        <w:tabs>
          <w:tab w:leader="none" w:pos="8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1, 2020, the four independent board members were each granted 53,192 restricted stock units which vest 25% on April 1, 2020, 25% on July 1, 2020, 25% on October 1, 2020, and 25% on January 1, 2021 subject to continued service as a director of Priority. The 25%, or 13,298 shares, that vested for each of the four independent board members were not outstanding shares as of the April 13, 2020 Record Date due to the administrative process that was still underway on the Record Date to issue the shares resulting from the vested restricted stock units.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Priority had a management services agreement and an annual bonus payout with PSD Partners LP, whose Managing Member is Thomas Priore, who is the President, Chief Executive Officer and Chairman and majority owner of the Company. For the year ended December 31, 2018, Priority incurred a total of $1,137,542 for costs related to management services fees, annual bonus payout and occupancy fees. This agreement was not renewed for 2019.</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eTab</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a subsidiary of the Company, Priority Hospitality Technology, LLC ("PHT"), received a contribution of substantially all of the operating assets and assumed certain liabilities of eTab, LLC ("eTab") and CUMULUS POS, LLC ("Cumulus") under asset contribution agreements. Prior to these transactions, eTab was 80% owned by Thomas Priore, our President, Chief Executive Officer and Chairman. No cash consideration was paid to the sellers of eTab or Cumulus at acquisition. As consideration for these acquired net assets, the sellers were issued preferred equity interests in PHT. Under these preferred equity interests, the sellers are eligible to receive up to $4.5 million of profits earned by PHT, plus a preferred yield on any of the $4.5 million amount that has not been distributed to them. Thomas Priore received and owns 80% of such preferred equity interests in PHT. Once a total of $4.5 million plus the preferred yield has been distributed to the holders of the preferred equity interests, the preferred equity interests will cease to exist.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In-Kind Distributions of Common Stock of Priority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19, 2019 and April 6, 2020, Priority Incentive Equity Holdings, LLC ("PIEH") made in-kind distributions of 2,425,801 shares and 620,810 shares, respectively, without any additional consideration, of common stock of Priority to the holders of ownership interests of PIEH. The holders of ownership interests of PIEH receiving in-kind distributions of these shares of common stock included Cindy O'Neill (93,120 shares), President of Commercial Payments, Sean Kiewiet (620,810 shares), Chief Technology Officer, Afshin Yazdian (1,303,701 shares), President of Core Acquiring, and a total of 592,821 shares by other current and former executive officers of Priority. Thomas Priore is the managing member of Priority Investment Holdings LLC, which is the non-member manager of PIEH. Thomas Priore disclaimed beneficial ownership of the securities held by PIEH except to the extent of his pecuniary interest therein,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PROPOSAL NUMBER ONE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ELECTION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proposes that the following six director nominees be elected to the Board to serve until the next annual meeting in 2021, or until his or her earlier resignation, death, or removal.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Each nominee is listed below, along with their age as of the date of this proxy statement.</w:t>
      </w:r>
    </w:p>
    <w:p>
      <w:pPr>
        <w:spacing w:after="0" w:line="374" w:lineRule="exact"/>
        <w:rPr>
          <w:sz w:val="20"/>
          <w:szCs w:val="20"/>
          <w:color w:val="auto"/>
        </w:rPr>
      </w:pPr>
    </w:p>
    <w:tbl>
      <w:tblPr>
        <w:tblLayout w:type="fixed"/>
        <w:tblInd w:w="2520" w:type="dxa"/>
        <w:tblCellMar>
          <w:top w:w="0" w:type="dxa"/>
          <w:left w:w="0" w:type="dxa"/>
          <w:bottom w:w="0" w:type="dxa"/>
          <w:right w:w="0" w:type="dxa"/>
        </w:tblCellMar>
      </w:tblPr>
      <w:tr>
        <w:trPr>
          <w:trHeight w:val="26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43"/>
        </w:trPr>
        <w:tc>
          <w:tcPr>
            <w:tcW w:w="3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Priore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John Priore</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Gahan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Matthew Kearney</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K. Passilla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Christina M. Favilla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biographical information about the nominees as of the date of this proxy statement can be found above under "Executive Officers and Board of Directors."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TWO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of the Board has appointed RSM to serve as the Company's independent registered public accounting firm for the year ending December 31, 2020. The Board is submitting the appointment of RSM as the Company's independent registered public accounting firm for stockholder ratification and recommends that stockholders ratify this appointment. Stockholder ratification of the appointment of RSM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RSM.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RSM is expected to attend the Annual Meeting, and he or she will have the opportunity to make a statement and will be available to respond to appropriate questions. For additional information regarding the Company's relationship with RSM, please refer to the Audit Committee Report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years in each of the following categories including related expenses were:</w:t>
      </w:r>
    </w:p>
    <w:p>
      <w:pPr>
        <w:spacing w:after="0" w:line="104" w:lineRule="exact"/>
        <w:rPr>
          <w:sz w:val="20"/>
          <w:szCs w:val="20"/>
          <w:color w:val="auto"/>
        </w:rPr>
      </w:pPr>
    </w:p>
    <w:tbl>
      <w:tblPr>
        <w:tblLayout w:type="fixed"/>
        <w:tblInd w:w="1480" w:type="dxa"/>
        <w:tblCellMar>
          <w:top w:w="0" w:type="dxa"/>
          <w:left w:w="0" w:type="dxa"/>
          <w:bottom w:w="0" w:type="dxa"/>
          <w:right w:w="0" w:type="dxa"/>
        </w:tblCellMar>
      </w:tblPr>
      <w:tr>
        <w:trPr>
          <w:trHeight w:val="263"/>
        </w:trPr>
        <w:tc>
          <w:tcPr>
            <w:tcW w:w="384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162"/>
        </w:trPr>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776,725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864,013</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3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3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864,013</w:t>
            </w:r>
          </w:p>
        </w:tc>
      </w:tr>
      <w:tr>
        <w:trPr>
          <w:trHeight w:val="20"/>
        </w:trPr>
        <w:tc>
          <w:tcPr>
            <w:tcW w:w="3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Fees for audit services for 2019 include the audit of the Company's consolidated financial statements as of and for the year ended December 31, 2019 and review of the Company's quarterly reports on Form 10-Q for the three months ended March 31, 2019, the three months and six months ended June 30, 2019, and the three months and nine months ended September 30, 2019. Fees for audit services for 2018 include the audit of the Company's consolidated financial statements as of and for the year ended December 31, 2018, review of the Company's quarterly report on Form 10-Q for the three months and nine months ended September 30, 2018, and services related to the accounting and reporting for the July 2018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also adopted policies and procedures for pre-approving all non-audit work performed by RSM. The Audit Committee has pre-approved the use, as needed, of RSM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RSM in the table above were pre-approved by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approval of Proposal Number Two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RSM US LLP as the Company's independent registered public accounting firm for the year ending December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for the 2021 Annual Meeting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2021 Annual Meeting will be held in June 2021 consistent with our 2020 Annual Meeting. Stockholders of record who intend to nominate a candidate for director or submit a proposal at the annual meeting of stockholders in 2021 must provide written notice to the Company in accordance with our bylaws. Under our bylaws, such notice must be received at the Company's principal executive offices, addressed to the Secretary of the Company, not earlier than February 16, 2021 nor later than March 19, 2021, which are dates at least 90 days but not more than 120 days in advance of the first anniversary of the date of the 2020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PRIORITY TECHNOLOGY HOLDINGS, INC.</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2001 WESTSIDE PARKWAY</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SUITE 155</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Before the Annual Meeting - Go to www.proxyvote.com</w:t>
      </w:r>
    </w:p>
    <w:p>
      <w:pPr>
        <w:spacing w:after="0" w:line="124" w:lineRule="exact"/>
        <w:rPr>
          <w:sz w:val="20"/>
          <w:szCs w:val="20"/>
          <w:color w:val="auto"/>
        </w:rPr>
      </w:pPr>
    </w:p>
    <w:p>
      <w:pPr>
        <w:jc w:val="both"/>
        <w:ind w:right="220"/>
        <w:spacing w:after="0" w:line="238"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6/16/2020. Have your proxy card in hand when you access the web site and follow the instructions to obtain your records and to create an electronic voting instruction form.</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During the Annual Meeting - Go to www.virtualshareholdermeeting.com/PRTH2020.</w:t>
      </w:r>
    </w:p>
    <w:p>
      <w:pPr>
        <w:ind w:right="160"/>
        <w:spacing w:after="0" w:line="237"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27" w:lineRule="exact"/>
        <w:rPr>
          <w:sz w:val="20"/>
          <w:szCs w:val="20"/>
          <w:color w:val="auto"/>
        </w:rPr>
      </w:pPr>
    </w:p>
    <w:p>
      <w:pPr>
        <w:ind w:right="180"/>
        <w:spacing w:after="0" w:line="25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- 800-690-6903</w:t>
      </w:r>
    </w:p>
    <w:p>
      <w:pPr>
        <w:spacing w:after="0" w:line="127" w:lineRule="exact"/>
        <w:rPr>
          <w:sz w:val="20"/>
          <w:szCs w:val="20"/>
          <w:color w:val="auto"/>
        </w:rPr>
      </w:pPr>
    </w:p>
    <w:p>
      <w:pPr>
        <w:ind w:right="560"/>
        <w:spacing w:after="0" w:line="290" w:lineRule="auto"/>
        <w:rPr>
          <w:sz w:val="20"/>
          <w:szCs w:val="20"/>
          <w:color w:val="auto"/>
        </w:rPr>
      </w:pPr>
      <w:r>
        <w:rPr>
          <w:rFonts w:ascii="Arial" w:cs="Arial" w:eastAsia="Arial" w:hAnsi="Arial"/>
          <w:sz w:val="13"/>
          <w:szCs w:val="13"/>
          <w:color w:val="auto"/>
        </w:rPr>
        <w:t>Use any touch-tone telephone to transmit your voting instructions up until 11:59 P.M. Eastern Time on 6/16/2020. Have your proxy card in hand when you call and then follow the instructions.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27"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060" w:space="720"/>
            <w:col w:w="6460"/>
          </w:cols>
          <w:pgMar w:left="320" w:top="4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TO VOTE, MARK BLOCKS BELOW IN BLUE OR BLACK INK AS FOLLOWS: x</w:t>
      </w:r>
    </w:p>
    <w:p>
      <w:pPr>
        <w:spacing w:after="0" w:line="8" w:lineRule="exact"/>
        <w:rPr>
          <w:sz w:val="20"/>
          <w:szCs w:val="20"/>
          <w:color w:val="auto"/>
        </w:rPr>
      </w:pPr>
    </w:p>
    <w:p>
      <w:pPr>
        <w:ind w:left="8420"/>
        <w:spacing w:after="0"/>
        <w:rPr>
          <w:sz w:val="20"/>
          <w:szCs w:val="20"/>
          <w:color w:val="auto"/>
        </w:rPr>
      </w:pPr>
      <w:r>
        <w:rPr>
          <w:rFonts w:ascii="Arial" w:cs="Arial" w:eastAsia="Arial" w:hAnsi="Arial"/>
          <w:sz w:val="13"/>
          <w:szCs w:val="13"/>
          <w:color w:val="auto"/>
        </w:rPr>
        <w:t>KEEP THIS PORTION FOR YOUR RECORDS</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PRIORITY TECHNOLOGY HOLDINGS, INC.</w:t>
      </w:r>
    </w:p>
    <w:p>
      <w:pPr>
        <w:sectPr>
          <w:pgSz w:w="11900" w:h="16838" w:orient="portrait"/>
          <w:cols w:equalWidth="0" w:num="1">
            <w:col w:w="11240"/>
          </w:cols>
          <w:pgMar w:left="320" w:top="495" w:right="339" w:bottom="1440" w:gutter="0" w:footer="0" w:header="0"/>
          <w:type w:val="continuous"/>
        </w:sectPr>
      </w:pPr>
    </w:p>
    <w:p>
      <w:pPr>
        <w:spacing w:after="0" w:line="366" w:lineRule="exact"/>
        <w:rPr>
          <w:sz w:val="20"/>
          <w:szCs w:val="20"/>
          <w:color w:val="auto"/>
        </w:rPr>
      </w:pPr>
    </w:p>
    <w:p>
      <w:pPr>
        <w:ind w:left="40" w:right="1500"/>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 vote FOR</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 2.</w:t>
      </w:r>
    </w:p>
    <w:p>
      <w:pPr>
        <w:spacing w:after="0" w:line="244" w:lineRule="exact"/>
        <w:rPr>
          <w:sz w:val="20"/>
          <w:szCs w:val="20"/>
          <w:color w:val="auto"/>
        </w:rPr>
      </w:pPr>
    </w:p>
    <w:p>
      <w:pPr>
        <w:sectPr>
          <w:pgSz w:w="11900" w:h="16838" w:orient="portrait"/>
          <w:cols w:equalWidth="0" w:num="2">
            <w:col w:w="5180" w:space="720"/>
            <w:col w:w="5340"/>
          </w:cols>
          <w:pgMar w:left="320" w:top="495" w:right="339" w:bottom="1440" w:gutter="0" w:footer="0" w:header="0"/>
          <w:type w:val="continuous"/>
        </w:sectPr>
      </w:pP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3040" w:type="dxa"/>
            <w:vAlign w:val="bottom"/>
          </w:tcPr>
          <w:p>
            <w:pPr>
              <w:ind w:left="140"/>
              <w:spacing w:after="0"/>
              <w:rPr>
                <w:sz w:val="20"/>
                <w:szCs w:val="20"/>
                <w:color w:val="auto"/>
              </w:rPr>
            </w:pPr>
            <w:r>
              <w:rPr>
                <w:rFonts w:ascii="Arial" w:cs="Arial" w:eastAsia="Arial" w:hAnsi="Arial"/>
                <w:sz w:val="14"/>
                <w:szCs w:val="14"/>
                <w:color w:val="auto"/>
              </w:rPr>
              <w:t>Election of Directors</w:t>
            </w:r>
          </w:p>
        </w:tc>
        <w:tc>
          <w:tcPr>
            <w:tcW w:w="840" w:type="dxa"/>
            <w:vAlign w:val="bottom"/>
            <w:gridSpan w:val="3"/>
          </w:tcPr>
          <w:p>
            <w:pPr>
              <w:ind w:left="440"/>
              <w:spacing w:after="0"/>
              <w:rPr>
                <w:sz w:val="20"/>
                <w:szCs w:val="20"/>
                <w:color w:val="auto"/>
              </w:rPr>
            </w:pPr>
            <w:r>
              <w:rPr>
                <w:rFonts w:ascii="Arial" w:cs="Arial" w:eastAsia="Arial" w:hAnsi="Arial"/>
                <w:sz w:val="14"/>
                <w:szCs w:val="14"/>
                <w:color w:val="auto"/>
              </w:rPr>
              <w:t>For</w:t>
            </w:r>
          </w:p>
        </w:tc>
        <w:tc>
          <w:tcPr>
            <w:tcW w:w="620" w:type="dxa"/>
            <w:vAlign w:val="bottom"/>
            <w:gridSpan w:val="3"/>
          </w:tcPr>
          <w:p>
            <w:pPr>
              <w:ind w:left="60"/>
              <w:spacing w:after="0"/>
              <w:rPr>
                <w:sz w:val="20"/>
                <w:szCs w:val="20"/>
                <w:color w:val="auto"/>
              </w:rPr>
            </w:pPr>
            <w:r>
              <w:rPr>
                <w:rFonts w:ascii="Arial" w:cs="Arial" w:eastAsia="Arial" w:hAnsi="Arial"/>
                <w:sz w:val="14"/>
                <w:szCs w:val="14"/>
                <w:color w:val="auto"/>
              </w:rPr>
              <w:t>Against</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w w:val="89"/>
              </w:rPr>
              <w:t>Abstain</w:t>
            </w:r>
          </w:p>
        </w:tc>
      </w:tr>
      <w:tr>
        <w:trPr>
          <w:trHeight w:val="279"/>
        </w:trPr>
        <w:tc>
          <w:tcPr>
            <w:tcW w:w="22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4"/>
                <w:szCs w:val="14"/>
                <w:b w:val="1"/>
                <w:bCs w:val="1"/>
                <w:color w:val="auto"/>
              </w:rPr>
              <w:t>Nominees:</w:t>
            </w: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72"/>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1a. Thomas Priore</w:t>
            </w:r>
          </w:p>
        </w:tc>
        <w:tc>
          <w:tcPr>
            <w:tcW w:w="440" w:type="dxa"/>
            <w:vAlign w:val="bottom"/>
          </w:tcPr>
          <w:p>
            <w:pPr>
              <w:spacing w:after="0"/>
              <w:rPr>
                <w:sz w:val="23"/>
                <w:szCs w:val="23"/>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1b. John Priore</w:t>
            </w:r>
          </w:p>
        </w:tc>
        <w:tc>
          <w:tcPr>
            <w:tcW w:w="440" w:type="dxa"/>
            <w:vAlign w:val="bottom"/>
          </w:tcPr>
          <w:p>
            <w:pPr>
              <w:spacing w:after="0"/>
              <w:rPr>
                <w:sz w:val="23"/>
                <w:szCs w:val="23"/>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1c. William Gahan</w:t>
            </w:r>
          </w:p>
        </w:tc>
        <w:tc>
          <w:tcPr>
            <w:tcW w:w="440" w:type="dxa"/>
            <w:vAlign w:val="bottom"/>
          </w:tcPr>
          <w:p>
            <w:pPr>
              <w:spacing w:after="0"/>
              <w:rPr>
                <w:sz w:val="23"/>
                <w:szCs w:val="23"/>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1d. Matthew Kearney</w:t>
            </w:r>
          </w:p>
        </w:tc>
        <w:tc>
          <w:tcPr>
            <w:tcW w:w="440" w:type="dxa"/>
            <w:vAlign w:val="bottom"/>
          </w:tcPr>
          <w:p>
            <w:pPr>
              <w:spacing w:after="0"/>
              <w:rPr>
                <w:sz w:val="23"/>
                <w:szCs w:val="23"/>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1e. Michael K. Passilla</w:t>
            </w:r>
          </w:p>
        </w:tc>
        <w:tc>
          <w:tcPr>
            <w:tcW w:w="440" w:type="dxa"/>
            <w:vAlign w:val="bottom"/>
          </w:tcPr>
          <w:p>
            <w:pPr>
              <w:spacing w:after="0"/>
              <w:rPr>
                <w:sz w:val="23"/>
                <w:szCs w:val="23"/>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1f. Christina M. Favilla</w:t>
            </w:r>
          </w:p>
        </w:tc>
        <w:tc>
          <w:tcPr>
            <w:tcW w:w="440" w:type="dxa"/>
            <w:vAlign w:val="bottom"/>
          </w:tcPr>
          <w:p>
            <w:pPr>
              <w:spacing w:after="0"/>
              <w:rPr>
                <w:sz w:val="23"/>
                <w:szCs w:val="23"/>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76"/>
              </w:rPr>
              <w:t>o</w:t>
            </w:r>
          </w:p>
        </w:tc>
        <w:tc>
          <w:tcPr>
            <w:tcW w:w="60" w:type="dxa"/>
            <w:vAlign w:val="bottom"/>
          </w:tcPr>
          <w:p>
            <w:pPr>
              <w:spacing w:after="0"/>
              <w:rPr>
                <w:sz w:val="23"/>
                <w:szCs w:val="23"/>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3"/>
                <w:szCs w:val="23"/>
                <w:color w:val="auto"/>
              </w:rPr>
            </w:pP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500"/>
        </w:trPr>
        <w:tc>
          <w:tcPr>
            <w:tcW w:w="3260" w:type="dxa"/>
            <w:vAlign w:val="bottom"/>
            <w:gridSpan w:val="2"/>
          </w:tcPr>
          <w:p>
            <w:pPr>
              <w:spacing w:after="0"/>
              <w:rPr>
                <w:sz w:val="20"/>
                <w:szCs w:val="20"/>
                <w:color w:val="auto"/>
              </w:rPr>
            </w:pPr>
            <w:r>
              <w:rPr>
                <w:rFonts w:ascii="Arial" w:cs="Arial" w:eastAsia="Arial" w:hAnsi="Arial"/>
                <w:sz w:val="14"/>
                <w:szCs w:val="14"/>
                <w:color w:val="auto"/>
              </w:rPr>
              <w:t>Please indicate if you plan to attend this meeting:</w:t>
            </w:r>
          </w:p>
        </w:tc>
        <w:tc>
          <w:tcPr>
            <w:tcW w:w="440" w:type="dxa"/>
            <w:vAlign w:val="bottom"/>
          </w:tcPr>
          <w:p>
            <w:pPr>
              <w:spacing w:after="0"/>
              <w:rPr>
                <w:sz w:val="24"/>
                <w:szCs w:val="24"/>
                <w:color w:val="auto"/>
              </w:rPr>
            </w:pPr>
          </w:p>
        </w:tc>
        <w:tc>
          <w:tcPr>
            <w:tcW w:w="40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24"/>
                <w:szCs w:val="24"/>
                <w:color w:val="auto"/>
              </w:rPr>
            </w:pPr>
          </w:p>
        </w:tc>
        <w:tc>
          <w:tcPr>
            <w:tcW w:w="56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8"/>
        </w:trPr>
        <w:tc>
          <w:tcPr>
            <w:tcW w:w="2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90"/>
              </w:rPr>
              <w:t>Yes</w:t>
            </w:r>
          </w:p>
        </w:tc>
        <w:tc>
          <w:tcPr>
            <w:tcW w:w="6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No</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00" w:lineRule="exact"/>
        <w:rPr>
          <w:sz w:val="20"/>
          <w:szCs w:val="20"/>
          <w:color w:val="auto"/>
        </w:rPr>
      </w:pPr>
    </w:p>
    <w:p>
      <w:pPr>
        <w:spacing w:after="0" w:line="252" w:lineRule="exact"/>
        <w:rPr>
          <w:sz w:val="20"/>
          <w:szCs w:val="20"/>
          <w:color w:val="auto"/>
        </w:rPr>
      </w:pPr>
    </w:p>
    <w:p>
      <w:pPr>
        <w:ind w:left="40" w:right="1700"/>
        <w:spacing w:after="0" w:line="229"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308610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610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left="3600"/>
        <w:spacing w:after="0"/>
        <w:tabs>
          <w:tab w:leader="none" w:pos="4020" w:val="left"/>
          <w:tab w:leader="none" w:pos="4680" w:val="left"/>
        </w:tabs>
        <w:rPr>
          <w:sz w:val="20"/>
          <w:szCs w:val="20"/>
          <w:color w:val="auto"/>
        </w:rPr>
      </w:pPr>
      <w:r>
        <w:rPr>
          <w:rFonts w:ascii="Arial" w:cs="Arial" w:eastAsia="Arial" w:hAnsi="Arial"/>
          <w:sz w:val="14"/>
          <w:szCs w:val="14"/>
          <w:u w:val="single" w:color="auto"/>
          <w:color w:val="auto"/>
        </w:rPr>
        <w:t>For</w:t>
      </w:r>
      <w:r>
        <w:rPr>
          <w:sz w:val="20"/>
          <w:szCs w:val="20"/>
          <w:color w:val="auto"/>
        </w:rPr>
        <w:tab/>
      </w:r>
      <w:r>
        <w:rPr>
          <w:rFonts w:ascii="Arial" w:cs="Arial" w:eastAsia="Arial" w:hAnsi="Arial"/>
          <w:sz w:val="14"/>
          <w:szCs w:val="14"/>
          <w:u w:val="single" w:color="auto"/>
          <w:color w:val="auto"/>
        </w:rPr>
        <w:t>Against</w:t>
      </w:r>
      <w:r>
        <w:rPr>
          <w:sz w:val="20"/>
          <w:szCs w:val="20"/>
          <w:color w:val="auto"/>
        </w:rPr>
        <w:tab/>
      </w:r>
      <w:r>
        <w:rPr>
          <w:rFonts w:ascii="Arial" w:cs="Arial" w:eastAsia="Arial" w:hAnsi="Arial"/>
          <w:sz w:val="13"/>
          <w:szCs w:val="13"/>
          <w:u w:val="single" w:color="auto"/>
          <w:color w:val="auto"/>
        </w:rPr>
        <w:t>Abstain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Ratification of the appointment of RSM US LLP as the</w:t>
      </w:r>
    </w:p>
    <w:p>
      <w:pPr>
        <w:spacing w:after="0" w:line="149" w:lineRule="exact"/>
        <w:tabs>
          <w:tab w:leader="none" w:pos="3700" w:val="left"/>
          <w:tab w:leader="none" w:pos="4260" w:val="left"/>
          <w:tab w:leader="none" w:pos="4920" w:val="left"/>
        </w:tabs>
        <w:rPr>
          <w:sz w:val="20"/>
          <w:szCs w:val="20"/>
          <w:color w:val="auto"/>
        </w:rPr>
      </w:pPr>
      <w:r>
        <w:rPr>
          <w:rFonts w:ascii="Arial" w:cs="Arial" w:eastAsia="Arial" w:hAnsi="Arial"/>
          <w:sz w:val="14"/>
          <w:szCs w:val="14"/>
          <w:color w:val="auto"/>
        </w:rPr>
        <w:t>Company's independent registered public accounting firm 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4"/>
          <w:szCs w:val="14"/>
          <w:color w:val="auto"/>
        </w:rPr>
        <w:t>the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980"/>
        <w:spacing w:after="0" w:line="238" w:lineRule="auto"/>
        <w:rPr>
          <w:sz w:val="20"/>
          <w:szCs w:val="20"/>
          <w:color w:val="auto"/>
        </w:rPr>
      </w:pPr>
      <w:r>
        <w:rPr>
          <w:rFonts w:ascii="Arial" w:cs="Arial" w:eastAsia="Arial" w:hAnsi="Arial"/>
          <w:sz w:val="14"/>
          <w:szCs w:val="14"/>
          <w:color w:val="auto"/>
        </w:rPr>
        <w:t>NOTE: To consider such other business as may properly come before the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1216660</wp:posOffset>
            </wp:positionV>
            <wp:extent cx="300037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291465"/>
                    </a:xfrm>
                    <a:prstGeom prst="rect">
                      <a:avLst/>
                    </a:prstGeom>
                    <a:noFill/>
                  </pic:spPr>
                </pic:pic>
              </a:graphicData>
            </a:graphic>
          </wp:anchor>
        </w:drawing>
      </w:r>
    </w:p>
    <w:p>
      <w:pPr>
        <w:spacing w:after="0" w:line="1574" w:lineRule="exact"/>
        <w:rPr>
          <w:sz w:val="20"/>
          <w:szCs w:val="20"/>
          <w:color w:val="auto"/>
        </w:rPr>
      </w:pPr>
    </w:p>
    <w:p>
      <w:pPr>
        <w:sectPr>
          <w:pgSz w:w="11900" w:h="16838" w:orient="portrait"/>
          <w:cols w:equalWidth="0" w:num="2">
            <w:col w:w="5320" w:space="580"/>
            <w:col w:w="5340"/>
          </w:cols>
          <w:pgMar w:left="320" w:top="4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4140" w:val="left"/>
          <w:tab w:leader="none" w:pos="5880" w:val="left"/>
          <w:tab w:leader="none" w:pos="98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31" w:name="page32"/>
    <w:bookmarkEnd w:id="31"/>
    <w:p>
      <w:pPr>
        <w:ind w:left="92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[control number]</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17, 2020 9:00 A.M. Eastern Daylight Time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hereby appoints Thomas C. Priore and Bradley J.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www.virtualshareholdermeeting.com/PRTH2020 or any adjournment or postponement thereof, with all powers which the undersigned would possess if present at the meeting.</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 2,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sectPr>
      <w:pgSz w:w="11900" w:h="16838" w:orient="portrait"/>
      <w:cols w:equalWidth="0" w:num="1">
        <w:col w:w="11120"/>
      </w:cols>
      <w:pgMar w:left="44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X"/>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2020-04-29T14:59:16Z</dcterms:created>
  <dcterms:modified xsi:type="dcterms:W3CDTF">2020-04-29T14:59:16Z</dcterms:modified>
</cp:coreProperties>
</file>