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Class A common stock par value $0.0001 per share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55304A104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13, 2017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ectPr>
          <w:pgSz w:w="11900" w:h="16838" w:orient="portrait"/>
          <w:cols w:equalWidth="0" w:num="1">
            <w:col w:w="11420"/>
          </w:cols>
          <w:pgMar w:left="240" w:top="472" w:right="2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1020" w:space="600"/>
            <w:col w:w="9800"/>
          </w:cols>
          <w:pgMar w:left="240" w:top="472" w:right="239" w:bottom="1440" w:gutter="0" w:footer="0" w:header="0"/>
          <w:type w:val="continuous"/>
        </w:sectPr>
      </w:pPr>
    </w:p>
    <w:p>
      <w:pPr>
        <w:spacing w:after="0" w:line="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Page 1 of 13 Pages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2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THE K2 PRINCIPAL FUND, L.P.</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412,924</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412,924</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412,924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3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w w:val="98"/>
              </w:rPr>
              <w:t>K2 GENPAR L.P.</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right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412,924</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412,924</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412,924</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5.85%</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4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060" w:type="dxa"/>
            <w:vAlign w:val="bottom"/>
            <w:gridSpan w:val="3"/>
          </w:tcPr>
          <w:p>
            <w:pPr>
              <w:ind w:left="100"/>
              <w:spacing w:after="0"/>
              <w:rPr>
                <w:sz w:val="20"/>
                <w:szCs w:val="20"/>
                <w:color w:val="auto"/>
              </w:rPr>
            </w:pPr>
            <w:r>
              <w:rPr>
                <w:rFonts w:ascii="Arial" w:cs="Arial" w:eastAsia="Arial" w:hAnsi="Arial"/>
                <w:sz w:val="18"/>
                <w:szCs w:val="18"/>
                <w:color w:val="auto"/>
              </w:rPr>
              <w:t>K2 GENPAR 2009 INC.</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412,924</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412,924</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412,924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5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Daniel Gosselin</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CANADA</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412,924</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412,924</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412,924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6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SHAWN KIMEL INVESTMENTS, INC.</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412,924</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412,924</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412,924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981075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7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K2 &amp; ASSOCIATES INVESTMENT MANAGEMENT INC.</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412,924</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412,924</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412,924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Page 8 of 13 Pages</w:t>
            </w:r>
          </w:p>
        </w:tc>
      </w:tr>
      <w:tr>
        <w:trPr>
          <w:trHeight w:val="42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76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issuer is M I Acquisitions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principal executive offices are located at c/o Magna Management LLC 40 Wall Street, 58th Floor New York, NY 10005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persons filing this statement are Daniel Gosselin (“Gosselin“),Shawn Kimel Investments, Inc., an Ontario corporation (“SKI“), The K2 Principal Fund, L.P., an Ontario limited partnership (the “Fund“), K2 GenPar L.P., an Ontario limited partnership (the “GP“), K2 GenPar 2009 Inc., an Ontario corporation (“GenPar 2009“), and K2 &amp; Associates Investment Management Inc., an Ontario corporation (“K2 &amp; Associates,“ and together with Gosselin, SKI, the Fund, the GP and GenPar 2009, the “Reporting Persons“).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Mr. Gosselin is president of each of SKI, the GP, GenPar 2009 and K2 &amp; Associates. The GP is the general partner of the Fund, and GenPar 2009 is the general partner of the GP. GenPar 2009 is a direct wholly-owned subsidiary of SKI. K2 &amp; Associates is a direct 66.5% owned subsidiary of SKI, and is the investment manager of the Fund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 of each of the Reporting Persons is 2 Bloor St West, Suite 801, Toronto, Ontario, M4W 3E2</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Gosselin is a citizen of Canada.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Fund and the GP is an Ontario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SKI and GenPar 2009 and K2 &amp; Associates is an Ontario corporation.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 $.0001 par value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55304A104</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7" w:lineRule="exact"/>
        <w:rPr>
          <w:sz w:val="20"/>
          <w:szCs w:val="20"/>
          <w:color w:val="auto"/>
        </w:rPr>
      </w:pPr>
    </w:p>
    <w:p>
      <w:pPr>
        <w:ind w:left="1300" w:hanging="644"/>
        <w:spacing w:after="0" w:line="207" w:lineRule="exact"/>
        <w:tabs>
          <w:tab w:leader="none" w:pos="13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Page 9 of 13 Pages</w:t>
            </w:r>
          </w:p>
        </w:tc>
      </w:tr>
    </w:tbl>
    <w:p>
      <w:pPr>
        <w:spacing w:after="0" w:line="169" w:lineRule="exact"/>
        <w:rPr>
          <w:sz w:val="20"/>
          <w:szCs w:val="20"/>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00" w:right="200" w:hanging="644"/>
        <w:spacing w:after="0" w:line="239"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17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3240" w:type="dxa"/>
            <w:vAlign w:val="bottom"/>
          </w:tcPr>
          <w:p>
            <w:pPr>
              <w:ind w:left="140"/>
              <w:spacing w:after="0"/>
              <w:rPr>
                <w:sz w:val="20"/>
                <w:szCs w:val="20"/>
                <w:color w:val="auto"/>
              </w:rPr>
            </w:pPr>
            <w:r>
              <w:rPr>
                <w:rFonts w:ascii="Arial" w:cs="Arial" w:eastAsia="Arial" w:hAnsi="Arial"/>
                <w:sz w:val="18"/>
                <w:szCs w:val="18"/>
                <w:color w:val="auto"/>
              </w:rPr>
              <w:t>Amount beneficially owned:</w:t>
            </w:r>
          </w:p>
        </w:tc>
        <w:tc>
          <w:tcPr>
            <w:tcW w:w="1600" w:type="dxa"/>
            <w:vAlign w:val="bottom"/>
          </w:tcPr>
          <w:p>
            <w:pPr>
              <w:ind w:left="1020"/>
              <w:spacing w:after="0"/>
              <w:rPr>
                <w:sz w:val="20"/>
                <w:szCs w:val="20"/>
                <w:color w:val="auto"/>
              </w:rPr>
            </w:pPr>
            <w:r>
              <w:rPr>
                <w:rFonts w:ascii="Arial" w:cs="Arial" w:eastAsia="Arial" w:hAnsi="Arial"/>
                <w:sz w:val="18"/>
                <w:szCs w:val="18"/>
                <w:color w:val="auto"/>
                <w:w w:val="86"/>
              </w:rPr>
              <w:t>412,924</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3240" w:type="dxa"/>
            <w:vAlign w:val="bottom"/>
          </w:tcPr>
          <w:p>
            <w:pPr>
              <w:ind w:left="140"/>
              <w:spacing w:after="0"/>
              <w:rPr>
                <w:sz w:val="20"/>
                <w:szCs w:val="20"/>
                <w:color w:val="auto"/>
              </w:rPr>
            </w:pPr>
            <w:r>
              <w:rPr>
                <w:rFonts w:ascii="Arial" w:cs="Arial" w:eastAsia="Arial" w:hAnsi="Arial"/>
                <w:sz w:val="18"/>
                <w:szCs w:val="18"/>
                <w:color w:val="auto"/>
              </w:rPr>
              <w:t>Percent of class:</w:t>
            </w:r>
          </w:p>
        </w:tc>
        <w:tc>
          <w:tcPr>
            <w:tcW w:w="1600" w:type="dxa"/>
            <w:vAlign w:val="bottom"/>
          </w:tcPr>
          <w:p>
            <w:pPr>
              <w:ind w:left="1020"/>
              <w:spacing w:after="0"/>
              <w:rPr>
                <w:sz w:val="20"/>
                <w:szCs w:val="20"/>
                <w:color w:val="auto"/>
              </w:rPr>
            </w:pPr>
            <w:r>
              <w:rPr>
                <w:rFonts w:ascii="Arial" w:cs="Arial" w:eastAsia="Arial" w:hAnsi="Arial"/>
                <w:sz w:val="18"/>
                <w:szCs w:val="18"/>
                <w:color w:val="auto"/>
              </w:rPr>
              <w:t>5.85%</w:t>
            </w:r>
          </w:p>
        </w:tc>
      </w:tr>
    </w:tbl>
    <w:p>
      <w:pPr>
        <w:ind w:left="1160" w:hanging="50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K2 GenPar L.P.</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412,924</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5.85%</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412,924</w:t>
            </w:r>
          </w:p>
        </w:tc>
      </w:tr>
      <w:tr>
        <w:trPr>
          <w:trHeight w:val="216"/>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102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4820" w:type="dxa"/>
            <w:vAlign w:val="bottom"/>
          </w:tcPr>
          <w:p>
            <w:pPr>
              <w:ind w:left="720"/>
              <w:spacing w:after="0"/>
              <w:rPr>
                <w:sz w:val="20"/>
                <w:szCs w:val="20"/>
                <w:color w:val="auto"/>
              </w:rPr>
            </w:pPr>
            <w:r>
              <w:rPr>
                <w:rFonts w:ascii="Arial" w:cs="Arial" w:eastAsia="Arial" w:hAnsi="Arial"/>
                <w:sz w:val="18"/>
                <w:szCs w:val="18"/>
                <w:color w:val="auto"/>
              </w:rPr>
              <w:t>412,924</w:t>
            </w:r>
          </w:p>
        </w:tc>
      </w:tr>
      <w:tr>
        <w:trPr>
          <w:trHeight w:val="432"/>
        </w:trPr>
        <w:tc>
          <w:tcPr>
            <w:tcW w:w="5260" w:type="dxa"/>
            <w:vAlign w:val="bottom"/>
            <w:gridSpan w:val="3"/>
          </w:tcPr>
          <w:p>
            <w:pPr>
              <w:ind w:left="660"/>
              <w:spacing w:after="0"/>
              <w:rPr>
                <w:sz w:val="20"/>
                <w:szCs w:val="20"/>
                <w:color w:val="auto"/>
              </w:rPr>
            </w:pPr>
            <w:r>
              <w:rPr>
                <w:rFonts w:ascii="Arial" w:cs="Arial" w:eastAsia="Arial" w:hAnsi="Arial"/>
                <w:sz w:val="18"/>
                <w:szCs w:val="18"/>
                <w:b w:val="1"/>
                <w:bCs w:val="1"/>
                <w:color w:val="auto"/>
              </w:rPr>
              <w:t>K2 GenPar 2009 Inc.</w:t>
            </w: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1020" w:type="dxa"/>
            <w:vAlign w:val="bottom"/>
          </w:tcPr>
          <w:p>
            <w:pPr>
              <w:ind w:left="660"/>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jc w:val="right"/>
              <w:ind w:right="650"/>
              <w:spacing w:after="0"/>
              <w:rPr>
                <w:sz w:val="20"/>
                <w:szCs w:val="20"/>
                <w:color w:val="auto"/>
              </w:rPr>
            </w:pPr>
            <w:r>
              <w:rPr>
                <w:rFonts w:ascii="Arial" w:cs="Arial" w:eastAsia="Arial" w:hAnsi="Arial"/>
                <w:sz w:val="18"/>
                <w:szCs w:val="18"/>
                <w:color w:val="auto"/>
                <w:w w:val="89"/>
              </w:rPr>
              <w:t>412,924</w:t>
            </w:r>
          </w:p>
        </w:tc>
        <w:tc>
          <w:tcPr>
            <w:tcW w:w="4820" w:type="dxa"/>
            <w:vAlign w:val="bottom"/>
          </w:tcPr>
          <w:p>
            <w:pPr>
              <w:spacing w:after="0"/>
              <w:rPr>
                <w:sz w:val="24"/>
                <w:szCs w:val="24"/>
                <w:color w:val="auto"/>
              </w:rPr>
            </w:pPr>
          </w:p>
        </w:tc>
      </w:tr>
      <w:tr>
        <w:trPr>
          <w:trHeight w:val="648"/>
        </w:trPr>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6"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3880" w:type="dxa"/>
            <w:vAlign w:val="bottom"/>
            <w:tcBorders>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10 of 13 Pages</w:t>
            </w:r>
          </w:p>
        </w:tc>
      </w:tr>
      <w:tr>
        <w:trPr>
          <w:trHeight w:val="426"/>
        </w:trPr>
        <w:tc>
          <w:tcPr>
            <w:tcW w:w="3800" w:type="dxa"/>
            <w:vAlign w:val="bottom"/>
          </w:tcPr>
          <w:p>
            <w:pPr>
              <w:ind w:left="660"/>
              <w:spacing w:after="0"/>
              <w:rPr>
                <w:sz w:val="20"/>
                <w:szCs w:val="20"/>
                <w:color w:val="auto"/>
              </w:rPr>
            </w:pPr>
            <w:r>
              <w:rPr>
                <w:rFonts w:ascii="Arial" w:cs="Arial" w:eastAsia="Arial" w:hAnsi="Arial"/>
                <w:sz w:val="18"/>
                <w:szCs w:val="18"/>
                <w:color w:val="auto"/>
              </w:rPr>
              <w:t>(b)    Percent of class:</w:t>
            </w:r>
          </w:p>
        </w:tc>
        <w:tc>
          <w:tcPr>
            <w:tcW w:w="3880" w:type="dxa"/>
            <w:vAlign w:val="bottom"/>
          </w:tcPr>
          <w:p>
            <w:pPr>
              <w:jc w:val="right"/>
              <w:ind w:right="1850"/>
              <w:spacing w:after="0"/>
              <w:rPr>
                <w:sz w:val="20"/>
                <w:szCs w:val="20"/>
                <w:color w:val="auto"/>
              </w:rPr>
            </w:pPr>
            <w:r>
              <w:rPr>
                <w:rFonts w:ascii="Arial" w:cs="Arial" w:eastAsia="Arial" w:hAnsi="Arial"/>
                <w:sz w:val="18"/>
                <w:szCs w:val="18"/>
                <w:color w:val="auto"/>
              </w:rPr>
              <w:t>5.85%</w:t>
            </w:r>
          </w:p>
        </w:tc>
        <w:tc>
          <w:tcPr>
            <w:tcW w:w="3740" w:type="dxa"/>
            <w:vAlign w:val="bottom"/>
          </w:tcPr>
          <w:p>
            <w:pPr>
              <w:spacing w:after="0"/>
              <w:rPr>
                <w:sz w:val="24"/>
                <w:szCs w:val="24"/>
                <w:color w:val="auto"/>
              </w:rPr>
            </w:pPr>
          </w:p>
        </w:tc>
      </w:tr>
    </w:tbl>
    <w:p>
      <w:pPr>
        <w:ind w:left="1160" w:hanging="50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Daniel Gosselin</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412,924</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5.85%</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SHAWN KIMEL INVESTMENTS, INC.</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412,924</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5.85%</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412,924</w:t>
            </w:r>
          </w:p>
        </w:tc>
      </w:tr>
      <w:tr>
        <w:trPr>
          <w:trHeight w:val="648"/>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K2 &amp; Associates Investment Management Inc..</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412,924</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5.85%</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482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540" w:type="dxa"/>
            <w:vAlign w:val="bottom"/>
          </w:tcPr>
          <w:p>
            <w:pPr>
              <w:ind w:left="940"/>
              <w:spacing w:after="0"/>
              <w:rPr>
                <w:sz w:val="20"/>
                <w:szCs w:val="20"/>
                <w:color w:val="auto"/>
              </w:rPr>
            </w:pPr>
            <w:r>
              <w:rPr>
                <w:rFonts w:ascii="Arial" w:cs="Arial" w:eastAsia="Arial" w:hAnsi="Arial"/>
                <w:sz w:val="18"/>
                <w:szCs w:val="18"/>
                <w:color w:val="auto"/>
              </w:rPr>
              <w:t>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w:t>
            </w:r>
          </w:p>
        </w:tc>
        <w:tc>
          <w:tcPr>
            <w:tcW w:w="482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540" w:type="dxa"/>
            <w:vAlign w:val="bottom"/>
          </w:tcPr>
          <w:p>
            <w:pPr>
              <w:ind w:left="940"/>
              <w:spacing w:after="0"/>
              <w:rPr>
                <w:sz w:val="20"/>
                <w:szCs w:val="20"/>
                <w:color w:val="auto"/>
              </w:rPr>
            </w:pPr>
            <w:r>
              <w:rPr>
                <w:rFonts w:ascii="Arial" w:cs="Arial" w:eastAsia="Arial" w:hAnsi="Arial"/>
                <w:sz w:val="18"/>
                <w:szCs w:val="18"/>
                <w:color w:val="auto"/>
                <w:w w:val="89"/>
              </w:rPr>
              <w:t>412,924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(iii)</w:t>
            </w:r>
          </w:p>
        </w:tc>
        <w:tc>
          <w:tcPr>
            <w:tcW w:w="4820" w:type="dxa"/>
            <w:vAlign w:val="bottom"/>
          </w:tcPr>
          <w:p>
            <w:pPr>
              <w:ind w:left="120"/>
              <w:spacing w:after="0"/>
              <w:rPr>
                <w:sz w:val="20"/>
                <w:szCs w:val="20"/>
                <w:color w:val="auto"/>
              </w:rPr>
            </w:pPr>
            <w:r>
              <w:rPr>
                <w:rFonts w:ascii="Arial" w:cs="Arial" w:eastAsia="Arial" w:hAnsi="Arial"/>
                <w:sz w:val="18"/>
                <w:szCs w:val="18"/>
                <w:color w:val="auto"/>
              </w:rPr>
              <w:t>Sole power to dispose or direct the disposition of:</w:t>
            </w:r>
          </w:p>
        </w:tc>
        <w:tc>
          <w:tcPr>
            <w:tcW w:w="1540" w:type="dxa"/>
            <w:vAlign w:val="bottom"/>
          </w:tcPr>
          <w:p>
            <w:pPr>
              <w:ind w:left="940"/>
              <w:spacing w:after="0"/>
              <w:rPr>
                <w:sz w:val="20"/>
                <w:szCs w:val="20"/>
                <w:color w:val="auto"/>
              </w:rPr>
            </w:pPr>
            <w:r>
              <w:rPr>
                <w:rFonts w:ascii="Arial" w:cs="Arial" w:eastAsia="Arial" w:hAnsi="Arial"/>
                <w:sz w:val="18"/>
                <w:szCs w:val="18"/>
                <w:color w:val="auto"/>
              </w:rPr>
              <w:t>0</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(iv)</w:t>
            </w:r>
          </w:p>
        </w:tc>
        <w:tc>
          <w:tcPr>
            <w:tcW w:w="4820" w:type="dxa"/>
            <w:vAlign w:val="bottom"/>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540" w:type="dxa"/>
            <w:vAlign w:val="bottom"/>
          </w:tcPr>
          <w:p>
            <w:pPr>
              <w:ind w:left="940"/>
              <w:spacing w:after="0"/>
              <w:rPr>
                <w:sz w:val="20"/>
                <w:szCs w:val="20"/>
                <w:color w:val="auto"/>
              </w:rPr>
            </w:pPr>
            <w:r>
              <w:rPr>
                <w:rFonts w:ascii="Arial" w:cs="Arial" w:eastAsia="Arial" w:hAnsi="Arial"/>
                <w:sz w:val="18"/>
                <w:szCs w:val="18"/>
                <w:color w:val="auto"/>
                <w:w w:val="89"/>
              </w:rPr>
              <w:t>412,924</w:t>
            </w: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412,924 ordinary shares of the Issuer are held of record (and may be deemed to be beneficially owned) by The K2 Principal Fund, L.P. See Item 2(a) above for a description of the corporate structure of the Reporting Persons. Each of the Reporting Persons may be deemed to be beneficial owners of the 412,924 shares of the Issuer's ordinary shares that are held by The K2 Principal Fund, L.P. Mr. Daniel Gosselin is president of each of SKI, the GP, GenPar 2009 and K2 and Associates, and exercises ultimate voting and investment powers over the 412,924 shares of the Issuer's Units that are held of record by The K2 Principal Fund, L.P</w:t>
      </w:r>
    </w:p>
    <w:p>
      <w:pPr>
        <w:spacing w:after="0" w:line="21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percentages used in this Schedule 13G are calculated based upon 7,058,743 ordinary shares issued and outstanding as of November 13, 2017, as reported in the companies 10-Q filed with the SEC on November 14, 2017.</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14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Page 11 of 13 Pages</w:t>
            </w:r>
          </w:p>
        </w:tc>
      </w:tr>
      <w:tr>
        <w:trPr>
          <w:trHeight w:val="426"/>
        </w:trPr>
        <w:tc>
          <w:tcPr>
            <w:tcW w:w="7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040" w:type="dxa"/>
            <w:vAlign w:val="bottom"/>
          </w:tcPr>
          <w:p>
            <w:pPr>
              <w:ind w:left="200"/>
              <w:spacing w:after="0"/>
              <w:rPr>
                <w:sz w:val="20"/>
                <w:szCs w:val="20"/>
                <w:color w:val="auto"/>
              </w:rPr>
            </w:pPr>
            <w:r>
              <w:rPr>
                <w:rFonts w:ascii="Arial" w:cs="Arial" w:eastAsia="Arial" w:hAnsi="Arial"/>
                <w:sz w:val="18"/>
                <w:szCs w:val="18"/>
                <w:b w:val="1"/>
                <w:bCs w:val="1"/>
                <w:color w:val="auto"/>
              </w:rPr>
              <w:t>Notice of Dissolution of Group.</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3880" w:type="dxa"/>
            <w:vAlign w:val="bottom"/>
            <w:tcBorders>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12 of 13 Pages</w:t>
            </w:r>
          </w:p>
        </w:tc>
      </w:tr>
      <w:tr>
        <w:trPr>
          <w:trHeight w:val="426"/>
        </w:trPr>
        <w:tc>
          <w:tcPr>
            <w:tcW w:w="3800" w:type="dxa"/>
            <w:vAlign w:val="bottom"/>
          </w:tcPr>
          <w:p>
            <w:pPr>
              <w:spacing w:after="0"/>
              <w:rPr>
                <w:sz w:val="24"/>
                <w:szCs w:val="24"/>
                <w:color w:val="auto"/>
              </w:rPr>
            </w:pPr>
          </w:p>
        </w:tc>
        <w:tc>
          <w:tcPr>
            <w:tcW w:w="3880" w:type="dxa"/>
            <w:vAlign w:val="bottom"/>
          </w:tcPr>
          <w:p>
            <w:pPr>
              <w:jc w:val="right"/>
              <w:ind w:right="1350"/>
              <w:spacing w:after="0"/>
              <w:rPr>
                <w:sz w:val="20"/>
                <w:szCs w:val="20"/>
                <w:color w:val="auto"/>
              </w:rPr>
            </w:pPr>
            <w:r>
              <w:rPr>
                <w:rFonts w:ascii="Arial" w:cs="Arial" w:eastAsia="Arial" w:hAnsi="Arial"/>
                <w:sz w:val="18"/>
                <w:szCs w:val="18"/>
                <w:b w:val="1"/>
                <w:bCs w:val="1"/>
                <w:color w:val="auto"/>
              </w:rPr>
              <w:t>SIGNATURE</w:t>
            </w: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2009 INC.,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Daniel Gosselin</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Daniel Gosselin</w:t>
            </w:r>
          </w:p>
        </w:tc>
      </w:tr>
      <w:tr>
        <w:trPr>
          <w:trHeight w:val="230"/>
        </w:trPr>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GENPAR,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K2 GENPAR 2009 INC., its General Partner</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GENPAR 2009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SHAWN KIMEL INVESTMENTS,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&amp; ASSOCIATES INVESTMENT MANAGEMENT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55304A104</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13 of 13 Pages</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ectPr>
          <w:pgSz w:w="11900" w:h="16838" w:orient="portrait"/>
          <w:cols w:equalWidth="0" w:num="1">
            <w:col w:w="11420"/>
          </w:cols>
          <w:pgMar w:left="240" w:top="876" w:right="239" w:bottom="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2009 INC.,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Daniel Gosselin</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Daniel Gosselin</w:t>
            </w:r>
          </w:p>
        </w:tc>
      </w:tr>
      <w:tr>
        <w:trPr>
          <w:trHeight w:val="230"/>
        </w:trPr>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GENPAR,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K2 GENPAR 2009 INC.,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GENPAR 2009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SHAWN KIMEL INVESTMENTS,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&amp; ASSOCIATES INVESTMENT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Daniel Gosselin, in his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2020-01-14T08:00:27Z</dcterms:created>
  <dcterms:modified xsi:type="dcterms:W3CDTF">2020-01-14T08:00:27Z</dcterms:modified>
</cp:coreProperties>
</file>