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t>CHARDAN CAPITAL MARKETS, LLC</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17 State Street,</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Suite 1600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New York, NY 10004</w:t>
      </w:r>
    </w:p>
    <w:p>
      <w:pPr>
        <w:spacing w:after="0" w:line="211" w:lineRule="exact"/>
        <w:rPr>
          <w:sz w:val="24"/>
          <w:szCs w:val="24"/>
          <w:color w:val="auto"/>
        </w:rPr>
      </w:pPr>
    </w:p>
    <w:p>
      <w:pPr>
        <w:ind w:left="5320"/>
        <w:spacing w:after="0"/>
        <w:rPr>
          <w:sz w:val="20"/>
          <w:szCs w:val="20"/>
          <w:color w:val="auto"/>
        </w:rPr>
      </w:pPr>
      <w:r>
        <w:rPr>
          <w:rFonts w:ascii="Arial" w:cs="Arial" w:eastAsia="Arial" w:hAnsi="Arial"/>
          <w:sz w:val="18"/>
          <w:szCs w:val="18"/>
          <w:color w:val="auto"/>
        </w:rPr>
        <w:t>September 12, 2016</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80"/>
          </w:cols>
          <w:pgMar w:left="240" w:top="445" w:right="37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333-212675</w:t>
      </w:r>
    </w:p>
    <w:p>
      <w:pPr>
        <w:spacing w:after="0" w:line="200" w:lineRule="exact"/>
        <w:rPr>
          <w:sz w:val="24"/>
          <w:szCs w:val="24"/>
          <w:color w:val="auto"/>
        </w:rPr>
      </w:pPr>
    </w:p>
    <w:p>
      <w:pPr>
        <w:sectPr>
          <w:pgSz w:w="11900" w:h="16838" w:orient="portrait"/>
          <w:cols w:equalWidth="0" w:num="2">
            <w:col w:w="280" w:space="380"/>
            <w:col w:w="10620"/>
          </w:cols>
          <w:pgMar w:left="240" w:top="445" w:right="37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Pursuant to Rule 461 of the General Rules and Regulations of the U.S. Securities and Exchange Commission under the Securities Act of 1933, as amended, Chardan Capital Markets, LLC, as representative of the underwriters, hereby requests acceleration of the effective date of the above-referenced Registration Statement so that it will become effective at 4:30 p.m., Washington D.C. time, on September 13, 2016, or as soon thereafter as practicable.</w:t>
      </w:r>
    </w:p>
    <w:p>
      <w:pPr>
        <w:spacing w:after="0" w:line="14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is supplemental information supplied under Rule 418(a)(7) and Rule 460 under the Securities Act of 1933:</w:t>
      </w:r>
    </w:p>
    <w:p>
      <w:pPr>
        <w:spacing w:after="0" w:line="225" w:lineRule="exact"/>
        <w:rPr>
          <w:sz w:val="24"/>
          <w:szCs w:val="24"/>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Date of preliminary prospectus: September 9, 2016</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Date of distribution: September 12, 2016</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prospective underwriters and selected dealers to whom the preliminary prospectus was furnished: 15</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prospectuses so distributed: 226</w:t>
      </w:r>
    </w:p>
    <w:p>
      <w:pPr>
        <w:spacing w:after="0" w:line="211"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The undersigned confirms that it has complied with and will continue to comply with, and it has been informed or will be informed by participating dealers that they have complied with or will comply with, Rule 15c2-8 promulgated under the Securities Exchange Act of 1934, as amended, in connection with the above-referenced issue.</w:t>
      </w:r>
    </w:p>
    <w:p>
      <w:pPr>
        <w:spacing w:after="0" w:line="18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CHARDAN CAPITAL MARKETS, LLC</w:t>
      </w:r>
    </w:p>
    <w:p>
      <w:pPr>
        <w:spacing w:after="0" w:line="225"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Jonas Grossman</w:t>
      </w:r>
    </w:p>
    <w:p>
      <w:pPr>
        <w:spacing w:after="0" w:line="23"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Name: Jonas Grossman</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Title: 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280"/>
      </w:cols>
      <w:pgMar w:left="240" w:top="445"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2020-01-21T08:54:43Z</dcterms:created>
  <dcterms:modified xsi:type="dcterms:W3CDTF">2020-01-21T08:54:43Z</dcterms:modified>
</cp:coreProperties>
</file>