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4080" w:right="1980" w:hanging="4072"/>
        <w:spacing w:after="0" w:line="503" w:lineRule="auto"/>
        <w:tabs>
          <w:tab w:leader="none" w:pos="6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200" w:right="2240" w:hanging="3192"/>
        <w:spacing w:after="0" w:line="501" w:lineRule="auto"/>
        <w:tabs>
          <w:tab w:leader="none" w:pos="65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UNDER SECTION 13 OR 15(d) OF THE SECURITIES EXCHANGE ACT OF 1934 </w:t>
      </w:r>
      <w:r>
        <w:rPr>
          <w:rFonts w:ascii="Arial" w:cs="Arial" w:eastAsia="Arial" w:hAnsi="Arial"/>
          <w:sz w:val="18"/>
          <w:szCs w:val="18"/>
          <w:color w:val="auto"/>
        </w:rPr>
        <w:t>For the transition period from _____________ to ________________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001-37872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 I ACQUISITIONS,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47-4257046</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spacing w:after="0"/>
              <w:rPr>
                <w:sz w:val="20"/>
                <w:szCs w:val="20"/>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 Magna Management LLC</w:t>
            </w:r>
          </w:p>
        </w:tc>
        <w:tc>
          <w:tcPr>
            <w:tcW w:w="5600" w:type="dxa"/>
            <w:vAlign w:val="bottom"/>
          </w:tcPr>
          <w:p>
            <w:pPr>
              <w:spacing w:after="0"/>
              <w:rPr>
                <w:sz w:val="24"/>
                <w:szCs w:val="24"/>
                <w:color w:val="auto"/>
              </w:rPr>
            </w:pP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40 Wall Street, 58th Floor</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10005</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(347) 491-4240</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Units, each consisting of one share of</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Nasdaq Capital Market</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 Stock, $0.001 par value, and</w:t>
            </w:r>
          </w:p>
        </w:tc>
        <w:tc>
          <w:tcPr>
            <w:tcW w:w="5600" w:type="dxa"/>
            <w:vAlign w:val="bottom"/>
          </w:tcPr>
          <w:p>
            <w:pPr>
              <w:spacing w:after="0"/>
              <w:rPr>
                <w:sz w:val="18"/>
                <w:szCs w:val="18"/>
                <w:color w:val="auto"/>
              </w:rPr>
            </w:pPr>
          </w:p>
        </w:tc>
      </w:tr>
      <w:tr>
        <w:trPr>
          <w:trHeight w:val="230"/>
        </w:trPr>
        <w:tc>
          <w:tcPr>
            <w:tcW w:w="5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one Warrant</w:t>
            </w:r>
          </w:p>
        </w:tc>
        <w:tc>
          <w:tcPr>
            <w:tcW w:w="5600" w:type="dxa"/>
            <w:vAlign w:val="bottom"/>
          </w:tcPr>
          <w:p>
            <w:pPr>
              <w:spacing w:after="0"/>
              <w:rPr>
                <w:sz w:val="20"/>
                <w:szCs w:val="20"/>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Common Stock</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60"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00"/>
            <w:col w:w="3280" w:space="720"/>
            <w:col w:w="1200" w:space="140"/>
            <w:col w:w="4360"/>
          </w:cols>
          <w:pgMar w:left="240" w:top="760"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40" w:space="80"/>
            <w:col w:w="3380" w:space="720"/>
            <w:col w:w="1980" w:space="80"/>
            <w:col w:w="3640"/>
          </w:cols>
          <w:pgMar w:left="240" w:top="760" w:right="239" w:bottom="0" w:gutter="0" w:footer="0" w:header="0"/>
          <w:type w:val="continuous"/>
        </w:sectPr>
      </w:pPr>
    </w:p>
    <w:bookmarkStart w:id="1" w:name="page2"/>
    <w:bookmarkEnd w:id="1"/>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the voting and non-voting stock held by non-affiliates of the Registrant as of June 30, 2016 was zero.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10, 2017 was 7,058,743.</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40" w:type="dxa"/>
            <w:vAlign w:val="bottom"/>
            <w:gridSpan w:val="11"/>
          </w:tcPr>
          <w:p>
            <w:pPr>
              <w:jc w:val="center"/>
              <w:ind w:right="3580"/>
              <w:spacing w:after="0"/>
              <w:rPr>
                <w:sz w:val="20"/>
                <w:szCs w:val="20"/>
                <w:color w:val="auto"/>
              </w:rPr>
            </w:pPr>
            <w:r>
              <w:rPr>
                <w:rFonts w:ascii="Arial" w:cs="Arial" w:eastAsia="Arial" w:hAnsi="Arial"/>
                <w:sz w:val="18"/>
                <w:szCs w:val="18"/>
                <w:b w:val="1"/>
                <w:bCs w:val="1"/>
                <w:color w:val="auto"/>
              </w:rPr>
              <w:t>M I ACQUISITIONS, INC.</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80" w:type="dxa"/>
            <w:vAlign w:val="bottom"/>
            <w:gridSpan w:val="19"/>
          </w:tcPr>
          <w:p>
            <w:pPr>
              <w:jc w:val="center"/>
              <w:ind w:right="1760"/>
              <w:spacing w:after="0"/>
              <w:rPr>
                <w:sz w:val="20"/>
                <w:szCs w:val="20"/>
                <w:color w:val="auto"/>
              </w:rPr>
            </w:pPr>
            <w:r>
              <w:rPr>
                <w:rFonts w:ascii="Arial" w:cs="Arial" w:eastAsia="Arial" w:hAnsi="Arial"/>
                <w:sz w:val="18"/>
                <w:szCs w:val="18"/>
                <w:b w:val="1"/>
                <w:bCs w:val="1"/>
                <w:color w:val="auto"/>
                <w:w w:val="91"/>
              </w:rPr>
              <w:t>Annual Report on Form 10-K for the Year Ended December 31, 2016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gridSpan w:val="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1B.</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gridSpan w:val="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SHAREHOLDER MATTERS AND ISSUER</w:t>
              </w:r>
            </w:hyperlink>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PURCHASES OF EQUITY SECURITIES</w:t>
              </w:r>
            </w:hyperlink>
          </w:p>
        </w:tc>
        <w:tc>
          <w:tcPr>
            <w:tcW w:w="7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7.</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w:t>
              </w:r>
            </w:hyperlink>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OPERATIONS</w:t>
              </w:r>
            </w:hyperlink>
          </w:p>
        </w:tc>
        <w:tc>
          <w:tcPr>
            <w:tcW w:w="1260" w:type="dxa"/>
            <w:vAlign w:val="bottom"/>
            <w:tcBorders>
              <w:top w:val="single" w:sz="8" w:color="CCEEFF"/>
            </w:tcBorders>
            <w:gridSpan w:val="4"/>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7A.</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8.</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FINANCIAL STATEMENTS AND SUPPLEMENTARY DATA</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bottom w:val="single" w:sz="8" w:color="CCEEFF"/>
            </w:tcBorders>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9.</w:t>
            </w:r>
          </w:p>
        </w:tc>
        <w:tc>
          <w:tcPr>
            <w:tcW w:w="79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CHANGES IN AND DISAGREEMENTS WITH ACCOUNTANTS ON ACCOUNTING AND FINANCIAL</w:t>
              </w:r>
            </w:hyperlink>
          </w:p>
        </w:tc>
        <w:tc>
          <w:tcPr>
            <w:tcW w:w="1080" w:type="dxa"/>
            <w:vAlign w:val="bottom"/>
            <w:tcBorders>
              <w:bottom w:val="single" w:sz="8" w:color="CCEEFF"/>
            </w:tcBorders>
            <w:gridSpan w:val="3"/>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20" w:type="dxa"/>
            <w:vAlign w:val="bottom"/>
            <w:gridSpan w:val="23"/>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DISCLOSURE</w:t>
              </w:r>
            </w:hyperlink>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9A.</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9B.</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gridSpan w:val="5"/>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10.</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DIRECTORS, EXECUTIVE OFFICERS AND CORPORATE GOVERNANCE</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11.</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EXECUTIVE COMPENSATION</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12.</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SECURITY OWNERSHIP OF CERTAIN BENEFICIAL OWNERS AND MANAGEMENT AND RELATED</w:t>
              </w:r>
            </w:hyperlink>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0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SHAREHOLDER MATTERS</w:t>
              </w:r>
            </w:hyperlink>
          </w:p>
        </w:tc>
        <w:tc>
          <w:tcPr>
            <w:tcW w:w="1020" w:type="dxa"/>
            <w:vAlign w:val="bottom"/>
            <w:tcBorders>
              <w:top w:val="single" w:sz="8" w:color="CCEEFF"/>
            </w:tcBorders>
            <w:gridSpan w:val="2"/>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13.</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 AND DIRECTOR INDEPENDENCE</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14.</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ACCOUNTANT FEES AND SERVICES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gridSpan w:val="5"/>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IV</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15.</w:t>
            </w:r>
          </w:p>
        </w:tc>
        <w:tc>
          <w:tcPr>
            <w:tcW w:w="9020" w:type="dxa"/>
            <w:vAlign w:val="bottom"/>
            <w:gridSpan w:val="23"/>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 AND FINANCIAL STATEMENT SCHEDULES</w:t>
              </w:r>
            </w:hyperlink>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our initial business combination;</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performance following our initial public offering.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10000"/>
        </w:rPr>
        <w:t>PART 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 I Acquisitions, Inc. is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“Bleed for This” was executive produced by Martin Scorsese, was written and directed by Ben Younger, and produced by Bruce Cohen and Emma Tillinger Koskoff.</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19, 2016, we consummated our initial public offering (“IPO”) of 5,000,000 units. Each Unit consists of one share of common stock (“Common Stock”), and one warrant (“Public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19, 2016, simultaneously with the consummation of the IPO, we consummated the private placement (“Private Placement”) of 402,500 units (the “Private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the Company,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the Company’s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total of $54,694,127 of the net proceeds from the sale of Units in the initial public offering (including the over-allotment option Units) and the private placements on September 19, 2016 and October 14, 2016, were placed in a trust account established for the benefit of the Company’s public stockholders and maintained at J.P. Morgan Chase Bank maintained by American Stock Transfer &amp; Trust Company, acting as trustee. None of the funds held in trust will be released from the trust account, other than interest income to pay any tax obligations, until the earlier of (i) the consummation of the Company’s initial business combination and (ii) the Company’s failure to consummate a business combination within 18 months from the date of the Offering. On November 14, 2016, the common stock and warrants underlying the Units sold in our initial public offering began to trade separately on a voluntary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Since our initial public offering, our sole business activity has been identifying and evaluating suitable acquisition transaction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specific competitive strengths to be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public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flexibility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Competitive Weaknesses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Financial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an Acquisition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the IPO. We intend to utilize cash derived from the proceeds of the IPO and the private placement of private units, our capital stock, debt or a combination of these in effecting our initial business combination. Although substantially all of the net proceeds of the IPO and the private placement of private units are intended to be applied generally toward effecting a business combination, the proceeds are not otherwise being designated for any more specific purposes. Accordingly, investors in the IPO were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Target Businesses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known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report, there are no affiliated entities that we would consider as a business combination target.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Accordingly, there is no basis for investors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Market Value of Target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84"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Business Diversification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73"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6"/>
          <w:szCs w:val="16"/>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 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public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89.4% or more of the shares of common stock sold in the IPO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the underwriters in an amount equal to 2.0% of the total gross proceeds raised in the offering,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89.4% indicated above. As a result, we may not be able to consummate such initial business combination and we may not be able to locate another suitable target within the applicable time period, if at all. Public stockholders may therefore have to wait 18 months from the closing of the IPO (or up to 21 months from the closing of the IPO if we extend the period of time to consummate a business combination, as described in more detail below) in order to be able to receive a portion of the trust account.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beneficially own approximately 24.8% of our issued and outstanding shares of common stock, a minimum of approximately 16,052, or 0.2% (if the approval requirement was a majority of shares voted and the minimum number of shares required for a quorum attended the meeting), and a maximum of approximately 1,780,739, or 25.0%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anticipate that we may not be able to consummate our initial business combination within 18 months, we may extend the period of time to consummate a business combination up to three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up to an aggregate of $398,259,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$398,259.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$10.30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the IPO, we believe we have limited the ability of a small group of stockholders to unreasonably attempt to block a transaction which is favored by our other public stockholders.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the IPO or purchased by them in the IPO or in the aftermarket.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93"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do not complete a business combination within 18 months from the closing of the IPO,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up to an aggregate of $398,259, or $0.075 per unit, on or prior to the date of the applicable deadline, for each one month extension. The insiders will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$398,259. At such time, the warrants will expire and holders of warrants will receive nothing upon a liquidation with respect to such warrants, and the warrants will be worthless.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intention to redeem our public shares as soon as reasonably possible following the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or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month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seek to have all third parties (including any vendors or other entities we engage after the IPO) and any prospective target businesses enter into valid and enforceable agreements with us waiving any right, title, interest or claim of any kind they may have in or to any monies held in the trust account.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Certificate of Incorporation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certificate of incorporation contains certain requirements and restrictions relating to the IPO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79"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9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the IPO,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the consummation of the IPO (including the partial exercise of the over-allotment option), $54,694,127 was placed into the trust account;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1"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the IPO, our ability to compete in completing a business combination with certain sizable target businesses may be limited by our available financial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225" w:lineRule="exact"/>
        <w:rPr>
          <w:sz w:val="20"/>
          <w:szCs w:val="20"/>
          <w:color w:val="auto"/>
        </w:rPr>
      </w:pPr>
    </w:p>
    <w:p>
      <w:pPr>
        <w:ind w:left="5640" w:right="40" w:hanging="5308"/>
        <w:spacing w:after="0" w:line="778"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outstanding warrants and unit purchase options, and the potential future dilution they represent;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the underwriters upon consummation of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If we succeed in effecting our initial business combination, there will be, in all likelihood, intense competition from competitors of the target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to our initial business combination, we may not have the resources or ability to compete effectively.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maintain our principal executive offices at 40 Wall Street, 58th Floor, New York, NY 10005. The cost for this space is included in the $10,000 per-month fee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10000"/>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1080" w:val="left"/>
        </w:tabs>
        <w:rPr>
          <w:sz w:val="20"/>
          <w:szCs w:val="20"/>
          <w:color w:val="auto"/>
        </w:rPr>
      </w:pPr>
      <w:r>
        <w:rPr>
          <w:rFonts w:ascii="Arial" w:cs="Arial" w:eastAsia="Arial" w:hAnsi="Arial"/>
          <w:sz w:val="18"/>
          <w:szCs w:val="18"/>
          <w:b w:val="1"/>
          <w:bCs w:val="1"/>
          <w:color w:val="010000"/>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do not own any real estate or other physical properties materially important to our operations. Our principal executive offices are located at 40 Wall Street, 58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10005. The cost for this space is included in the $10,000 per-month fee payable to Magna Management LLC, a company controlled by our insiders, for office space, utilities and secretarial services. We consider our current office space adequate for our current operations.</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10000"/>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010000"/>
        </w:rPr>
        <w:t xml:space="preserve">ITEM 5. </w:t>
      </w:r>
      <w:r>
        <w:rPr>
          <w:rFonts w:ascii="Arial" w:cs="Arial" w:eastAsia="Arial" w:hAnsi="Arial"/>
          <w:sz w:val="18"/>
          <w:szCs w:val="18"/>
          <w:b w:val="1"/>
          <w:bCs w:val="1"/>
          <w:color w:val="000000"/>
        </w:rPr>
        <w:t>MARKET FOR REGISTRANT’S COMMON EQUITY, RELATED SHAREHOLDER MATTERS AND ISSUER PURCHASES OF</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EQUITY SECURITIES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units began to trade on the Nasdaq Capital Market, or Nasdaq, under the symbol “MACQU” on September 14, 2016. The common stock and warrants comprising the units began separate trading on Nasdaq on November 14, 2016 under the symbols “MACQ” and “MACQW”,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high and low closing sale prices of units, common stock and warrants reported by the Nasdaq for the period from September 14, 2016 (the date on which our units were first traded on the Nasdaq) through March 10,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vMerge w:val="restart"/>
          </w:tcPr>
          <w:p>
            <w:pPr>
              <w:spacing w:after="0"/>
              <w:rPr>
                <w:sz w:val="20"/>
                <w:szCs w:val="20"/>
                <w:color w:val="auto"/>
              </w:rPr>
            </w:pPr>
            <w:r>
              <w:rPr>
                <w:rFonts w:ascii="Arial" w:cs="Arial" w:eastAsia="Arial" w:hAnsi="Arial"/>
                <w:sz w:val="18"/>
                <w:szCs w:val="18"/>
                <w:color w:val="auto"/>
              </w:rPr>
              <w:t>Period Ended</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ind w:left="3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w w:val="95"/>
              </w:rPr>
              <w:t>Warrants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Units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High</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High</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High</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December 31, 2016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9.80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ind w:left="520"/>
              <w:spacing w:after="0"/>
              <w:rPr>
                <w:sz w:val="20"/>
                <w:szCs w:val="20"/>
                <w:color w:val="auto"/>
              </w:rPr>
            </w:pPr>
            <w:r>
              <w:rPr>
                <w:rFonts w:ascii="Arial" w:cs="Arial" w:eastAsia="Arial" w:hAnsi="Arial"/>
                <w:sz w:val="18"/>
                <w:szCs w:val="18"/>
                <w:color w:val="auto"/>
              </w:rPr>
              <w:t>0.29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January 1, 2017 through March 10, 2017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0.48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10, 2017, there were 7,058,743 shares of our common stock issued and outstanding held by 4 shareholders of record. The number of record holders was determined from the records of our transfer agent and does not include beneficial owners of common stock whose shares are held in the names of various security brokers, dealers, and registered clearing agencies.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acquisition transaction. The payment of cash dividends in the future will be dependent upon our revenues and earnings, if any, capital requirements and general financial condition subsequent to completion of an initial acquisition transaction. The payment of any dividends subsequent to an initial acquisition transaction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2016, we consummated our IPO of 5,000,000 Units. Each Unit consists of one share of Common Stock, and one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IPO, we consummated a private placement of 402,500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The holders of the Private Units have agreed (A) to vote their private shares and any public shares acquired by them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by March 13, 2018 (or June 13, 2018,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by March 13, 2018 (or June 13, 2018,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closing of the above transactions, a total of $54,694,127 of the net proceeds from the IPO (including the partial exercise of the over-allotment option) and the Private Placement were in a trust account established for the benefit of the Company’s public shareholders. As of December 31, 2016, cash and cash equivalents held in trust totaled $54,731,828.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paid a total of $1,593,033 in underwriting discounts and commissions and $1,687,451 for other costs and expenses related to our formation and the IPO.</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use of the proceeds generated in our initial public offering, see below Part II, Item 7 – Management’s Discussion and Analysis of Financial Condition and Results of Operations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tabs>
          <w:tab w:leader="none" w:pos="1100" w:val="left"/>
        </w:tabs>
        <w:rPr>
          <w:sz w:val="20"/>
          <w:szCs w:val="20"/>
          <w:color w:val="auto"/>
        </w:rPr>
      </w:pPr>
      <w:r>
        <w:rPr>
          <w:rFonts w:ascii="Arial" w:cs="Arial" w:eastAsia="Arial" w:hAnsi="Arial"/>
          <w:sz w:val="18"/>
          <w:szCs w:val="18"/>
          <w:b w:val="1"/>
          <w:bCs w:val="1"/>
          <w:color w:val="010000"/>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our public offering in effecting our initial business combination.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have no revenue, have had losses since inception from incurring formation costs and have had no operations other than the active solicitation of a target business with which to complete a business combination. We have relied upon the sale of our securities and loans from our officers and directors to fund our operations.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2016, we consummated our IPO of 5,000,000 Units. Each Unit consists of one share of Common Stock and one Public Warrant to purchase one share of Common Stock at an exercise price of $11.50 per share. The Units were sold at an offering price of $10.00 per Unit, generating gross proceeds of $50,000,000. We granted the underwriters a 45-day option to purchase up to 750,000 additional Units to cover over-allotments, if any. Simultaneously with the consummation of the IPO, we consummated the Private Placement of 402,500 Private Units at a price of $10.00 per Private Unit, generating total proceeds of $4,025,000. 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 The remainder of the over-allotment option expired unexercised.</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2016, a total of $54,731,828 of the net proceeds from the Offering (including the partial exercise of the over-allotment option) and the Private Placement were in a trust account established for the benefit of the Company’s public shareholders.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entire activity from inception up to December 31, 2016 was related to the Company’s formation, the IPO and general and administrative activities. Since the IPO, our activity has been limited to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 We expect our expenses to increase substantially after this period.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2016, we had a net loss of $107,995. During the year ended December 31, 2016, we incurred $137,529 of general and administrative expenses and $35,667 of administrative fees paid to a related party. These expenses for the year ended December 31, 2016 were offset by $27,500 for the extinguishment of debt recorded by the Company on the amendment of a note payable and $37,701 of interest income. For the period from April 23, 2016 (Inception) to December 31, 2015, we had a net loss of $10,226 which was comprised of formation and operating costs.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had cash outside our trust account of $362,535.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liquidity needs have been satisfied to date through receipt of $25,000 from the sale of the insider shares, loans and advances from insiders and a related party and an unrelated party in an aggregate amount of $241,921 that were repaid at the closing of the IPO, and the proceeds from the IPO and Private Placement.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IPO,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the approximately $362,535 outside of our trust account will be sufficient to allow us to operate until June 19, 2018,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we will incur approximately:</w:t>
      </w:r>
    </w:p>
    <w:p>
      <w:pPr>
        <w:spacing w:after="0" w:line="225"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$50,000 of expenses for the due diligence and investigation of a target business by our officers, directors and insiders;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$94,500 of expenses in legal and accounting fees relating to our SEC reporting obligations;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$150,000 for the payment of the administrative fee to Magna Management LLC (of $10,000 per month for up to remaining 15 months we have to seek a potential business combination), subject to deferral as described herein;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 for general working capital that will be used for miscellaneous expenses, liquidation obligations and reserves, including director and officer liability insurance premiums.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Off-Balance Sheet Financing Arrangements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2016, we did not have any off-balance sheet arrangements.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we did not have any long-term debt, capital lease obligations, operating lease obligations or long-term liabilities other than a monthly fee of $10,000 for general and administrative services payable to Magna Management LLC, an affiliate of our insiders, which will be paid for up to 21 months starting on the closing date of the IPO.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generally accepted accounting principles in the United States, or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as our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conversion: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common stock subject to possible conversion in accordance with the guidance enumerated in ASC 480 “</w:t>
      </w:r>
      <w:r>
        <w:rPr>
          <w:rFonts w:ascii="Arial" w:cs="Arial" w:eastAsia="Arial" w:hAnsi="Arial"/>
          <w:sz w:val="18"/>
          <w:szCs w:val="18"/>
          <w:i w:val="1"/>
          <w:iCs w:val="1"/>
          <w:color w:val="auto"/>
        </w:rPr>
        <w:t>Distinguishing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 Common stock subject to mandatory conversion are classified as a liability instrument and is measured at fair value. Conditionally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(including common shares that feature conversion rights that are either within the control of the holder or subject to conversion upon the occurrence of uncertain events not solely within our control) is classified as temporary equity. At all other times, common stock is classified as stockholders’ equity. Our common stock features certain conversion rights that are considered by us to be outside of our control and subject to the occurrence of uncertain future events. Accordingly, the common stock subject to possible conversion is presented as temporary equity, outside of the stockholders’ equity section of the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2016, the Company had approximately $363,000 in cash and cash equivalents held outside Trust Account, approximately $38,000 in interest income available from the Company's investments in the Trust Account to pay its income tax obligations, and a working capital of approximately $269,000.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t>Based on the foregoing, the Company may have insufficient funds available to operate its business through the earlier of consummation of a Business Combination or March 19, 2018.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financial statements do not include any adjustments that might be necessary if the Company is unable to continue as a going concern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Entity’s Ability to Continue as a Going Concern.” </w:t>
      </w:r>
      <w:r>
        <w:rPr>
          <w:rFonts w:ascii="Arial" w:cs="Arial" w:eastAsia="Arial" w:hAnsi="Arial"/>
          <w:sz w:val="17"/>
          <w:szCs w:val="17"/>
          <w:color w:val="auto"/>
        </w:rPr>
        <w:t>ASU 2014-15 provides guidance on management’s responsibility to evaluate whether there is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doubt about an organization’s ability to continue as a going concern and to provide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ASU 2014-15 are effective for annual reporting periods ending after December 15, 2016, and for annual and interim periods thereafter. Early adoption is permitted. The Company has elected to adopt the methodologies prescribed by ASU 2014-15. The adoption of ASU 2014-15 had no material effect on its financial position or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our financial statements.</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the notes thereto begin on page F-1 of this Annual Report.</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tabs>
          <w:tab w:leader="none" w:pos="1100" w:val="left"/>
        </w:tabs>
        <w:rPr>
          <w:sz w:val="20"/>
          <w:szCs w:val="20"/>
          <w:color w:val="auto"/>
        </w:rPr>
      </w:pPr>
      <w:r>
        <w:rPr>
          <w:rFonts w:ascii="Arial" w:cs="Arial" w:eastAsia="Arial" w:hAnsi="Arial"/>
          <w:sz w:val="18"/>
          <w:szCs w:val="18"/>
          <w:b w:val="1"/>
          <w:bCs w:val="1"/>
          <w:color w:val="010000"/>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year ended December 31, 2016,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 This annual report does not include an attestation report of our registered public accounting firm regarding internal control over financial reporting. As a smaller reporting company, management’s report is not subject to attestation by our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2016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010000"/>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010000"/>
        </w:rPr>
        <w:t>PART III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010000"/>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directors and executive officers as of March 10,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40" w:type="dxa"/>
            <w:vAlign w:val="bottom"/>
          </w:tcPr>
          <w:p>
            <w:pPr>
              <w:jc w:val="right"/>
              <w:ind w:right="270"/>
              <w:spacing w:after="0"/>
              <w:rPr>
                <w:sz w:val="20"/>
                <w:szCs w:val="20"/>
                <w:color w:val="auto"/>
              </w:rPr>
            </w:pPr>
            <w:r>
              <w:rPr>
                <w:rFonts w:ascii="Arial" w:cs="Arial" w:eastAsia="Arial" w:hAnsi="Arial"/>
                <w:sz w:val="18"/>
                <w:szCs w:val="18"/>
                <w:b w:val="1"/>
                <w:bCs w:val="1"/>
                <w:color w:val="auto"/>
              </w:rPr>
              <w:t>Age</w:t>
            </w:r>
          </w:p>
        </w:tc>
        <w:tc>
          <w:tcPr>
            <w:tcW w:w="3040" w:type="dxa"/>
            <w:vAlign w:val="bottom"/>
          </w:tcPr>
          <w:p>
            <w:pPr>
              <w:ind w:left="3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Joshua Sason</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29</w:t>
            </w:r>
          </w:p>
        </w:tc>
        <w:tc>
          <w:tcPr>
            <w:tcW w:w="3040" w:type="dxa"/>
            <w:vAlign w:val="bottom"/>
          </w:tcPr>
          <w:p>
            <w:pPr>
              <w:ind w:left="360"/>
              <w:spacing w:after="0"/>
              <w:rPr>
                <w:sz w:val="20"/>
                <w:szCs w:val="20"/>
                <w:color w:val="auto"/>
              </w:rPr>
            </w:pPr>
            <w:r>
              <w:rPr>
                <w:rFonts w:ascii="Arial" w:cs="Arial" w:eastAsia="Arial" w:hAnsi="Arial"/>
                <w:sz w:val="18"/>
                <w:szCs w:val="18"/>
                <w:color w:val="auto"/>
                <w:w w:val="92"/>
              </w:rPr>
              <w:t>Chief Executive Officer and 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Marc Manuel</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3040" w:type="dxa"/>
            <w:vAlign w:val="bottom"/>
          </w:tcPr>
          <w:p>
            <w:pPr>
              <w:ind w:left="360"/>
              <w:spacing w:after="0"/>
              <w:rPr>
                <w:sz w:val="20"/>
                <w:szCs w:val="20"/>
                <w:color w:val="auto"/>
              </w:rPr>
            </w:pPr>
            <w:r>
              <w:rPr>
                <w:rFonts w:ascii="Arial" w:cs="Arial" w:eastAsia="Arial" w:hAnsi="Arial"/>
                <w:sz w:val="18"/>
                <w:szCs w:val="18"/>
                <w:color w:val="auto"/>
                <w:w w:val="94"/>
              </w:rPr>
              <w:t>Chief Financial Officer and 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Russell Rieger</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3040" w:type="dxa"/>
            <w:vAlign w:val="bottom"/>
          </w:tcPr>
          <w:p>
            <w:pPr>
              <w:ind w:left="360"/>
              <w:spacing w:after="0"/>
              <w:rPr>
                <w:sz w:val="20"/>
                <w:szCs w:val="20"/>
                <w:color w:val="auto"/>
              </w:rPr>
            </w:pPr>
            <w:r>
              <w:rPr>
                <w:rFonts w:ascii="Arial" w:cs="Arial" w:eastAsia="Arial" w:hAnsi="Arial"/>
                <w:sz w:val="18"/>
                <w:szCs w:val="18"/>
                <w:color w:val="auto"/>
              </w:rPr>
              <w:t>Vice President of Strategy</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Donald S. Ienner</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64</w:t>
            </w:r>
          </w:p>
        </w:tc>
        <w:tc>
          <w:tcPr>
            <w:tcW w:w="304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David Schulhof</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3040" w:type="dxa"/>
            <w:vAlign w:val="bottom"/>
          </w:tcPr>
          <w:p>
            <w:pPr>
              <w:ind w:left="360"/>
              <w:spacing w:after="0"/>
              <w:rPr>
                <w:sz w:val="20"/>
                <w:szCs w:val="20"/>
                <w:color w:val="auto"/>
              </w:rPr>
            </w:pPr>
            <w:r>
              <w:rPr>
                <w:rFonts w:ascii="Arial" w:cs="Arial" w:eastAsia="Arial" w:hAnsi="Arial"/>
                <w:sz w:val="18"/>
                <w:szCs w:val="18"/>
                <w:color w:val="auto"/>
              </w:rPr>
              <w:t>Director</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Samuel S. Holdsworth</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64</w:t>
            </w:r>
          </w:p>
        </w:tc>
        <w:tc>
          <w:tcPr>
            <w:tcW w:w="3040" w:type="dxa"/>
            <w:vAlign w:val="bottom"/>
          </w:tcPr>
          <w:p>
            <w:pPr>
              <w:ind w:left="3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business experience of each of our executive officers and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Joshua Sason </w:t>
      </w:r>
      <w:r>
        <w:rPr>
          <w:rFonts w:ascii="Arial" w:cs="Arial" w:eastAsia="Arial" w:hAnsi="Arial"/>
          <w:sz w:val="18"/>
          <w:szCs w:val="18"/>
          <w:color w:val="auto"/>
        </w:rPr>
        <w:t>has served as our Chief Executive Officer and a Director since our inception. Mr. Sason is the founder &amp; Chief Executive Officer of Magna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its latest feature film, “Bleed for This”.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Marc Manuel </w:t>
      </w:r>
      <w:r>
        <w:rPr>
          <w:rFonts w:ascii="Arial" w:cs="Arial" w:eastAsia="Arial" w:hAnsi="Arial"/>
          <w:sz w:val="17"/>
          <w:szCs w:val="17"/>
          <w:color w:val="auto"/>
        </w:rPr>
        <w:t>has served as our Chief Financial Officer and Director since July 12, 2016. Marc has served as a Managing Director for Magna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2012. Since joining Magna as Managing Director, Mr. Manuel has been responsible for helping to build out the Magna’s Equities division, structuring the Equities division’s investments both as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 President of Magna Entertainment, LLC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 the music</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directors and officers will play a key role in identifying, evaluating, and selecting target businesses, and structuring, negotiating and consummating our initial acquisition transaction. Except as described below and under “Conflicts of Interest,” none of these individuals is currently a principal of or affiliated with a public company or blank check company that executed a business plan similar to our business plan. We believe that the skills and experience of these individuals, their collective access to acquisition opportunities and ideas, their contacts, and their transaction expertise should enable them to identify successfully and effect an acquisition transaction, although we cannot assure you that they will, in fact, be able to do so.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officers and board of directors are composed of a diverse group of leaders. Most of the current officers or directors have senior leadership experience in the entertainment and media industry. In these positions, they have also gained experience in core management skills, such as strategic and financial planning, financial reporting, compliance, risk management, and leadership development. Most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officers and board members described below, provide us with a diverse range of perspectives and judgment necessary to facilitate our goals of consummating an acquisition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Joshua Sason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Sason is well-qualified to serve as Chief Executive Officer and a member of the Board due to his business leadership, operational experience, and experience in direct investments across the worldwide public and private equity markets and the entertainment industry. We believe Mr. Sason’s access to contacts and sources, ranging from private and public company contacts, private equity funds and investment bankers will allow us to generate acquisition opportunities and identify suitable acquisition candidates. We believe Mr. Sason’s investment experience in the entertainment industry and background in negotiating, structuring and consummating private equity transactions will further our purpose of consummating an acquisition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Manuel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Mr. </w:t>
      </w:r>
      <w:r>
        <w:rPr>
          <w:rFonts w:ascii="Arial" w:cs="Arial" w:eastAsia="Arial" w:hAnsi="Arial"/>
          <w:sz w:val="18"/>
          <w:szCs w:val="18"/>
          <w:i w:val="1"/>
          <w:iCs w:val="1"/>
          <w:color w:val="auto"/>
        </w:rPr>
        <w:t>Manuel</w:t>
      </w:r>
      <w:r>
        <w:rPr>
          <w:rFonts w:ascii="Arial" w:cs="Arial" w:eastAsia="Arial" w:hAnsi="Arial"/>
          <w:sz w:val="18"/>
          <w:szCs w:val="18"/>
          <w:color w:val="auto"/>
        </w:rPr>
        <w:t xml:space="preserve"> is well-qualified to serve as a member of the Board due to his investment experience, merger and acquisition experience and operational experience. We believe Mr. Manuel’s access to contacts and sources, ranging from private and public company contacts, private equity funds and investment bankers will allow us to generate acquisition opportunities and identify suitable acquisition candidates. We believe Mr. Manuel’s strategic consulting experience and background in negotiating, structuring and consummating private equity transactions will further our purpose of consummating an acquisition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Donald S. Ienner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Ienner is well-qualified to serve as a member of the Board due to his business leadership and experience in the music industry and public company experience. We believe Mr. Manuel’s access to contacts and sources in the music industry will allow us to generate acquisition opportunities and identify suitable acquisition candidates. We believe Mr. Ienner’s strategic consulting experience and background in the music industry will further our purpose of consummating an acquisition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Schulhof</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Schulhof is well-qualified to serve as a member of the Board due to his business leadership, operational experience, legal background and experience in mergers and acquisitions in the entertainment and media industry. We believe Mr. Schulhof’s access to contacts and sources, ranging from private and public company contacts, private equity funds and investment bankers in the entertainment and media industry will allow us to generate acquisition opportunities and identify suitable acquisition candidates. We believe Mr. Schulhof’s broad operational experience and background in negotiating, structuring and consummating mergers and acquisitions including the acquisition of Evergreen by KKR/BMG Rights Management will further our purpose of consummating an acquisition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S. Holdsworth</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Holdsworth is well-qualified to serve as a member of the Board due to his business leadership, operational experience, experience in investment and advisory services for media and entertainment businesses. We believe Mr. Holdsworth’s contacts and sources, ranging from private and public company contacts, private equity funds and investment bankers in the entertainment and media industry will allow us to generate acquisition opportunities and identify suitable acquisition candidates. We believe Mr. Holdsworth’s broad consulting experience and background in negotiating, structuring and consummating mergers and acquisitions will further our purpose of consummating an acquisition transaction.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Russell Rieger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Rieger is well-qualified to serve as an officer of the company due to his investment, operational, corporate strategy and consulting experience in the entertainment and media industries. We believe Mr. Rieger’s access to contacts and sources in the entertainment and media industries, ranging from private and public company contacts, private equity funds and investment bankers will allow us to generate acquisition opportunities and identify suitable acquisition candidates. We believe Mr. Rieger’s consulting experience and background in negotiating, structuring and consummating private equity transactions will further our purpose of consummating an acquisition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has a standing audit and compensation committee. The independent directors oversee director nominations. Each audit committee and compensation committee has a charter, which was filed with the SEC as exhibits to the Registration Statement on Form S-1 on July 26,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no meetings during 2016.</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Audit Committee are Samuel S. Holdsworth, Chair, David Schulhof and Donald S. Ienner. The Board has determined that Samuel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Holdsworth is an audit committee financial expert, as defined in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no meetings during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Compensation Committee are David Schulhof, Chair, Samuel S. Holdsworth and Donald S. Ienner.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 Overseeing Director Nominations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independent directors of the Company assists the Board in overseeing various Board composition, and to the extent they deem necessary, perform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does not have a formal policy on Board candidate qualifications. The Board may consider those factors it deems appropriate in evaluating director nominees made either by the Board or shareholders,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 The directors will consider candidates from any reasonable source, including current Board members, shareholders, professional search firms or other persons. The directors will not evaluate candidates differently based on who has made the recommendation.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225"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w:t>
      </w:r>
    </w:p>
    <w:p>
      <w:pPr>
        <w:spacing w:after="0" w:line="123"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the IPO.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640"/>
              <w:spacing w:after="0"/>
              <w:rPr>
                <w:sz w:val="20"/>
                <w:szCs w:val="20"/>
                <w:color w:val="auto"/>
              </w:rPr>
            </w:pPr>
            <w:r>
              <w:rPr>
                <w:rFonts w:ascii="Arial" w:cs="Arial" w:eastAsia="Arial" w:hAnsi="Arial"/>
                <w:sz w:val="18"/>
                <w:szCs w:val="18"/>
                <w:b w:val="1"/>
                <w:bCs w:val="1"/>
                <w:color w:val="auto"/>
              </w:rPr>
              <w:t>Name of Affiliated</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Name of Individual</w:t>
            </w:r>
          </w:p>
        </w:tc>
        <w:tc>
          <w:tcPr>
            <w:tcW w:w="2860" w:type="dxa"/>
            <w:vAlign w:val="bottom"/>
            <w:gridSpan w:val="2"/>
          </w:tcPr>
          <w:p>
            <w:pPr>
              <w:ind w:left="1000"/>
              <w:spacing w:after="0"/>
              <w:rPr>
                <w:sz w:val="20"/>
                <w:szCs w:val="20"/>
                <w:color w:val="auto"/>
              </w:rPr>
            </w:pPr>
            <w:r>
              <w:rPr>
                <w:rFonts w:ascii="Arial" w:cs="Arial" w:eastAsia="Arial" w:hAnsi="Arial"/>
                <w:sz w:val="18"/>
                <w:szCs w:val="18"/>
                <w:b w:val="1"/>
                <w:bCs w:val="1"/>
                <w:color w:val="auto"/>
              </w:rPr>
              <w:t>Company</w:t>
            </w:r>
          </w:p>
        </w:tc>
        <w:tc>
          <w:tcPr>
            <w:tcW w:w="2960" w:type="dxa"/>
            <w:vAlign w:val="bottom"/>
            <w:gridSpan w:val="2"/>
          </w:tcPr>
          <w:p>
            <w:pPr>
              <w:ind w:left="760"/>
              <w:spacing w:after="0"/>
              <w:rPr>
                <w:sz w:val="20"/>
                <w:szCs w:val="20"/>
                <w:color w:val="auto"/>
              </w:rPr>
            </w:pPr>
            <w:r>
              <w:rPr>
                <w:rFonts w:ascii="Arial" w:cs="Arial" w:eastAsia="Arial" w:hAnsi="Arial"/>
                <w:sz w:val="18"/>
                <w:szCs w:val="18"/>
                <w:b w:val="1"/>
                <w:bCs w:val="1"/>
                <w:color w:val="auto"/>
              </w:rPr>
              <w:t>Entity’s Business</w:t>
            </w:r>
          </w:p>
        </w:tc>
        <w:tc>
          <w:tcPr>
            <w:tcW w:w="2840" w:type="dxa"/>
            <w:vAlign w:val="bottom"/>
          </w:tcPr>
          <w:p>
            <w:pPr>
              <w:ind w:left="1020"/>
              <w:spacing w:after="0"/>
              <w:rPr>
                <w:sz w:val="20"/>
                <w:szCs w:val="20"/>
                <w:color w:val="auto"/>
              </w:rPr>
            </w:pPr>
            <w:r>
              <w:rPr>
                <w:rFonts w:ascii="Arial" w:cs="Arial" w:eastAsia="Arial" w:hAnsi="Arial"/>
                <w:sz w:val="18"/>
                <w:szCs w:val="18"/>
                <w:b w:val="1"/>
                <w:bCs w:val="1"/>
                <w:color w:val="auto"/>
              </w:rPr>
              <w:t>Affiliation</w:t>
            </w:r>
          </w:p>
        </w:tc>
      </w:tr>
      <w:tr>
        <w:trPr>
          <w:trHeight w:val="195"/>
        </w:trPr>
        <w:tc>
          <w:tcPr>
            <w:tcW w:w="2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Magna Management LLC</w:t>
            </w:r>
          </w:p>
        </w:tc>
        <w:tc>
          <w:tcPr>
            <w:tcW w:w="12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Founder &amp; Chief Executive Officer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spacing w:after="0"/>
              <w:rPr>
                <w:sz w:val="20"/>
                <w:szCs w:val="20"/>
                <w:color w:val="auto"/>
              </w:rPr>
            </w:pPr>
            <w:r>
              <w:rPr>
                <w:rFonts w:ascii="Arial" w:cs="Arial" w:eastAsia="Arial" w:hAnsi="Arial"/>
                <w:sz w:val="18"/>
                <w:szCs w:val="18"/>
                <w:color w:val="auto"/>
              </w:rPr>
              <w:t>Sason Builders</w:t>
            </w:r>
          </w:p>
        </w:tc>
        <w:tc>
          <w:tcPr>
            <w:tcW w:w="296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84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spacing w:after="0"/>
              <w:rPr>
                <w:sz w:val="20"/>
                <w:szCs w:val="20"/>
                <w:color w:val="auto"/>
              </w:rPr>
            </w:pPr>
            <w:r>
              <w:rPr>
                <w:rFonts w:ascii="Arial" w:cs="Arial" w:eastAsia="Arial" w:hAnsi="Arial"/>
                <w:sz w:val="18"/>
                <w:szCs w:val="18"/>
                <w:color w:val="auto"/>
              </w:rPr>
              <w:t>Mainz</w:t>
            </w:r>
          </w:p>
        </w:tc>
        <w:tc>
          <w:tcPr>
            <w:tcW w:w="2960" w:type="dxa"/>
            <w:vAlign w:val="bottom"/>
            <w:gridSpan w:val="2"/>
          </w:tcPr>
          <w:p>
            <w:pPr>
              <w:spacing w:after="0"/>
              <w:rPr>
                <w:sz w:val="20"/>
                <w:szCs w:val="20"/>
                <w:color w:val="auto"/>
              </w:rPr>
            </w:pPr>
            <w:r>
              <w:rPr>
                <w:rFonts w:ascii="Arial" w:cs="Arial" w:eastAsia="Arial" w:hAnsi="Arial"/>
                <w:sz w:val="18"/>
                <w:szCs w:val="18"/>
                <w:color w:val="auto"/>
              </w:rPr>
              <w:t>Customer experience</w:t>
            </w:r>
          </w:p>
        </w:tc>
        <w:tc>
          <w:tcPr>
            <w:tcW w:w="284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spacing w:after="0"/>
              <w:rPr>
                <w:sz w:val="20"/>
                <w:szCs w:val="20"/>
                <w:color w:val="auto"/>
              </w:rPr>
            </w:pPr>
            <w:r>
              <w:rPr>
                <w:rFonts w:ascii="Arial" w:cs="Arial" w:eastAsia="Arial" w:hAnsi="Arial"/>
                <w:sz w:val="18"/>
                <w:szCs w:val="18"/>
                <w:color w:val="auto"/>
              </w:rPr>
              <w:t>Magna Entertainment,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Film production</w:t>
            </w:r>
          </w:p>
        </w:tc>
        <w:tc>
          <w:tcPr>
            <w:tcW w:w="2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spacing w:after="0"/>
              <w:rPr>
                <w:sz w:val="20"/>
                <w:szCs w:val="20"/>
                <w:color w:val="auto"/>
              </w:rPr>
            </w:pPr>
            <w:r>
              <w:rPr>
                <w:rFonts w:ascii="Arial" w:cs="Arial" w:eastAsia="Arial" w:hAnsi="Arial"/>
                <w:sz w:val="18"/>
                <w:szCs w:val="18"/>
                <w:color w:val="auto"/>
              </w:rPr>
              <w:t>M SPAC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Investment Holding Company</w:t>
            </w:r>
          </w:p>
        </w:tc>
        <w:tc>
          <w:tcPr>
            <w:tcW w:w="2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spacing w:after="0"/>
              <w:rPr>
                <w:sz w:val="20"/>
                <w:szCs w:val="20"/>
                <w:color w:val="auto"/>
              </w:rPr>
            </w:pPr>
            <w:r>
              <w:rPr>
                <w:rFonts w:ascii="Arial" w:cs="Arial" w:eastAsia="Arial" w:hAnsi="Arial"/>
                <w:sz w:val="18"/>
                <w:szCs w:val="18"/>
                <w:color w:val="auto"/>
              </w:rPr>
              <w:t>M SPAC Holdings I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Investment Holding Company</w:t>
            </w:r>
          </w:p>
        </w:tc>
        <w:tc>
          <w:tcPr>
            <w:tcW w:w="2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Joshua Sason</w:t>
            </w:r>
          </w:p>
        </w:tc>
        <w:tc>
          <w:tcPr>
            <w:tcW w:w="2860" w:type="dxa"/>
            <w:vAlign w:val="bottom"/>
            <w:gridSpan w:val="2"/>
          </w:tcPr>
          <w:p>
            <w:pPr>
              <w:spacing w:after="0"/>
              <w:rPr>
                <w:sz w:val="20"/>
                <w:szCs w:val="20"/>
                <w:color w:val="auto"/>
              </w:rPr>
            </w:pPr>
            <w:r>
              <w:rPr>
                <w:rFonts w:ascii="Arial" w:cs="Arial" w:eastAsia="Arial" w:hAnsi="Arial"/>
                <w:sz w:val="18"/>
                <w:szCs w:val="18"/>
                <w:color w:val="auto"/>
              </w:rPr>
              <w:t>M SPAC Holdings II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Investment Holding Company</w:t>
            </w:r>
          </w:p>
        </w:tc>
        <w:tc>
          <w:tcPr>
            <w:tcW w:w="2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Marc Manuel</w:t>
            </w:r>
          </w:p>
        </w:tc>
        <w:tc>
          <w:tcPr>
            <w:tcW w:w="2860" w:type="dxa"/>
            <w:vAlign w:val="bottom"/>
            <w:gridSpan w:val="2"/>
          </w:tcPr>
          <w:p>
            <w:pPr>
              <w:spacing w:after="0"/>
              <w:rPr>
                <w:sz w:val="20"/>
                <w:szCs w:val="20"/>
                <w:color w:val="auto"/>
              </w:rPr>
            </w:pPr>
            <w:r>
              <w:rPr>
                <w:rFonts w:ascii="Arial" w:cs="Arial" w:eastAsia="Arial" w:hAnsi="Arial"/>
                <w:sz w:val="18"/>
                <w:szCs w:val="18"/>
                <w:color w:val="auto"/>
              </w:rPr>
              <w:t>Magna Management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8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Russell Rieger</w:t>
            </w:r>
          </w:p>
        </w:tc>
        <w:tc>
          <w:tcPr>
            <w:tcW w:w="2860" w:type="dxa"/>
            <w:vAlign w:val="bottom"/>
            <w:gridSpan w:val="2"/>
          </w:tcPr>
          <w:p>
            <w:pPr>
              <w:spacing w:after="0"/>
              <w:rPr>
                <w:sz w:val="20"/>
                <w:szCs w:val="20"/>
                <w:color w:val="auto"/>
              </w:rPr>
            </w:pPr>
            <w:r>
              <w:rPr>
                <w:rFonts w:ascii="Arial" w:cs="Arial" w:eastAsia="Arial" w:hAnsi="Arial"/>
                <w:sz w:val="18"/>
                <w:szCs w:val="18"/>
                <w:color w:val="auto"/>
              </w:rPr>
              <w:t>Magna Entertainment,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Film production</w:t>
            </w:r>
          </w:p>
        </w:tc>
        <w:tc>
          <w:tcPr>
            <w:tcW w:w="28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Donald S. Ienner</w:t>
            </w:r>
          </w:p>
        </w:tc>
        <w:tc>
          <w:tcPr>
            <w:tcW w:w="2860" w:type="dxa"/>
            <w:vAlign w:val="bottom"/>
            <w:gridSpan w:val="2"/>
          </w:tcPr>
          <w:p>
            <w:pPr>
              <w:spacing w:after="0"/>
              <w:rPr>
                <w:sz w:val="20"/>
                <w:szCs w:val="20"/>
                <w:color w:val="auto"/>
              </w:rPr>
            </w:pPr>
            <w:r>
              <w:rPr>
                <w:rFonts w:ascii="Arial" w:cs="Arial" w:eastAsia="Arial" w:hAnsi="Arial"/>
                <w:sz w:val="18"/>
                <w:szCs w:val="18"/>
                <w:color w:val="auto"/>
              </w:rPr>
              <w:t>DSI-1008,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Consulting</w:t>
            </w:r>
          </w:p>
        </w:tc>
        <w:tc>
          <w:tcPr>
            <w:tcW w:w="2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David Schulhof</w:t>
            </w:r>
          </w:p>
        </w:tc>
        <w:tc>
          <w:tcPr>
            <w:tcW w:w="2860" w:type="dxa"/>
            <w:vAlign w:val="bottom"/>
            <w:gridSpan w:val="2"/>
          </w:tcPr>
          <w:p>
            <w:pPr>
              <w:spacing w:after="0"/>
              <w:rPr>
                <w:sz w:val="20"/>
                <w:szCs w:val="20"/>
                <w:color w:val="auto"/>
              </w:rPr>
            </w:pPr>
            <w:r>
              <w:rPr>
                <w:rFonts w:ascii="Arial" w:cs="Arial" w:eastAsia="Arial" w:hAnsi="Arial"/>
                <w:sz w:val="18"/>
                <w:szCs w:val="18"/>
                <w:color w:val="auto"/>
              </w:rPr>
              <w:t>IM Global Music</w:t>
            </w:r>
          </w:p>
        </w:tc>
        <w:tc>
          <w:tcPr>
            <w:tcW w:w="2960" w:type="dxa"/>
            <w:vAlign w:val="bottom"/>
            <w:gridSpan w:val="2"/>
          </w:tcPr>
          <w:p>
            <w:pPr>
              <w:spacing w:after="0"/>
              <w:rPr>
                <w:sz w:val="20"/>
                <w:szCs w:val="20"/>
                <w:color w:val="auto"/>
              </w:rPr>
            </w:pPr>
            <w:r>
              <w:rPr>
                <w:rFonts w:ascii="Arial" w:cs="Arial" w:eastAsia="Arial" w:hAnsi="Arial"/>
                <w:sz w:val="18"/>
                <w:szCs w:val="18"/>
                <w:color w:val="auto"/>
              </w:rPr>
              <w:t>Film distribution</w:t>
            </w:r>
          </w:p>
        </w:tc>
        <w:tc>
          <w:tcPr>
            <w:tcW w:w="284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2760" w:type="dxa"/>
            <w:vAlign w:val="bottom"/>
            <w:gridSpan w:val="3"/>
          </w:tcPr>
          <w:p>
            <w:pPr>
              <w:spacing w:after="0"/>
              <w:rPr>
                <w:sz w:val="20"/>
                <w:szCs w:val="20"/>
                <w:color w:val="auto"/>
              </w:rPr>
            </w:pPr>
            <w:r>
              <w:rPr>
                <w:rFonts w:ascii="Arial" w:cs="Arial" w:eastAsia="Arial" w:hAnsi="Arial"/>
                <w:sz w:val="18"/>
                <w:szCs w:val="18"/>
                <w:color w:val="auto"/>
              </w:rPr>
              <w:t>Samuel S. Holdsworth</w:t>
            </w:r>
          </w:p>
        </w:tc>
        <w:tc>
          <w:tcPr>
            <w:tcW w:w="2860" w:type="dxa"/>
            <w:vAlign w:val="bottom"/>
            <w:gridSpan w:val="2"/>
          </w:tcPr>
          <w:p>
            <w:pPr>
              <w:spacing w:after="0"/>
              <w:rPr>
                <w:sz w:val="20"/>
                <w:szCs w:val="20"/>
                <w:color w:val="auto"/>
              </w:rPr>
            </w:pPr>
            <w:r>
              <w:rPr>
                <w:rFonts w:ascii="Arial" w:cs="Arial" w:eastAsia="Arial" w:hAnsi="Arial"/>
                <w:sz w:val="18"/>
                <w:szCs w:val="18"/>
                <w:color w:val="auto"/>
              </w:rPr>
              <w:t>Sword, Rowe &amp; Co.</w:t>
            </w:r>
          </w:p>
        </w:tc>
        <w:tc>
          <w:tcPr>
            <w:tcW w:w="2960" w:type="dxa"/>
            <w:vAlign w:val="bottom"/>
            <w:gridSpan w:val="2"/>
          </w:tcPr>
          <w:p>
            <w:pPr>
              <w:spacing w:after="0"/>
              <w:rPr>
                <w:sz w:val="20"/>
                <w:szCs w:val="20"/>
                <w:color w:val="auto"/>
              </w:rPr>
            </w:pPr>
            <w:r>
              <w:rPr>
                <w:rFonts w:ascii="Arial" w:cs="Arial" w:eastAsia="Arial" w:hAnsi="Arial"/>
                <w:sz w:val="18"/>
                <w:szCs w:val="18"/>
                <w:color w:val="auto"/>
              </w:rPr>
              <w:t>Investment and advisory services</w:t>
            </w:r>
          </w:p>
        </w:tc>
        <w:tc>
          <w:tcPr>
            <w:tcW w:w="2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the IPO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010000"/>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 executive officer has received any cash compensation for services rendered to us. Commencing on September 13, 2016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have not set aside any amount of assets for pension or retirement benefits.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compensation to be paid to our chief executive officer and other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010000"/>
        </w:rPr>
        <w:t xml:space="preserve">ITEM 12. </w:t>
      </w:r>
      <w:r>
        <w:rPr>
          <w:rFonts w:ascii="Arial" w:cs="Arial" w:eastAsia="Arial" w:hAnsi="Arial"/>
          <w:sz w:val="18"/>
          <w:szCs w:val="18"/>
          <w:b w:val="1"/>
          <w:bCs w:val="1"/>
          <w:color w:val="000000"/>
        </w:rPr>
        <w:t>SECURITY OWNERSHIP OF CERTAIN BENEFICIAL OWNERS AND MANAGEMENT AND RELATED SHAREHOLDER</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March 10, 2017 the number of shares of our common stock beneficially owned by (i) each person who is known by us to be the beneficial owner of more than five percent of our common stock; (ii) each director; (iii) each of the named executive officers in the Summary Compensation Table; and (iv) all directors and executive officers as a group. As of March 10, 2017, we had 7,058,743 shares of common stock issued and outstanding.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beneficially owned by them. The following table does not include the placement warrants as these warrants are not exercisable within 60 days of March 10, 2017. All shares have identical voting rights.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5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Amount and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tcPr>
          <w:p>
            <w:pPr>
              <w:spacing w:after="0"/>
              <w:rPr>
                <w:sz w:val="19"/>
                <w:szCs w:val="19"/>
                <w:color w:val="auto"/>
              </w:rPr>
            </w:pPr>
          </w:p>
        </w:tc>
        <w:tc>
          <w:tcPr>
            <w:tcW w:w="150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Nature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5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50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Ownership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150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Common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70"/>
        </w:trPr>
        <w:tc>
          <w:tcPr>
            <w:tcW w:w="6200" w:type="dxa"/>
            <w:vAlign w:val="bottom"/>
            <w:vMerge w:val="continue"/>
          </w:tcPr>
          <w:p>
            <w:pPr>
              <w:spacing w:after="0"/>
              <w:rPr>
                <w:sz w:val="23"/>
                <w:szCs w:val="23"/>
                <w:color w:val="auto"/>
              </w:rPr>
            </w:pPr>
          </w:p>
        </w:tc>
        <w:tc>
          <w:tcPr>
            <w:tcW w:w="1500" w:type="dxa"/>
            <w:vAlign w:val="bottom"/>
          </w:tcPr>
          <w:p>
            <w:pPr>
              <w:jc w:val="center"/>
              <w:ind w:left="210"/>
              <w:spacing w:after="0" w:line="269" w:lineRule="exact"/>
              <w:rPr>
                <w:sz w:val="20"/>
                <w:szCs w:val="20"/>
                <w:color w:val="auto"/>
              </w:rPr>
            </w:pPr>
            <w:r>
              <w:rPr>
                <w:rFonts w:ascii="Arial" w:cs="Arial" w:eastAsia="Arial" w:hAnsi="Arial"/>
                <w:sz w:val="18"/>
                <w:szCs w:val="18"/>
                <w:b w:val="1"/>
                <w:bCs w:val="1"/>
                <w:color w:val="auto"/>
                <w:w w:val="81"/>
              </w:rPr>
              <w:t>Stock</w:t>
            </w:r>
            <w:r>
              <w:rPr>
                <w:rFonts w:ascii="Arial" w:cs="Arial" w:eastAsia="Arial" w:hAnsi="Arial"/>
                <w:sz w:val="30"/>
                <w:szCs w:val="30"/>
                <w:b w:val="1"/>
                <w:bCs w:val="1"/>
                <w:color w:val="auto"/>
                <w:w w:val="81"/>
                <w:vertAlign w:val="superscript"/>
              </w:rPr>
              <w:t>(2)</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1,139,609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6200" w:type="dxa"/>
            <w:vAlign w:val="bottom"/>
          </w:tcPr>
          <w:p>
            <w:pPr>
              <w:spacing w:after="0" w:line="256" w:lineRule="exact"/>
              <w:rPr>
                <w:sz w:val="20"/>
                <w:szCs w:val="20"/>
                <w:color w:val="auto"/>
              </w:rPr>
            </w:pPr>
            <w:r>
              <w:rPr>
                <w:rFonts w:ascii="Arial" w:cs="Arial" w:eastAsia="Arial" w:hAnsi="Arial"/>
                <w:sz w:val="18"/>
                <w:szCs w:val="18"/>
                <w:color w:val="auto"/>
              </w:rPr>
              <w:t>M SPAC Holdings I LLC</w:t>
            </w:r>
            <w:r>
              <w:rPr>
                <w:rFonts w:ascii="Arial" w:cs="Arial" w:eastAsia="Arial" w:hAnsi="Arial"/>
                <w:sz w:val="29"/>
                <w:szCs w:val="29"/>
                <w:color w:val="auto"/>
                <w:vertAlign w:val="superscript"/>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249,148</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359,878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6200" w:type="dxa"/>
            <w:vAlign w:val="bottom"/>
          </w:tcPr>
          <w:p>
            <w:pPr>
              <w:spacing w:after="0" w:line="256"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(4)</w:t>
            </w:r>
          </w:p>
        </w:tc>
        <w:tc>
          <w:tcPr>
            <w:tcW w:w="1500" w:type="dxa"/>
            <w:vAlign w:val="bottom"/>
          </w:tcPr>
          <w:p>
            <w:pPr>
              <w:jc w:val="right"/>
              <w:spacing w:after="0"/>
              <w:rPr>
                <w:sz w:val="20"/>
                <w:szCs w:val="20"/>
                <w:color w:val="auto"/>
              </w:rPr>
            </w:pPr>
            <w:r>
              <w:rPr>
                <w:rFonts w:ascii="Arial" w:cs="Arial" w:eastAsia="Arial" w:hAnsi="Arial"/>
                <w:sz w:val="18"/>
                <w:szCs w:val="18"/>
                <w:color w:val="auto"/>
              </w:rPr>
              <w:t>1,748,634</w:t>
            </w:r>
          </w:p>
        </w:tc>
        <w:tc>
          <w:tcPr>
            <w:tcW w:w="14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Marc Manuel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Russell Rieger</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David Schulhof</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w w:val="97"/>
              </w:rPr>
              <w:t>All directors, director nominees and executive officers as a group (3 individuals)</w:t>
            </w:r>
          </w:p>
        </w:tc>
        <w:tc>
          <w:tcPr>
            <w:tcW w:w="1500" w:type="dxa"/>
            <w:vAlign w:val="bottom"/>
          </w:tcPr>
          <w:p>
            <w:pPr>
              <w:jc w:val="right"/>
              <w:spacing w:after="0"/>
              <w:rPr>
                <w:sz w:val="20"/>
                <w:szCs w:val="20"/>
                <w:color w:val="auto"/>
              </w:rPr>
            </w:pPr>
            <w:r>
              <w:rPr>
                <w:rFonts w:ascii="Arial" w:cs="Arial" w:eastAsia="Arial" w:hAnsi="Arial"/>
                <w:sz w:val="18"/>
                <w:szCs w:val="18"/>
                <w:color w:val="auto"/>
              </w:rPr>
              <w:t>1,748,634</w:t>
            </w:r>
          </w:p>
        </w:tc>
        <w:tc>
          <w:tcPr>
            <w:tcW w:w="14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line="182" w:lineRule="auto"/>
        <w:tabs>
          <w:tab w:leader="none" w:pos="34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10005.</w:t>
      </w:r>
    </w:p>
    <w:p>
      <w:pPr>
        <w:spacing w:after="0" w:line="1" w:lineRule="exact"/>
        <w:rPr>
          <w:rFonts w:ascii="Arial" w:cs="Arial" w:eastAsia="Arial" w:hAnsi="Arial"/>
          <w:sz w:val="36"/>
          <w:szCs w:val="36"/>
          <w:color w:val="auto"/>
          <w:vertAlign w:val="superscript"/>
        </w:rPr>
      </w:pPr>
    </w:p>
    <w:p>
      <w:pPr>
        <w:ind w:left="34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340" w:hanging="332"/>
        <w:spacing w:after="0" w:line="25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of the insider shares outstanding prior to the IPO were placed in escrow with American Stock Transfer &amp; Trust Company, LLC, as escrow agent. Subject to certain limited exceptions, 50% of these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We cancelled 109,973 shares of the insider shares which were released from escrow for cancellation on November 10, 2016.</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the IPO,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010000"/>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total purchase price of $4,025,000, from us. These purchases took place on a private placement basis simultaneously with the consummation of the IPO. Simultaneously with the purchase of units resulting from the exercise of the over-allotment option by the underwriter, M SPAC LLC, M SPAC Holdings I LLC and M SPAC Holdings II LLC also purchased from us at a price of $10.00 per unit 18,607 private units.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the IPO,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holders of our insider shares issued and outstanding on the date of the IPO,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the IPO.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Magna Management LLC, a company owned by our insiders, has agreed that, commencing on the date of the IPO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97"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Nasdaq listing standards require that within one year of the listing of our securities on the Nasdaq Capital Market we have at least three independent directors and that a majority of our board of directors be independent. For a description of the director independence, see above Part III, Item 10 - Directors, Executive Officers and Corporate Governance.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tabs>
          <w:tab w:leader="none" w:pos="1140" w:val="left"/>
        </w:tabs>
        <w:rPr>
          <w:sz w:val="20"/>
          <w:szCs w:val="20"/>
          <w:color w:val="auto"/>
        </w:rPr>
      </w:pPr>
      <w:r>
        <w:rPr>
          <w:rFonts w:ascii="Arial" w:cs="Arial" w:eastAsia="Arial" w:hAnsi="Arial"/>
          <w:sz w:val="18"/>
          <w:szCs w:val="18"/>
          <w:b w:val="1"/>
          <w:bCs w:val="1"/>
          <w:color w:val="010000"/>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Accounting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sets forth public accounting fees in connection with services rendered by Marcum LLP from inception to December 31, 2016.</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Marcum LLP</w:t>
            </w:r>
          </w:p>
        </w:tc>
        <w:tc>
          <w:tcPr>
            <w:tcW w:w="260" w:type="dxa"/>
            <w:vAlign w:val="bottom"/>
          </w:tcPr>
          <w:p>
            <w:pPr>
              <w:spacing w:after="0"/>
              <w:rPr>
                <w:sz w:val="20"/>
                <w:szCs w:val="20"/>
                <w:color w:val="auto"/>
              </w:rPr>
            </w:pPr>
          </w:p>
        </w:tc>
        <w:tc>
          <w:tcPr>
            <w:tcW w:w="760" w:type="dxa"/>
            <w:vAlign w:val="bottom"/>
            <w:vMerge w:val="restart"/>
          </w:tcPr>
          <w:p>
            <w:pPr>
              <w:jc w:val="right"/>
              <w:ind w:right="23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7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All Other Fees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 fees were for professional services rendered by Marcum LLP for the audit of our annual financial statements and the review of the financial statements included in our quarterly reports on Forms 10-Q, and services that are normally provided by Marcum LLP in connection with statutory and regulatory filings or engagements for that fiscal year, including in connection with our initial public offering.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Marcum LLP did not bill any other fees for services rendered to us during the fiscal years ended December 31, 2016 and 2015 for assurance and related services in connection with the audit or review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audit committee had not yet been formed when the work commenced in 2016 and 2015, the audit committee was not able to pre-approve all of the foregoing services, although all such services were approved by our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5360"/>
        <w:spacing w:after="0"/>
        <w:rPr>
          <w:sz w:val="20"/>
          <w:szCs w:val="20"/>
          <w:color w:val="auto"/>
        </w:rPr>
      </w:pPr>
      <w:r>
        <w:rPr>
          <w:rFonts w:ascii="Arial" w:cs="Arial" w:eastAsia="Arial" w:hAnsi="Arial"/>
          <w:sz w:val="18"/>
          <w:szCs w:val="18"/>
          <w:b w:val="1"/>
          <w:bCs w:val="1"/>
          <w:color w:val="010000"/>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010000"/>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are filed with this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financial statements listed on the Financial Statements’ Table of Contents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inspected and copied at the public reference facilities maintained by the SEC, 100 F Street, N.E., Room 1580, Washington D.C. 20549. Copies of such materials can also be obtained from the Public Reference Section of the SEC, 100 F Street, N.E., Washington, D.C. 20549, at prescribed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1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Underwriting Agreement, dated September 13, 2016, by and between the Registrant and Chardan Capital Markets, LLC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reference to Exhibit 1.1 to the Current Report on Form 8-K filed with the Securities &amp;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Amended and Restated Articles of Incorporation (incorporated by reference to Exhibit 3.1 to the Current Report on Form 8-K filed with</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Securities &amp;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Bylaws (incorporated by reference to Exhibit 3.3 to the Registration Statement on Form S-1 filed with the Securities &amp;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Specimen Unit Certificate (incorporated by reference to Exhibit 4.1 to the Registration Statement on Form S-1 filed with the Securities &amp;</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Exchange 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Specimen Common Stock Certificate (incorporated by reference to Exhibit 4.2 to the Registration Statement on Form S-1 filed with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Securities &amp; Exchange 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Specimen Warrant Certificate (incorporated by reference to Exhibit 4.3 to the Registration Statement on Form S-1 filed with the Securities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&amp; Exchange 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Unit Purchase Option between the Registrant and Chardan Capital Markets, LLC (incorporated by reference to Exhibit 4.5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Registration Statement on Form S-1/A filed with the Securities &amp; Exchange Commission on September 12,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Warrant Agreement, dated September 13, 2016, by and between American Stock Transfer &amp; Trust Company, LLC and the Registrant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(incorporated by reference to Exhibit 4.1 to the Current Report on Form 8-K filed with the Securities &amp; Exchange Commission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Investment Management Trust Account Agreement, dated September 13, 2016, by and between American Stock Transfer &amp; Trust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Company, LLC and the Registrant (incorporated by reference to Exhibit 10.1 to the Current Report on Form 8-K filed with the Securities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Registration Rights Agreement, dated September 13, 2016, by and among the Registrant and the initial stockholders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reference to Exhibit 10.2 to the Current Report on Form 8-K filed with the Securities &amp; Exchange Commission on September 16, 2016)</w:t>
            </w:r>
          </w:p>
        </w:tc>
      </w:tr>
      <w:tr>
        <w:trPr>
          <w:trHeight w:val="675"/>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26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905"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10.3</w:t>
            </w:r>
          </w:p>
        </w:tc>
        <w:tc>
          <w:tcPr>
            <w:tcW w:w="10560" w:type="dxa"/>
            <w:vAlign w:val="bottom"/>
          </w:tcPr>
          <w:p>
            <w:pPr>
              <w:ind w:left="520"/>
              <w:spacing w:after="0"/>
              <w:rPr>
                <w:sz w:val="20"/>
                <w:szCs w:val="20"/>
                <w:color w:val="auto"/>
              </w:rPr>
            </w:pPr>
            <w:r>
              <w:rPr>
                <w:rFonts w:ascii="Arial" w:cs="Arial" w:eastAsia="Arial" w:hAnsi="Arial"/>
                <w:sz w:val="18"/>
                <w:szCs w:val="18"/>
                <w:color w:val="auto"/>
                <w:w w:val="94"/>
              </w:rPr>
              <w:t>Stock Escrow Agreement dated September 13, 2016 among the Registrant, American Stock Transfer &amp; Trust Company, LLC, and the</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5"/>
              </w:rPr>
              <w:t>initial stockholders (incorporated by reference to Exhibit 10.3 to the Current Report on Form 8-K filed with the Securities &amp; Exchange</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Commission on September 16, 2016)</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10.4</w:t>
            </w:r>
          </w:p>
        </w:tc>
        <w:tc>
          <w:tcPr>
            <w:tcW w:w="10560" w:type="dxa"/>
            <w:vAlign w:val="bottom"/>
          </w:tcPr>
          <w:p>
            <w:pPr>
              <w:ind w:left="520"/>
              <w:spacing w:after="0"/>
              <w:rPr>
                <w:sz w:val="20"/>
                <w:szCs w:val="20"/>
                <w:color w:val="auto"/>
              </w:rPr>
            </w:pPr>
            <w:r>
              <w:rPr>
                <w:rFonts w:ascii="Arial" w:cs="Arial" w:eastAsia="Arial" w:hAnsi="Arial"/>
                <w:sz w:val="18"/>
                <w:szCs w:val="18"/>
                <w:color w:val="auto"/>
                <w:w w:val="98"/>
              </w:rPr>
              <w:t>Form of Letter Agreement by and between the Registrant, the initial shareholders and the officers and directors of the Company</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1"/>
              </w:rPr>
              <w:t>(incorporated by reference to Exhibit 10.2 to the Registration Statement on Form S-1 filed with the Securities &amp; Exchange Commission on</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September 9, 2016)</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10.5</w:t>
            </w:r>
          </w:p>
        </w:tc>
        <w:tc>
          <w:tcPr>
            <w:tcW w:w="10560" w:type="dxa"/>
            <w:vAlign w:val="bottom"/>
          </w:tcPr>
          <w:p>
            <w:pPr>
              <w:ind w:left="520"/>
              <w:spacing w:after="0"/>
              <w:rPr>
                <w:sz w:val="20"/>
                <w:szCs w:val="20"/>
                <w:color w:val="auto"/>
              </w:rPr>
            </w:pPr>
            <w:r>
              <w:rPr>
                <w:rFonts w:ascii="Arial" w:cs="Arial" w:eastAsia="Arial" w:hAnsi="Arial"/>
                <w:sz w:val="18"/>
                <w:szCs w:val="18"/>
                <w:color w:val="auto"/>
                <w:w w:val="90"/>
              </w:rPr>
              <w:t>Administrative Services Agreement dated September 13, 2016 by and between the Registrant and Magna Management LLC (incorporated</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1"/>
              </w:rPr>
              <w:t>by reference to Exhibit 10.5 to the Current Report on Form 8-K filed with the Securities &amp; Exchange Commission on September 16, 2016)</w:t>
            </w:r>
          </w:p>
        </w:tc>
      </w:tr>
    </w:tbl>
    <w:p>
      <w:pPr>
        <w:spacing w:after="0" w:line="202" w:lineRule="exact"/>
        <w:rPr>
          <w:sz w:val="20"/>
          <w:szCs w:val="20"/>
          <w:color w:val="auto"/>
        </w:rPr>
      </w:pPr>
    </w:p>
    <w:p>
      <w:pPr>
        <w:ind w:left="1380" w:hanging="1372"/>
        <w:spacing w:after="0" w:line="27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of Code of Ethics (incorporated by reference to Exhibit 14 to the Registration Statement on Form S-1 filed with the Securities &amp; Exchange Commission on July 26,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Certification of Chief Executive Officer pursuant to Rule 13a-14 and Rule 15d-14(a), promulgated under the Securities and Exchange Act</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of 1934, as amended.</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Certification of Chief Financial Officer pursuant to Rule 13a-14 and Rule 15d-14(a), promulgated under the Securities and Exchange Act</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of 1934, as amended.</w:t>
            </w:r>
          </w:p>
        </w:tc>
      </w:tr>
    </w:tbl>
    <w:p>
      <w:pPr>
        <w:spacing w:after="0" w:line="202" w:lineRule="exact"/>
        <w:rPr>
          <w:sz w:val="20"/>
          <w:szCs w:val="20"/>
          <w:color w:val="auto"/>
        </w:rPr>
      </w:pPr>
    </w:p>
    <w:p>
      <w:pPr>
        <w:ind w:left="1380" w:hanging="1372"/>
        <w:spacing w:after="0" w:line="277"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16"/>
        </w:trPr>
        <w:tc>
          <w:tcPr>
            <w:tcW w:w="1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560" w:type="dxa"/>
            <w:vAlign w:val="bottom"/>
          </w:tcPr>
          <w:p>
            <w:pPr>
              <w:spacing w:after="0"/>
              <w:rPr>
                <w:sz w:val="18"/>
                <w:szCs w:val="18"/>
                <w:color w:val="auto"/>
              </w:rPr>
            </w:pPr>
          </w:p>
        </w:tc>
      </w:tr>
      <w:tr>
        <w:trPr>
          <w:trHeight w:val="662"/>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93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M I ACQUISITIONS, INC.</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Dated: March 13, 2017</w:t>
            </w:r>
          </w:p>
        </w:tc>
        <w:tc>
          <w:tcPr>
            <w:tcW w:w="2820" w:type="dxa"/>
            <w:vAlign w:val="bottom"/>
          </w:tcPr>
          <w:p>
            <w:pPr>
              <w:ind w:left="20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/s/Joshua Sason</w:t>
            </w:r>
          </w:p>
        </w:tc>
      </w:tr>
      <w:tr>
        <w:trPr>
          <w:trHeight w:val="195"/>
        </w:trPr>
        <w:tc>
          <w:tcPr>
            <w:tcW w:w="3700" w:type="dxa"/>
            <w:vAlign w:val="bottom"/>
          </w:tcPr>
          <w:p>
            <w:pPr>
              <w:spacing w:after="0"/>
              <w:rPr>
                <w:sz w:val="16"/>
                <w:szCs w:val="16"/>
                <w:color w:val="auto"/>
              </w:rPr>
            </w:pPr>
          </w:p>
        </w:tc>
        <w:tc>
          <w:tcPr>
            <w:tcW w:w="282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3700" w:type="dxa"/>
            <w:vAlign w:val="bottom"/>
          </w:tcPr>
          <w:p>
            <w:pPr>
              <w:spacing w:after="0"/>
              <w:rPr>
                <w:sz w:val="20"/>
                <w:szCs w:val="20"/>
                <w:color w:val="auto"/>
              </w:rPr>
            </w:pPr>
          </w:p>
        </w:tc>
        <w:tc>
          <w:tcPr>
            <w:tcW w:w="2820" w:type="dxa"/>
            <w:vAlign w:val="bottom"/>
          </w:tcPr>
          <w:p>
            <w:pPr>
              <w:ind w:left="20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c>
          <w:tcPr>
            <w:tcW w:w="2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w:t>
            </w:r>
          </w:p>
        </w:tc>
        <w:tc>
          <w:tcPr>
            <w:tcW w:w="2280" w:type="dxa"/>
            <w:vAlign w:val="bottom"/>
          </w:tcPr>
          <w:p>
            <w:pPr>
              <w:spacing w:after="0"/>
              <w:rPr>
                <w:sz w:val="20"/>
                <w:szCs w:val="20"/>
                <w:color w:val="auto"/>
              </w:rPr>
            </w:pPr>
            <w:r>
              <w:rPr>
                <w:rFonts w:ascii="Arial" w:cs="Arial" w:eastAsia="Arial" w:hAnsi="Arial"/>
                <w:sz w:val="18"/>
                <w:szCs w:val="18"/>
                <w:color w:val="auto"/>
              </w:rPr>
              <w:t>March 13,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Joshua Sason</w:t>
            </w:r>
          </w:p>
        </w:tc>
        <w:tc>
          <w:tcPr>
            <w:tcW w:w="220" w:type="dxa"/>
            <w:vAlign w:val="bottom"/>
          </w:tcPr>
          <w:p>
            <w:pPr>
              <w:spacing w:after="0"/>
              <w:rPr>
                <w:sz w:val="19"/>
                <w:szCs w:val="19"/>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22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 and Director</w:t>
            </w:r>
          </w:p>
        </w:tc>
        <w:tc>
          <w:tcPr>
            <w:tcW w:w="2280" w:type="dxa"/>
            <w:vAlign w:val="bottom"/>
          </w:tcPr>
          <w:p>
            <w:pPr>
              <w:spacing w:after="0"/>
              <w:rPr>
                <w:sz w:val="20"/>
                <w:szCs w:val="20"/>
                <w:color w:val="auto"/>
              </w:rPr>
            </w:pPr>
            <w:r>
              <w:rPr>
                <w:rFonts w:ascii="Arial" w:cs="Arial" w:eastAsia="Arial" w:hAnsi="Arial"/>
                <w:sz w:val="18"/>
                <w:szCs w:val="18"/>
                <w:color w:val="auto"/>
              </w:rPr>
              <w:t>March 13,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Marc Manuel</w:t>
            </w:r>
          </w:p>
        </w:tc>
        <w:tc>
          <w:tcPr>
            <w:tcW w:w="220" w:type="dxa"/>
            <w:vAlign w:val="bottom"/>
          </w:tcPr>
          <w:p>
            <w:pPr>
              <w:spacing w:after="0"/>
              <w:rPr>
                <w:sz w:val="19"/>
                <w:szCs w:val="19"/>
                <w:color w:val="auto"/>
              </w:rPr>
            </w:pPr>
          </w:p>
        </w:tc>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Accounting and Financial Officer)</w:t>
            </w: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Rieger</w:t>
            </w:r>
          </w:p>
        </w:tc>
        <w:tc>
          <w:tcPr>
            <w:tcW w:w="2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Vice President of Strategy</w:t>
            </w:r>
          </w:p>
        </w:tc>
        <w:tc>
          <w:tcPr>
            <w:tcW w:w="2280" w:type="dxa"/>
            <w:vAlign w:val="bottom"/>
          </w:tcPr>
          <w:p>
            <w:pPr>
              <w:spacing w:after="0"/>
              <w:rPr>
                <w:sz w:val="20"/>
                <w:szCs w:val="20"/>
                <w:color w:val="auto"/>
              </w:rPr>
            </w:pPr>
            <w:r>
              <w:rPr>
                <w:rFonts w:ascii="Arial" w:cs="Arial" w:eastAsia="Arial" w:hAnsi="Arial"/>
                <w:sz w:val="18"/>
                <w:szCs w:val="18"/>
                <w:color w:val="auto"/>
              </w:rPr>
              <w:t>March 13,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Russell Rieger</w:t>
            </w:r>
          </w:p>
        </w:tc>
        <w:tc>
          <w:tcPr>
            <w:tcW w:w="2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S. Ienner</w:t>
            </w:r>
          </w:p>
        </w:tc>
        <w:tc>
          <w:tcPr>
            <w:tcW w:w="2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13,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Donald S. Ienner</w:t>
            </w:r>
          </w:p>
        </w:tc>
        <w:tc>
          <w:tcPr>
            <w:tcW w:w="2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Schulhof</w:t>
            </w:r>
          </w:p>
        </w:tc>
        <w:tc>
          <w:tcPr>
            <w:tcW w:w="2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13,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David Schulhof</w:t>
            </w:r>
          </w:p>
        </w:tc>
        <w:tc>
          <w:tcPr>
            <w:tcW w:w="2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S. Holdsworth</w:t>
            </w:r>
          </w:p>
        </w:tc>
        <w:tc>
          <w:tcPr>
            <w:tcW w:w="220" w:type="dxa"/>
            <w:vAlign w:val="bottom"/>
          </w:tcPr>
          <w:p>
            <w:pPr>
              <w:spacing w:after="0"/>
              <w:rPr>
                <w:sz w:val="24"/>
                <w:szCs w:val="24"/>
                <w:color w:val="auto"/>
              </w:rPr>
            </w:pPr>
          </w:p>
        </w:tc>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13,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Samuel S. Holdsworth</w:t>
            </w:r>
          </w:p>
        </w:tc>
        <w:tc>
          <w:tcPr>
            <w:tcW w:w="2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34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right"/>
              <w:ind w:right="301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1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Underwriting Agreement, dated September 13, 2016, by and between the Registrant and Chardan Capital Markets, LLC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reference to Exhibit 1.1 to the Current Report on Form 8-K filed with the Securities &amp;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Amended and Restated Articles of Incorporation (incorporated by reference to Exhibit 3.1 to the Current Report on Form 8-K filed with</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Securities &amp;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Bylaws (incorporated by reference to Exhibit 3.3 to the Registration Statement on Form S-1 filed with the Securities &amp;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Specimen Unit Certificate (incorporated by reference to Exhibit 4.1 to the Registration Statement on Form S-1 filed with the Securities &amp;</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Exchange 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Specimen Common Stock Certificate (incorporated by reference to Exhibit 4.2 to the Registration Statement on Form S-1 filed with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Securities &amp; Exchange 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Specimen Warrant Certificate (incorporated by reference to Exhibit 4.3 to the Registration Statement on Form S-1 filed with the Securities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&amp; Exchange Commission on July 26,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Unit Purchase Option between the Registrant and Chardan Capital Markets, LLC (incorporated by reference to Exhibit 4.5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Registration Statement on Form S-1/A filed with the Securities &amp; Exchange Commission on September 12,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Warrant Agreement, dated September 13, 2016, by and between American Stock Transfer &amp; Trust Company, LLC and the Registrant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(incorporated by reference to Exhibit 4.1 to the Current Report on Form 8-K filed with the Securities &amp; Exchange Commission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Investment Management Trust Account Agreement, dated September 13, 2016, by and between American Stock Transfer &amp; Trust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Company, LLC and the Registrant (incorporated by reference to Exhibit 10.1 to the Current Report on Form 8-K filed with the Securities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Registration Rights Agreement, dated September 13, 2016, by and among the Registrant and the initial stockholders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reference to Exhibit 10.2 to the Current Report on Form 8-K filed with the Securities &amp; Exchange 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Stock Escrow Agreement dated September 13, 2016 among the Registrant, American Stock Transfer &amp; Trust Company, LLC, and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initial stockholders (incorporated by reference to Exhibit 10.3 to the Current Report on Form 8-K filed with the Securities &amp;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Commission on September 16,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Form of Letter Agreement by and between the Registrant, the initial shareholders and the officers and directors of the Company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(incorporated by reference to Exhibit 10.2 to the Registration Statement on Form S-1 filed with the Securities &amp; Exchange Commission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September 9,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Administrative Services Agreement dated September 13, 2016 by and between the Registrant and Magna Management LLC (incorporated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by reference to Exhibit 10.5 to the Current Report on Form 8-K filed with the Securities &amp; Exchange Commission on September 16, 2016)</w:t>
            </w:r>
          </w:p>
        </w:tc>
      </w:tr>
    </w:tbl>
    <w:p>
      <w:pPr>
        <w:spacing w:after="0" w:line="202" w:lineRule="exact"/>
        <w:rPr>
          <w:sz w:val="20"/>
          <w:szCs w:val="20"/>
          <w:color w:val="auto"/>
        </w:rPr>
      </w:pPr>
    </w:p>
    <w:p>
      <w:pPr>
        <w:ind w:left="1380" w:hanging="1372"/>
        <w:spacing w:after="0" w:line="277" w:lineRule="auto"/>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of Code of Ethics (incorporated by reference to Exhibit 14 to the Registration Statement on Form S-1 filed with the Securities &amp; Exchange Commission on July 26,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Certification of Chief Executive Officer pursuant to Rule 13a-14 and Rule 15d-14(a), promulgated under the Securities and Exchange Act</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of 1934, as amended.</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Certification of Chief Financial Officer pursuant to Rule 13a-14 and Rule 15d-14(a), promulgated under the Securities and Exchange Act</w:t>
            </w:r>
          </w:p>
        </w:tc>
      </w:tr>
      <w:tr>
        <w:trPr>
          <w:trHeight w:val="230"/>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of 1934, as amended.</w:t>
            </w:r>
          </w:p>
        </w:tc>
      </w:tr>
    </w:tbl>
    <w:p>
      <w:pPr>
        <w:spacing w:after="0" w:line="202" w:lineRule="exact"/>
        <w:rPr>
          <w:sz w:val="20"/>
          <w:szCs w:val="20"/>
          <w:color w:val="auto"/>
        </w:rPr>
      </w:pPr>
    </w:p>
    <w:p>
      <w:pPr>
        <w:ind w:left="1380" w:hanging="1372"/>
        <w:spacing w:after="0" w:line="277"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935"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2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rPr>
              <w:t>M I ACQUISITION,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rPr>
              <w:t>INDEX TO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 Marcum LLP</w:t>
              </w:r>
            </w:hyperlink>
          </w:p>
        </w:tc>
        <w:tc>
          <w:tcPr>
            <w:tcW w:w="11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 –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920" w:type="dxa"/>
            <w:vAlign w:val="bottom"/>
            <w:tcBorders>
              <w:top w:val="single" w:sz="8" w:color="0000EE"/>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Balance Sheets</w:t>
              </w:r>
            </w:hyperlink>
          </w:p>
        </w:tc>
        <w:tc>
          <w:tcPr>
            <w:tcW w:w="11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 –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Statements of Operations</w:t>
              </w:r>
            </w:hyperlink>
          </w:p>
        </w:tc>
        <w:tc>
          <w:tcPr>
            <w:tcW w:w="11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 –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Statements of Stockholders’ Equity</w:t>
              </w:r>
            </w:hyperlink>
          </w:p>
        </w:tc>
        <w:tc>
          <w:tcPr>
            <w:tcW w:w="11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 –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Statements of Cash Flows</w:t>
              </w:r>
            </w:hyperlink>
          </w:p>
        </w:tc>
        <w:tc>
          <w:tcPr>
            <w:tcW w:w="11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 –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Notes to Financial Statements</w:t>
              </w:r>
            </w:hyperlink>
          </w:p>
        </w:tc>
        <w:tc>
          <w:tcPr>
            <w:tcW w:w="11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F – 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40" w:type="dxa"/>
            <w:vAlign w:val="bottom"/>
            <w:tcBorders>
              <w:top w:val="single" w:sz="8" w:color="0000EE"/>
              <w:bottom w:val="single" w:sz="8" w:color="auto"/>
            </w:tcBorders>
            <w:gridSpan w:val="4"/>
          </w:tcPr>
          <w:p>
            <w:pPr>
              <w:spacing w:after="0"/>
              <w:rPr>
                <w:sz w:val="24"/>
                <w:szCs w:val="24"/>
                <w:color w:val="auto"/>
              </w:rPr>
            </w:pPr>
          </w:p>
        </w:tc>
        <w:tc>
          <w:tcPr>
            <w:tcW w:w="8120" w:type="dxa"/>
            <w:vAlign w:val="bottom"/>
            <w:tcBorders>
              <w:top w:val="single" w:sz="8" w:color="CCEEFF"/>
              <w:bottom w:val="single" w:sz="8" w:color="auto"/>
            </w:tcBorders>
            <w:gridSpan w:val="3"/>
          </w:tcPr>
          <w:p>
            <w:pPr>
              <w:jc w:val="center"/>
              <w:ind w:right="980"/>
              <w:spacing w:after="0"/>
              <w:rPr>
                <w:sz w:val="20"/>
                <w:szCs w:val="20"/>
                <w:color w:val="auto"/>
              </w:rPr>
            </w:pPr>
            <w:r>
              <w:rPr>
                <w:rFonts w:ascii="Arial" w:cs="Arial" w:eastAsia="Arial" w:hAnsi="Arial"/>
                <w:sz w:val="18"/>
                <w:szCs w:val="18"/>
                <w:color w:val="auto"/>
                <w:w w:val="89"/>
              </w:rPr>
              <w:t>43</w:t>
            </w: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M I Acquisitions, Inc.</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sheets of M I Acquisitions, Inc. (the “Company”) as of December 31, 2016 and 2015, and the related statements of operations, changes in stockholders’ equity and cash flows for the year ended December 31, 2016 and for the period from April 23, 2015 (inception) through December 31, 2015. These financial statements are the responsibility of the Company’s management. Our responsibility is to express an opinion on these financial statements based on our audits.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December 31, 2016 and 2015, and the results of its operations and its cash flows for the year ended December 31, 2016 and the period from April 23 (inception) through December 31, 2015 in conformity with accounting principles generally accepted in the United States of America.</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business combination and the Company’s cash and working capital as of December 31, 2016 are not sufficient to complete its planned activities for the next year. These conditions raise substantial doubt about the Company’s ability to continue as a going concern. Management’s plans regarding these matters are also described in Note 1. These financial statements do not include any adjustments that might result from the outcome of this uncertainty.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2016</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7"/>
              </w:rPr>
              <w:t>Assets</w:t>
            </w:r>
          </w:p>
        </w:tc>
        <w:tc>
          <w:tcPr>
            <w:tcW w:w="390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Current asset: cash and cash equivalents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362,535</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418,776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Deferred offering costs</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3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54,731,828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55,150,604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gridSpan w:val="5"/>
            <w:shd w:val="clear" w:color="auto" w:fill="CCEEFF"/>
          </w:tcPr>
          <w:p>
            <w:pPr>
              <w:ind w:left="2720"/>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111,011</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Accrued offering costs payable</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Note payable</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 - related parties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150,127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1,062,022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1,212,149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5"/>
          </w:tcPr>
          <w:p>
            <w:pPr>
              <w:spacing w:after="0"/>
              <w:rPr>
                <w:sz w:val="20"/>
                <w:szCs w:val="20"/>
                <w:color w:val="auto"/>
              </w:rPr>
            </w:pPr>
            <w:r>
              <w:rPr>
                <w:rFonts w:ascii="Arial" w:cs="Arial" w:eastAsia="Arial" w:hAnsi="Arial"/>
                <w:sz w:val="18"/>
                <w:szCs w:val="18"/>
                <w:b w:val="1"/>
                <w:bCs w:val="1"/>
                <w:color w:val="auto"/>
              </w:rPr>
              <w:t>Common stock subject to possible conversion (4,748,033 shares at conversion value)</w:t>
            </w: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48,938,449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8"/>
              </w:rPr>
              <w:t>Common stock, $0.001 par value; 30,000,000 shares authorized; 2,310,710 issued and outstanding at</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tcPr>
          <w:p>
            <w:pPr>
              <w:ind w:left="320"/>
              <w:spacing w:after="0"/>
              <w:rPr>
                <w:sz w:val="20"/>
                <w:szCs w:val="20"/>
                <w:color w:val="auto"/>
              </w:rPr>
            </w:pPr>
            <w:r>
              <w:rPr>
                <w:rFonts w:ascii="Arial" w:cs="Arial" w:eastAsia="Arial" w:hAnsi="Arial"/>
                <w:sz w:val="18"/>
                <w:szCs w:val="18"/>
                <w:color w:val="auto"/>
                <w:w w:val="95"/>
              </w:rPr>
              <w:t>December 31, 2016 (excluding 4,748,033 shares subject to possible conversion) and 1,437,500 shares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5"/>
          </w:tcPr>
          <w:p>
            <w:pPr>
              <w:ind w:left="320"/>
              <w:spacing w:after="0"/>
              <w:rPr>
                <w:sz w:val="20"/>
                <w:szCs w:val="20"/>
                <w:color w:val="auto"/>
              </w:rPr>
            </w:pPr>
            <w:r>
              <w:rPr>
                <w:rFonts w:ascii="Arial" w:cs="Arial" w:eastAsia="Arial" w:hAnsi="Arial"/>
                <w:sz w:val="18"/>
                <w:szCs w:val="18"/>
                <w:color w:val="auto"/>
              </w:rPr>
              <w:t>issued and outstanding at December 31, 2015 (1)</w:t>
            </w:r>
          </w:p>
        </w:tc>
        <w:tc>
          <w:tcPr>
            <w:tcW w:w="3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2,311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5,115,916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(118,221)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55,150,604</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183,957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were subject to forfeiture if the over-allotment option is not exercised by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For the Year</w:t>
            </w:r>
          </w:p>
        </w:tc>
        <w:tc>
          <w:tcPr>
            <w:tcW w:w="1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For the Period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Ended</w:t>
            </w: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April 23, 2015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0"/>
                <w:szCs w:val="20"/>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to 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6680" w:type="dxa"/>
            <w:vAlign w:val="bottom"/>
            <w:tcBorders>
              <w:bottom w:val="single" w:sz="8" w:color="CCEEFF"/>
            </w:tcBorders>
            <w:gridSpan w:val="4"/>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35,667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137,529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173,196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tcPr>
          <w:p>
            <w:pPr>
              <w:ind w:left="3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37,701</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Extinguishment of debt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OTHER INCOME</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65,201</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right="120" w:hanging="312"/>
        <w:spacing w:after="0" w:line="277"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number excludes an aggregate of 4,748,033 shares subject to possible conversion at December 31, 2016 and up to 187,500 shares of common stock that are subject to forfeiture if the over-allotment option is not exercised by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 and the Period from April 23, 2015 (Inception) through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74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 Paid-In</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23, 2015 (Inception)</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Initial Stockholder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1,437,500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1,437,500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1,438</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(10,226)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49,995,000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(3,280,484)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Sale of 421,107 private units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421,107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Exercise of underwriters' overallotment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310,109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Forfeiture and cancellation of 109,973 Founders' shares</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(109,973)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conversion</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(4,748,033)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(48,933,701)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(48,938,449)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2,310,710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2,311</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5,115,916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(118,221)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For the Year</w:t>
            </w:r>
          </w:p>
        </w:tc>
        <w:tc>
          <w:tcPr>
            <w:tcW w:w="12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For the Period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Ended</w:t>
            </w:r>
          </w:p>
        </w:tc>
        <w:tc>
          <w:tcPr>
            <w:tcW w:w="2080" w:type="dxa"/>
            <w:vAlign w:val="bottom"/>
            <w:gridSpan w:val="3"/>
          </w:tcPr>
          <w:p>
            <w:pPr>
              <w:spacing w:after="0"/>
              <w:rPr>
                <w:sz w:val="20"/>
                <w:szCs w:val="20"/>
                <w:color w:val="auto"/>
              </w:rPr>
            </w:pPr>
            <w:r>
              <w:rPr>
                <w:rFonts w:ascii="Arial" w:cs="Arial" w:eastAsia="Arial" w:hAnsi="Arial"/>
                <w:sz w:val="18"/>
                <w:szCs w:val="18"/>
                <w:b w:val="1"/>
                <w:bCs w:val="1"/>
                <w:color w:val="auto"/>
                <w:w w:val="96"/>
              </w:rPr>
              <w:t>April 23, 2015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580" w:type="dxa"/>
            <w:vAlign w:val="bottom"/>
            <w:gridSpan w:val="4"/>
          </w:tcPr>
          <w:p>
            <w:pPr>
              <w:ind w:left="9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to 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(107,995)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(37,701)</w:t>
            </w: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320"/>
              <w:spacing w:after="0"/>
              <w:rPr>
                <w:sz w:val="20"/>
                <w:szCs w:val="20"/>
                <w:color w:val="auto"/>
              </w:rPr>
            </w:pPr>
            <w:r>
              <w:rPr>
                <w:rFonts w:ascii="Arial" w:cs="Arial" w:eastAsia="Arial" w:hAnsi="Arial"/>
                <w:sz w:val="18"/>
                <w:szCs w:val="18"/>
                <w:color w:val="auto"/>
              </w:rPr>
              <w:t>Formation and organization costs paid by related parties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80"/>
              <w:spacing w:after="0"/>
              <w:rPr>
                <w:sz w:val="20"/>
                <w:szCs w:val="20"/>
                <w:color w:val="auto"/>
              </w:rPr>
            </w:pPr>
            <w:r>
              <w:rPr>
                <w:rFonts w:ascii="Arial" w:cs="Arial" w:eastAsia="Arial" w:hAnsi="Arial"/>
                <w:sz w:val="18"/>
                <w:szCs w:val="18"/>
                <w:color w:val="auto"/>
              </w:rPr>
              <w:t>Prepaid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(56,241)</w:t>
            </w: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111,011</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2"/>
          </w:tcPr>
          <w:p>
            <w:pPr>
              <w:ind w:left="480"/>
              <w:spacing w:after="0"/>
              <w:rPr>
                <w:sz w:val="20"/>
                <w:szCs w:val="20"/>
                <w:color w:val="auto"/>
              </w:rPr>
            </w:pPr>
            <w:r>
              <w:rPr>
                <w:rFonts w:ascii="Arial" w:cs="Arial" w:eastAsia="Arial" w:hAnsi="Arial"/>
                <w:sz w:val="18"/>
                <w:szCs w:val="18"/>
                <w:color w:val="auto"/>
              </w:rPr>
              <w:t>Accrued offering costs payable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(34,383)</w:t>
            </w:r>
          </w:p>
        </w:tc>
        <w:tc>
          <w:tcPr>
            <w:tcW w:w="12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Cash deposited into trust account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(54,694,127)</w:t>
            </w:r>
          </w:p>
        </w:tc>
        <w:tc>
          <w:tcPr>
            <w:tcW w:w="12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(54,694,127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51,202,624</w:t>
            </w: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private units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4,211,070</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notes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(131,720)</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Proceeds from related party advances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55,201</w:t>
            </w:r>
          </w:p>
        </w:tc>
        <w:tc>
          <w:tcPr>
            <w:tcW w:w="12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advances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(55,201)</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(80,040)</w:t>
            </w:r>
          </w:p>
        </w:tc>
        <w:tc>
          <w:tcPr>
            <w:tcW w:w="12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55,201,934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357,535</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362,535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2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158,957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Payment of deferred offering costs by issuance of common stock</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Reclassification of deferred offering costs to equity</w:t>
            </w:r>
          </w:p>
        </w:tc>
        <w:tc>
          <w:tcPr>
            <w:tcW w:w="9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gridSpan w:val="2"/>
            <w:vMerge w:val="continue"/>
          </w:tcPr>
          <w:p>
            <w:pPr>
              <w:spacing w:after="0"/>
              <w:rPr>
                <w:sz w:val="20"/>
                <w:szCs w:val="20"/>
                <w:color w:val="auto"/>
              </w:rPr>
            </w:pPr>
          </w:p>
        </w:tc>
        <w:tc>
          <w:tcPr>
            <w:tcW w:w="9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258,997</w:t>
            </w:r>
          </w:p>
        </w:tc>
        <w:tc>
          <w:tcPr>
            <w:tcW w:w="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Accrual of offering costs</w:t>
            </w: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45,999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Common stock subject to possible conversion</w:t>
            </w:r>
          </w:p>
        </w:tc>
        <w:tc>
          <w:tcPr>
            <w:tcW w:w="9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gridSpan w:val="2"/>
            <w:vMerge w:val="continue"/>
          </w:tcPr>
          <w:p>
            <w:pPr>
              <w:spacing w:after="0"/>
              <w:rPr>
                <w:sz w:val="20"/>
                <w:szCs w:val="20"/>
                <w:color w:val="auto"/>
              </w:rPr>
            </w:pPr>
          </w:p>
        </w:tc>
        <w:tc>
          <w:tcPr>
            <w:tcW w:w="9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48,938,449</w:t>
            </w:r>
          </w:p>
        </w:tc>
        <w:tc>
          <w:tcPr>
            <w:tcW w:w="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Deferred Underwriting commission</w:t>
            </w: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1,062,022</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2016.</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activity from inception through September 19, 2016 related to the Company’s formation, Offering and general and administrative expenses. Since the Offering, the Company’s activity has been limited to the evaluation of business combination candidates, and we will not be generating any operating revenues until the closing and completion of our initial business combination.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85" w:lineRule="auto"/>
        <w:rPr>
          <w:sz w:val="20"/>
          <w:szCs w:val="20"/>
          <w:color w:val="auto"/>
        </w:rPr>
      </w:pPr>
      <w:r>
        <w:rPr>
          <w:rFonts w:ascii="Arial" w:cs="Arial" w:eastAsia="Arial" w:hAnsi="Arial"/>
          <w:sz w:val="16"/>
          <w:szCs w:val="16"/>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$54,694,127 placed into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Additionally,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its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within 18 months from the date of the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entered into between the Company and American Stock Transfer &amp; Trust Company, in order to extend the time available for the Company to consummate its initial Business Combination, the Company’s insiders or their affiliates or designees, upon five days advance notice prior to the applicable deadline, must deposit into the trust account $132,753 ($0.025 per unit), up to an aggregate of $398,259,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2016, the Company had approximately $363,000 in cash and cash equivalents held outside Trust Account, approximately $38,000 in interest income available from the Company's investments in the Trust Account to pay its income tax obligations, and a working capital of approximately $269,000.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foregoing, the Company may have insufficient funds available to operate its business through the earlier of consummation of a Business Combination or March 19, 2018.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loss per common share is computed by dividing net loss applicable to common stockholders by the weighted average number of common shares outstanding during the period, plus, to the extent dilutive, the incremental number of shares of common stock to settle warrants, as calculated using the treasury stock method. An aggregate of 4,748,033 shares of common stock subject to possible redemption at December 31, 2016 and an aggregate of 187,500 shares subject to forfeiture if the over-allotment option was not exercised in full by the underwriters at December 31, 2015, have been excluded from the calculation of basic loss per ordinary share since such shares, if redeemed, only participate in their pro rata share of the trust earnings. At December 31,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As of December 31, 2016, marketable securities held in the Trust Account consisted of $54,731,828 in United States Treasury Bills with an original maturity of six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complies with the requirements of FASB ASC 340-10-S99-1 and SEC Staff Accounting Bulletin (“SAB”) Topic 5A—“</w:t>
      </w:r>
      <w:r>
        <w:rPr>
          <w:rFonts w:ascii="Arial" w:cs="Arial" w:eastAsia="Arial" w:hAnsi="Arial"/>
          <w:sz w:val="18"/>
          <w:szCs w:val="18"/>
          <w:i w:val="1"/>
          <w:iCs w:val="1"/>
          <w:color w:val="auto"/>
        </w:rPr>
        <w:t>Expenses of Offering</w:t>
      </w:r>
      <w:r>
        <w:rPr>
          <w:rFonts w:ascii="Arial" w:cs="Arial" w:eastAsia="Arial" w:hAnsi="Arial"/>
          <w:sz w:val="18"/>
          <w:szCs w:val="18"/>
          <w:color w:val="auto"/>
        </w:rPr>
        <w:t>.” Deferred offering costs consist of costs incurred in connection with preparation for the Offering. These costs, together with the underwriter discount, were charged to capital upon completion of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are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2016 through December 31, 2016. Management is currently unaware of any issues under review that could result in significant payments, accruals or material deviations from its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2014, the FASB issued ASU 2014-15, “</w:t>
      </w:r>
      <w:r>
        <w:rPr>
          <w:rFonts w:ascii="Arial" w:cs="Arial" w:eastAsia="Arial" w:hAnsi="Arial"/>
          <w:sz w:val="17"/>
          <w:szCs w:val="17"/>
          <w:i w:val="1"/>
          <w:iCs w:val="1"/>
          <w:color w:val="auto"/>
        </w:rPr>
        <w:t>Presentation of Financial Statements-Going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an Entity’s Ability to Continue as a Going Concern</w:t>
      </w:r>
      <w:r>
        <w:rPr>
          <w:rFonts w:ascii="Arial" w:cs="Arial" w:eastAsia="Arial" w:hAnsi="Arial"/>
          <w:sz w:val="17"/>
          <w:szCs w:val="17"/>
          <w:color w:val="auto"/>
        </w:rPr>
        <w:t>.” ASU 2014-15 provides guidance on management’s responsibility to evaluate whether there is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doubt about an organization’s ability to continue as a going concern and to provide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ASU 2014-15 are effective for annual reporting periods ending after December 15, 2016 and for annual and interim periods thereafter. Early adoption is permitted. The Company has adopted the methodologies prescribed by ASU 2014-15, the adoption of ASU 2014-15 did not have a material effect on its financial position or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 day over- 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September 14, 2017,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2106, the Company issued a $131,720 principal amount unsecured promissory note to an affiliate of the Company’s executive officers. The note was non-interest bearing and payable on the earlier of (i) the consummation of the Offering or (ii) the date on which the Company determines not to proceed with the Offering. As of December 31, 2016, all amounts under the note had been repaid.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affiliate of the Company’s executive officers advanced funds to the Company to pay administrative expenses and offering costs incurred. These advances totaled $55,201 and were due on demand and are non-interest bearing. As of December 31, 2016, the Company repaid all advances.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Public Offering. On September 26, 2016, the Company amended the agreement with lender and outstanding balance was amended to $27,500. The Company recorded a gain on extinguishment of debt as a result of the amendment in the amount of $27,500 during the period ended December 31, 2016. The note is now due upon completion of an initial business combination. Due to the short-term nature of the note, the fair value of the note approximates the carrying amount.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commencing on September 13, 2016, has agreed to pay an affiliate of the Company’s executive officers a monthly fee of $10,000 for general and administrative services due on the first of each month. During the year December 31, 2016, the Company incurred administrative fees of $35,667.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there are no preferred shares issued or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there were 2,310,710 common shares issued or outstanding, which excludes 4,748,033 shares subject to possible conversion.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8 — Income Tax</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The Company’s deferred tax assets are as follows at December 31, 2016 and 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w w:val="96"/>
              </w:rPr>
              <w:t>December 31, 2016</w:t>
            </w:r>
          </w:p>
        </w:tc>
        <w:tc>
          <w:tcPr>
            <w:tcW w:w="80" w:type="dxa"/>
            <w:vAlign w:val="bottom"/>
          </w:tcPr>
          <w:p>
            <w:pPr>
              <w:spacing w:after="0"/>
              <w:rPr>
                <w:sz w:val="24"/>
                <w:szCs w:val="24"/>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20"/>
              <w:spacing w:after="0"/>
              <w:rPr>
                <w:sz w:val="20"/>
                <w:szCs w:val="20"/>
                <w:color w:val="auto"/>
              </w:rPr>
            </w:pPr>
            <w:r>
              <w:rPr>
                <w:rFonts w:ascii="Arial" w:cs="Arial" w:eastAsia="Arial" w:hAnsi="Arial"/>
                <w:sz w:val="18"/>
                <w:szCs w:val="18"/>
                <w:color w:val="auto"/>
              </w:rPr>
              <w:t>Net operating loss carryforward</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50,339</w:t>
            </w:r>
          </w:p>
        </w:tc>
        <w:tc>
          <w:tcPr>
            <w:tcW w:w="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The income tax provision (benefit) consists of the following at December 31, 2016 and 2015:</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Period from</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April 23, 2015</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Arial" w:cs="Arial" w:eastAsia="Arial" w:hAnsi="Arial"/>
                <w:sz w:val="18"/>
                <w:szCs w:val="18"/>
                <w:b w:val="1"/>
                <w:bCs w:val="1"/>
                <w:color w:val="auto"/>
              </w:rPr>
              <w:t>December 31, 2016</w:t>
            </w: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260"/>
              <w:spacing w:after="0"/>
              <w:rPr>
                <w:sz w:val="20"/>
                <w:szCs w:val="20"/>
                <w:color w:val="auto"/>
              </w:rPr>
            </w:pPr>
            <w:r>
              <w:rPr>
                <w:rFonts w:ascii="Arial" w:cs="Arial" w:eastAsia="Arial" w:hAnsi="Arial"/>
                <w:sz w:val="18"/>
                <w:szCs w:val="18"/>
                <w:color w:val="auto"/>
              </w:rPr>
              <w:t>Current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State and Local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26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net operating loss (“NOL”) of approximately $118,221, These NOLs, if not utilized, expire beginning in 2035. The ultimate realization of the net operating loss is dependent upon future taxable income, if any, of the Company and may be limited in any one period by applicable tax rules. Although management believes that the Company will have sufficient future taxable income to absorb the net loss carryovers before the expiration of the carryover period, there may be circumstances beyond the Company’s control that limit such utilization. Accordingly, management has determined that full valuation allowances of the deferred tax asset are appropriate as of December 31, 2016.</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deferred tax asset reflected in the tables above resulted from applying an effective combined federal and state tax rate of 42.6% to the net operating losses from fiscal 2015. Effective tax rates differ from statutory rates.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A reconciliation of the statutory tax rate to the Company’s effective tax rates as of December 31, 2016 and 2015 is as follows: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center"/>
              <w:ind w:right="5"/>
              <w:spacing w:after="0"/>
              <w:rPr>
                <w:sz w:val="20"/>
                <w:szCs w:val="20"/>
                <w:color w:val="auto"/>
              </w:rPr>
            </w:pPr>
            <w:r>
              <w:rPr>
                <w:rFonts w:ascii="Arial" w:cs="Arial" w:eastAsia="Arial" w:hAnsi="Arial"/>
                <w:sz w:val="18"/>
                <w:szCs w:val="18"/>
                <w:b w:val="1"/>
                <w:bCs w:val="1"/>
                <w:color w:val="auto"/>
                <w:w w:val="92"/>
              </w:rPr>
              <w:t>For the Period from</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3"/>
          </w:tcPr>
          <w:p>
            <w:pPr>
              <w:jc w:val="center"/>
              <w:ind w:right="65"/>
              <w:spacing w:after="0"/>
              <w:rPr>
                <w:sz w:val="20"/>
                <w:szCs w:val="20"/>
                <w:color w:val="auto"/>
              </w:rPr>
            </w:pPr>
            <w:r>
              <w:rPr>
                <w:rFonts w:ascii="Arial" w:cs="Arial" w:eastAsia="Arial" w:hAnsi="Arial"/>
                <w:sz w:val="18"/>
                <w:szCs w:val="18"/>
                <w:b w:val="1"/>
                <w:bCs w:val="1"/>
                <w:color w:val="auto"/>
                <w:w w:val="94"/>
              </w:rPr>
              <w:t>April 23, 2015</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1680" w:type="dxa"/>
            <w:vAlign w:val="bottom"/>
            <w:gridSpan w:val="3"/>
          </w:tcPr>
          <w:p>
            <w:pPr>
              <w:jc w:val="center"/>
              <w:ind w:right="65"/>
              <w:spacing w:after="0"/>
              <w:rPr>
                <w:sz w:val="20"/>
                <w:szCs w:val="20"/>
                <w:color w:val="auto"/>
              </w:rPr>
            </w:pPr>
            <w:r>
              <w:rPr>
                <w:rFonts w:ascii="Arial" w:cs="Arial" w:eastAsia="Arial" w:hAnsi="Arial"/>
                <w:sz w:val="18"/>
                <w:szCs w:val="18"/>
                <w:b w:val="1"/>
                <w:bCs w:val="1"/>
                <w:color w:val="auto"/>
                <w:w w:val="92"/>
              </w:rPr>
              <w:t>(Inception) to</w:t>
            </w:r>
          </w:p>
        </w:tc>
        <w:tc>
          <w:tcPr>
            <w:tcW w:w="0" w:type="dxa"/>
            <w:vAlign w:val="bottom"/>
          </w:tcPr>
          <w:p>
            <w:pPr>
              <w:spacing w:after="0"/>
              <w:rPr>
                <w:sz w:val="1"/>
                <w:szCs w:val="1"/>
                <w:color w:val="auto"/>
              </w:rPr>
            </w:pPr>
          </w:p>
        </w:tc>
      </w:tr>
      <w:tr>
        <w:trPr>
          <w:trHeight w:val="234"/>
        </w:trPr>
        <w:tc>
          <w:tcPr>
            <w:tcW w:w="16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8"/>
              </w:rPr>
              <w:t>December 31, 2016</w:t>
            </w:r>
          </w:p>
        </w:tc>
        <w:tc>
          <w:tcPr>
            <w:tcW w:w="60" w:type="dxa"/>
            <w:vAlign w:val="bottom"/>
          </w:tcPr>
          <w:p>
            <w:pPr>
              <w:spacing w:after="0"/>
              <w:rPr>
                <w:sz w:val="20"/>
                <w:szCs w:val="20"/>
                <w:color w:val="auto"/>
              </w:rPr>
            </w:pPr>
          </w:p>
        </w:tc>
        <w:tc>
          <w:tcPr>
            <w:tcW w:w="1680" w:type="dxa"/>
            <w:vAlign w:val="bottom"/>
            <w:gridSpan w:val="3"/>
          </w:tcPr>
          <w:p>
            <w:pPr>
              <w:jc w:val="center"/>
              <w:ind w:right="65"/>
              <w:spacing w:after="0"/>
              <w:rPr>
                <w:sz w:val="20"/>
                <w:szCs w:val="20"/>
                <w:color w:val="auto"/>
              </w:rPr>
            </w:pPr>
            <w:r>
              <w:rPr>
                <w:rFonts w:ascii="Arial" w:cs="Arial" w:eastAsia="Arial" w:hAnsi="Arial"/>
                <w:sz w:val="18"/>
                <w:szCs w:val="18"/>
                <w:b w:val="1"/>
                <w:bCs w:val="1"/>
                <w:color w:val="auto"/>
                <w:w w:val="90"/>
              </w:rPr>
              <w:t>December 31, 2015</w:t>
            </w: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-34.0%</w:t>
            </w:r>
          </w:p>
        </w:tc>
        <w:tc>
          <w:tcPr>
            <w:tcW w:w="60" w:type="dxa"/>
            <w:vAlign w:val="bottom"/>
            <w:vMerge w:val="continue"/>
          </w:tcPr>
          <w:p>
            <w:pPr>
              <w:spacing w:after="0"/>
              <w:rPr>
                <w:sz w:val="16"/>
                <w:szCs w:val="16"/>
                <w:color w:val="auto"/>
              </w:rPr>
            </w:pPr>
          </w:p>
        </w:tc>
        <w:tc>
          <w:tcPr>
            <w:tcW w:w="168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4"/>
        </w:trPr>
        <w:tc>
          <w:tcPr>
            <w:tcW w:w="166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-608330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7280" w:space="720"/>
            <w:col w:w="3420"/>
          </w:cols>
          <w:pgMar w:left="240" w:top="909" w:right="239" w:bottom="1440" w:gutter="0" w:footer="0" w:header="0"/>
          <w:type w:val="continuous"/>
        </w:sectPr>
      </w:pP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March 7, 2017, the Company authorized the withdrawal of $71,703 from the Trust account in order to pay tax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Joshua Sason,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 I Acquisitions,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jc w:val="both"/>
        <w:ind w:left="820" w:hanging="488"/>
        <w:spacing w:after="0" w:line="250"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 w:lineRule="exact"/>
        <w:rPr>
          <w:rFonts w:ascii="Arial" w:cs="Arial" w:eastAsia="Arial" w:hAnsi="Arial"/>
          <w:sz w:val="18"/>
          <w:szCs w:val="18"/>
          <w:color w:val="auto"/>
        </w:rPr>
      </w:pPr>
    </w:p>
    <w:p>
      <w:pPr>
        <w:jc w:val="both"/>
        <w:ind w:left="820" w:right="20" w:hanging="488"/>
        <w:spacing w:after="0" w:line="250"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 w:lineRule="exact"/>
        <w:rPr>
          <w:rFonts w:ascii="Arial" w:cs="Arial" w:eastAsia="Arial" w:hAnsi="Arial"/>
          <w:sz w:val="18"/>
          <w:szCs w:val="18"/>
          <w:color w:val="auto"/>
        </w:rPr>
      </w:pPr>
    </w:p>
    <w:p>
      <w:pPr>
        <w:ind w:left="820" w:hanging="488"/>
        <w:spacing w:after="0" w:line="265" w:lineRule="auto"/>
        <w:tabs>
          <w:tab w:leader="none" w:pos="8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ind w:left="820" w:hanging="488"/>
        <w:spacing w:after="0" w:line="323" w:lineRule="auto"/>
        <w:tabs>
          <w:tab w:leader="none" w:pos="8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Arial" w:cs="Arial" w:eastAsia="Arial" w:hAnsi="Arial"/>
          <w:sz w:val="16"/>
          <w:szCs w:val="16"/>
          <w:color w:val="auto"/>
        </w:rPr>
      </w:pPr>
    </w:p>
    <w:p>
      <w:pPr>
        <w:ind w:left="340" w:hanging="332"/>
        <w:spacing w:after="0" w:line="274"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488"/>
        <w:spacing w:after="0" w:line="250"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488"/>
        <w:spacing w:after="0" w:line="261"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Date: March 13,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Manuel,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 I Acquisitions,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jc w:val="both"/>
        <w:ind w:left="820" w:hanging="488"/>
        <w:spacing w:after="0" w:line="25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 w:lineRule="exact"/>
        <w:rPr>
          <w:rFonts w:ascii="Arial" w:cs="Arial" w:eastAsia="Arial" w:hAnsi="Arial"/>
          <w:sz w:val="18"/>
          <w:szCs w:val="18"/>
          <w:color w:val="auto"/>
        </w:rPr>
      </w:pPr>
    </w:p>
    <w:p>
      <w:pPr>
        <w:jc w:val="both"/>
        <w:ind w:left="820" w:right="20" w:hanging="488"/>
        <w:spacing w:after="0" w:line="25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 w:lineRule="exact"/>
        <w:rPr>
          <w:rFonts w:ascii="Arial" w:cs="Arial" w:eastAsia="Arial" w:hAnsi="Arial"/>
          <w:sz w:val="18"/>
          <w:szCs w:val="18"/>
          <w:color w:val="auto"/>
        </w:rPr>
      </w:pPr>
    </w:p>
    <w:p>
      <w:pPr>
        <w:ind w:left="820" w:hanging="488"/>
        <w:spacing w:after="0" w:line="265" w:lineRule="auto"/>
        <w:tabs>
          <w:tab w:leader="none" w:pos="8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ind w:left="820" w:hanging="488"/>
        <w:spacing w:after="0" w:line="323" w:lineRule="auto"/>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Arial" w:cs="Arial" w:eastAsia="Arial" w:hAnsi="Arial"/>
          <w:sz w:val="16"/>
          <w:szCs w:val="16"/>
          <w:color w:val="auto"/>
        </w:rPr>
      </w:pPr>
    </w:p>
    <w:p>
      <w:pPr>
        <w:ind w:left="340" w:hanging="332"/>
        <w:spacing w:after="0" w:line="274"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488"/>
        <w:spacing w:after="0" w:line="250"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488"/>
        <w:spacing w:after="0" w:line="261"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Date: March 13,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Annual Report of M I Acquisitions, Inc. (the “Company”) on Form 10-K for the year ended December 31, 2016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380" w:hanging="328"/>
        <w:spacing w:after="0" w:line="50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March 13, 2017</w:t>
      </w:r>
    </w:p>
    <w:p>
      <w:pPr>
        <w:ind w:left="6860"/>
        <w:spacing w:after="0"/>
        <w:rPr>
          <w:sz w:val="20"/>
          <w:szCs w:val="20"/>
          <w:color w:val="auto"/>
        </w:rPr>
      </w:pPr>
      <w:r>
        <w:rPr>
          <w:rFonts w:ascii="Arial" w:cs="Arial" w:eastAsia="Arial" w:hAnsi="Arial"/>
          <w:sz w:val="18"/>
          <w:szCs w:val="18"/>
          <w:color w:val="auto"/>
        </w:rPr>
        <w:t>/s/ Joshua Sason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13,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Marc Manuel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lowerLetter"/>
      <w:start w:val="1"/>
    </w:lvl>
    <w:lvl w:ilvl="1">
      <w:lvlJc w:val="left"/>
      <w:lvlText w:val="(%2)"/>
      <w:numFmt w:val="decimal"/>
      <w:start w:val="1"/>
    </w:lvl>
  </w:abstractNum>
  <w:abstractNum w:abstractNumId="22">
    <w:nsid w:val="54E49EB4"/>
    <w:multiLevelType w:val="hybridMultilevel"/>
    <w:lvl w:ilvl="0">
      <w:lvlJc w:val="left"/>
      <w:lvlText w:val="%1"/>
      <w:numFmt w:val="decimal"/>
      <w:start w:val="14"/>
    </w:lvl>
  </w:abstractNum>
  <w:abstractNum w:abstractNumId="23">
    <w:nsid w:val="71F32454"/>
    <w:multiLevelType w:val="hybridMultilevel"/>
    <w:lvl w:ilvl="0">
      <w:lvlJc w:val="left"/>
      <w:lvlText w:val="%1"/>
      <w:numFmt w:val="decimal"/>
      <w:start w:val="32"/>
    </w:lvl>
  </w:abstractNum>
  <w:abstractNum w:abstractNumId="24">
    <w:nsid w:val="2CA88611"/>
    <w:multiLevelType w:val="hybridMultilevel"/>
    <w:lvl w:ilvl="0">
      <w:lvlJc w:val="left"/>
      <w:lvlText w:val="%1"/>
      <w:numFmt w:val="decimal"/>
      <w:start w:val="14"/>
    </w:lvl>
  </w:abstractNum>
  <w:abstractNum w:abstractNumId="25">
    <w:nsid w:val="836C40E"/>
    <w:multiLevelType w:val="hybridMultilevel"/>
    <w:lvl w:ilvl="0">
      <w:lvlJc w:val="left"/>
      <w:lvlText w:val="%1"/>
      <w:numFmt w:val="decimal"/>
      <w:start w:val="32"/>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2020-01-16T15:38:53Z</dcterms:created>
  <dcterms:modified xsi:type="dcterms:W3CDTF">2020-01-16T15:38:53Z</dcterms:modified>
</cp:coreProperties>
</file>