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4833964.xml.htm"/>
      <w:bookmarkStart w:id="1" w:name="kswkform4_178483396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CRISAFULLI MARC 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PRIORITY TECHNOLOGY HOLDINGS,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2001 WESTSIDE PARKWAY, SUITE 155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ALPHARETTA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30004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Priority Technology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PRTH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85"/>
        <w:gridCol w:w="906"/>
        <w:gridCol w:w="775"/>
        <w:gridCol w:w="602"/>
        <w:gridCol w:w="353"/>
        <w:gridCol w:w="861"/>
        <w:gridCol w:w="466"/>
        <w:gridCol w:w="629"/>
        <w:gridCol w:w="1184"/>
        <w:gridCol w:w="1013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4,296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96,398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9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4,296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4,296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8,590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represents a contingent right to receive one share of the Issuer's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On February 5, 2026, the Reporting Person was granted 17,182 restricted stock units which vest 25% on April 1, 2026, 25% on July 1, 2026, 25% on October 1, 2026, and 25% on January 1, 2027 subject to the Reporting Person's continued service as a director of the Issuer.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Bradley J. Miller,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jc w:val="center"/>
        <w:rPr/>
      </w:pPr>
      <w:bookmarkStart w:id="2" w:name="secpowerofattorneycrisaf.htm"/>
      <w:bookmarkStart w:id="3" w:name="kssecpowerofattorneycrisaf"/>
      <w:bookmarkEnd w:id="2"/>
      <w:bookmarkEnd w:id="3"/>
      <w:r>
        <w:rPr/>
        <w:drawing>
          <wp:inline distT="0" distB="0" distL="0" distR="0">
            <wp:extent cx="10048875" cy="13001625"/>
            <wp:effectExtent l="0" t="0" r="0" b="0"/>
            <wp:docPr id="5" name="Image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5" descr="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48875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  <w:r>
        <w:br w:type="page"/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283"/>
        <w:jc w:val="center"/>
        <w:rPr/>
      </w:pPr>
      <w:r>
        <w:rPr/>
        <w:t> 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41413" TargetMode="External"/><Relationship Id="rId5" Type="http://schemas.openxmlformats.org/officeDocument/2006/relationships/hyperlink" Target="http://www.sec.gov/cgi-bin/browse-edgar?action=getcompany&amp;CIK=000165355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media/image1.jpeg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3</Pages>
  <Words>652</Words>
  <Characters>3501</Characters>
  <CharactersWithSpaces>4074</CharactersWithSpaces>
  <Paragraphs>111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>secpowerofattorneycrisaf</dc:title>
</cp:coreProperties>
</file>