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126d1_s8.htm"/>
      <w:bookmarkStart w:id="1" w:name="kstm2624126d1_s8"/>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27, 2026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br/>
        <w:t>UNDER THE SECURITIES ACT OF 1933</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1536065" cy="5803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6065" cy="58039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Priority Technology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495"/>
        <w:gridCol w:w="1535"/>
      </w:tblGrid>
      <w:tr>
        <w:trPr/>
        <w:tc>
          <w:tcPr>
            <w:tcW w:w="2495" w:type="dxa"/>
            <w:tcBorders/>
            <w:vAlign w:val="center"/>
          </w:tcPr>
          <w:p>
            <w:pPr>
              <w:pStyle w:val="TableContents"/>
              <w:bidi w:val="0"/>
              <w:spacing w:before="0" w:after="283"/>
              <w:jc w:val="center"/>
              <w:rPr>
                <w:b/>
                <w:sz w:val="20"/>
              </w:rPr>
            </w:pPr>
            <w:r>
              <w:rPr>
                <w:b/>
                <w:sz w:val="20"/>
              </w:rPr>
              <w:t>Delaware</w:t>
            </w:r>
          </w:p>
        </w:tc>
        <w:tc>
          <w:tcPr>
            <w:tcW w:w="1535" w:type="dxa"/>
            <w:tcBorders/>
            <w:vAlign w:val="center"/>
          </w:tcPr>
          <w:p>
            <w:pPr>
              <w:pStyle w:val="TableContents"/>
              <w:bidi w:val="0"/>
              <w:spacing w:before="0" w:after="283"/>
              <w:jc w:val="center"/>
              <w:rPr>
                <w:b/>
                <w:sz w:val="20"/>
              </w:rPr>
            </w:pPr>
            <w:r>
              <w:rPr>
                <w:b/>
                <w:sz w:val="20"/>
              </w:rPr>
              <w:t>47-4257046</w:t>
            </w:r>
          </w:p>
        </w:tc>
      </w:tr>
      <w:tr>
        <w:trPr/>
        <w:tc>
          <w:tcPr>
            <w:tcW w:w="2495" w:type="dxa"/>
            <w:tcBorders/>
            <w:vAlign w:val="center"/>
          </w:tcPr>
          <w:p>
            <w:pPr>
              <w:pStyle w:val="TableContents"/>
              <w:bidi w:val="0"/>
              <w:spacing w:before="0" w:after="283"/>
              <w:jc w:val="center"/>
              <w:rPr>
                <w:sz w:val="20"/>
              </w:rPr>
            </w:pPr>
            <w:r>
              <w:rPr>
                <w:sz w:val="20"/>
              </w:rPr>
              <w:t xml:space="preserve">(State or other jurisdiction of </w:t>
              <w:br/>
              <w:t>incorporation or organization)</w:t>
            </w:r>
          </w:p>
        </w:tc>
        <w:tc>
          <w:tcPr>
            <w:tcW w:w="1535" w:type="dxa"/>
            <w:tcBorders/>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2001 Westside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155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Alpharetta, GA 30004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Priority Technology Holdings, Inc. 2018 Equity Incentive Plan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Bradley Miller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Counsel, Chief Risk Officer and Corporate 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Priority Technology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2001 Westside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155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Alpharetta, GA 30004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(404) 952-2107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Copy to</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James Stevens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Troutman Pepper Locke LLP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600 Peachtree Street, NE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Suite 3000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Atlanta, Georgia 30308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(404) 885-3000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2465" w:type="dxa"/>
            <w:tcBorders/>
            <w:vAlign w:val="center"/>
          </w:tcPr>
          <w:p>
            <w:pPr>
              <w:pStyle w:val="TableContents"/>
              <w:bidi w:val="0"/>
              <w:spacing w:before="0" w:after="283"/>
              <w:jc w:val="left"/>
              <w:rPr>
                <w:sz w:val="20"/>
              </w:rPr>
            </w:pPr>
            <w:r>
              <w:rPr>
                <w:rFonts w:ascii="Times New Roman;Times;Serif" w:hAnsi="Times New Roman;Times;Serif"/>
                <w:sz w:val="20"/>
              </w:rPr>
              <w:t xml:space="preserve">Accelerated filer </w:t>
            </w:r>
            <w:r>
              <w:rPr>
                <w:sz w:val="20"/>
              </w:rPr>
              <w:t>☒</w:t>
            </w:r>
          </w:p>
        </w:tc>
      </w:tr>
      <w:tr>
        <w:trPr/>
        <w:tc>
          <w:tcPr>
            <w:tcW w:w="2060" w:type="dxa"/>
            <w:tcBorders/>
            <w:vAlign w:val="center"/>
          </w:tcPr>
          <w:p>
            <w:pPr>
              <w:pStyle w:val="TableContents"/>
              <w:bidi w:val="0"/>
              <w:spacing w:before="0" w:after="283"/>
              <w:jc w:val="left"/>
              <w:rPr>
                <w:sz w:val="20"/>
              </w:rPr>
            </w:pPr>
            <w:r>
              <w:rPr>
                <w:rFonts w:ascii="Times New Roman;Times;Serif" w:hAnsi="Times New Roman;Times;Serif"/>
                <w:sz w:val="20"/>
              </w:rPr>
              <w:t xml:space="preserve">Non-accelerated filer </w:t>
            </w:r>
            <w:r>
              <w:rPr>
                <w:sz w:val="20"/>
              </w:rPr>
              <w:t>☐</w:t>
            </w:r>
          </w:p>
        </w:tc>
        <w:tc>
          <w:tcPr>
            <w:tcW w:w="2465" w:type="dxa"/>
            <w:tcBorders/>
            <w:vAlign w:val="center"/>
          </w:tcPr>
          <w:p>
            <w:pPr>
              <w:pStyle w:val="TableContents"/>
              <w:bidi w:val="0"/>
              <w:spacing w:before="0" w:after="283"/>
              <w:jc w:val="left"/>
              <w:rPr>
                <w:sz w:val="20"/>
              </w:rPr>
            </w:pPr>
            <w:r>
              <w:rPr>
                <w:rFonts w:ascii="Times New Roman;Times;Serif" w:hAnsi="Times New Roman;Times;Serif"/>
                <w:sz w:val="20"/>
              </w:rPr>
              <w:t xml:space="preserve">Smaller reporting company </w:t>
            </w:r>
            <w:r>
              <w:rPr>
                <w:sz w:val="20"/>
              </w:rPr>
              <w:t>☒</w:t>
            </w:r>
          </w:p>
        </w:tc>
      </w:tr>
      <w:tr>
        <w:trPr/>
        <w:tc>
          <w:tcPr>
            <w:tcW w:w="20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20"/>
              </w:rPr>
            </w:pPr>
            <w:r>
              <w:rPr>
                <w:rFonts w:ascii="Times New Roman;Times;Serif" w:hAnsi="Times New Roman;Times;Serif"/>
                <w:sz w:val="20"/>
              </w:rPr>
              <w:t xml:space="preserve">Emerging growth company </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INCORPORATION BY REFERENCE OF CONTENTS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OF REGISTRATION STATEMENT ON FORM S-8</w:t>
      </w:r>
    </w:p>
    <w:p>
      <w:pPr>
        <w:pStyle w:val="TextBody"/>
        <w:bidi w:val="0"/>
        <w:spacing w:before="0" w:after="0"/>
        <w:ind w:left="0" w:right="0" w:firstLine="36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Technology Holdings, Inc. (the “Registrant”) is filing this Registration Statement on Form S-8 (this “Registration Statement”) with the Securities and Exchange Commission (the “Commission”) to register an additional 8,000,000 shares of its common stock, par value $0.001 per share (“Common Stock”) in connection with the amendment of the Registrant’s 2018 Equity Incentive Plan, as amended (the “Equity Plan”), which was approved by the Registrant’s shareholders on June 11,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The additional shares of Common Stock issuable pursuant to the Equity Plan are securities of the same class as other securities for which Registration Statements on Form S-8 were filed with the Commission on March 29, 2019 (</w:t>
      </w:r>
      <w:hyperlink r:id="rId3">
        <w:r>
          <w:rPr>
            <w:rStyle w:val="InternetLink"/>
            <w:rFonts w:ascii="Times New Roman;Times;Serif" w:hAnsi="Times New Roman;Times;Serif"/>
            <w:b w:val="false"/>
            <w:i w:val="false"/>
            <w:caps w:val="false"/>
            <w:smallCaps w:val="false"/>
            <w:sz w:val="20"/>
          </w:rPr>
          <w:t>File No. 333-230620</w:t>
        </w:r>
      </w:hyperlink>
      <w:r>
        <w:rPr>
          <w:rFonts w:ascii="Times New Roman;Times;Serif" w:hAnsi="Times New Roman;Times;Serif"/>
          <w:b w:val="false"/>
          <w:i w:val="false"/>
          <w:caps w:val="false"/>
          <w:smallCaps w:val="false"/>
          <w:sz w:val="20"/>
        </w:rPr>
        <w:t>) and December 21, 2022 (</w:t>
      </w:r>
      <w:hyperlink r:id="rId4">
        <w:r>
          <w:rPr>
            <w:rStyle w:val="InternetLink"/>
            <w:rFonts w:ascii="Times New Roman;Times;Serif" w:hAnsi="Times New Roman;Times;Serif"/>
            <w:b w:val="false"/>
            <w:i w:val="false"/>
            <w:caps w:val="false"/>
            <w:smallCaps w:val="false"/>
            <w:sz w:val="20"/>
          </w:rPr>
          <w:t>File No. 333-268918)</w:t>
        </w:r>
      </w:hyperlink>
      <w:r>
        <w:rPr>
          <w:rFonts w:ascii="Times New Roman;Times;Serif" w:hAnsi="Times New Roman;Times;Serif"/>
          <w:b w:val="false"/>
          <w:i w:val="false"/>
          <w:caps w:val="false"/>
          <w:smallCaps w:val="false"/>
          <w:sz w:val="20"/>
        </w:rPr>
        <w:t xml:space="preserve"> (the “Prior Registration Statements”). Accordingly, and pursuant to General Instruction E to Form S-8, the contents of the Prior Registration Statement are incorporated by reference herein, including the periodic reports that the Registrant filed after the Prior Registration Statement to maintain current information about the Registrant, except to the extent supplemented, amended or superseded by the information set forth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with the Commission by the Registrant pursuant to the Securities Act of 1933, as amended (the “Securities Act”) and the Securities Exchange Act of 1934, as amended (the “Exchange Act”), are incorporated herein by reference, to the extent that such documents are considered filed with the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(a) The Registrant’s Annual Report on Form 10-K for the fiscal year ended December 31, 2025, filed with the Commission on March 10, 2026 (</w:t>
      </w:r>
      <w:hyperlink r:id="rId5">
        <w:r>
          <w:rPr>
            <w:rStyle w:val="InternetLink"/>
            <w:rFonts w:ascii="Times New Roman;Times;Serif" w:hAnsi="Times New Roman;Times;Serif"/>
            <w:b w:val="false"/>
            <w:i w:val="false"/>
            <w:caps w:val="false"/>
            <w:smallCaps w:val="false"/>
            <w:sz w:val="20"/>
          </w:rPr>
          <w:t>File No. 001-37872</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(b) The Registrant’s Quarterly Report on Form 10-Q for the quarter ended March 31, 2026, filed with the Commission on May 11, 2026 (</w:t>
      </w:r>
      <w:hyperlink r:id="rId6">
        <w:r>
          <w:rPr>
            <w:rStyle w:val="InternetLink"/>
            <w:rFonts w:ascii="Times New Roman;Times;Serif" w:hAnsi="Times New Roman;Times;Serif"/>
            <w:b w:val="false"/>
            <w:i w:val="false"/>
            <w:caps w:val="false"/>
            <w:smallCaps w:val="false"/>
            <w:sz w:val="20"/>
          </w:rPr>
          <w:t>File No. 001-37872</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b w:val="false"/>
          <w:i w:val="false"/>
          <w:caps w:val="false"/>
          <w:smallCaps w:val="false"/>
          <w:sz w:val="20"/>
        </w:rPr>
        <w:t>(c) The Registrant’s Quarterly Report on Form 10-Q for the quarter ended June 30, 2026, filed with the Commission on August 6, 2026 (</w:t>
      </w:r>
      <w:hyperlink r:id="rId7">
        <w:r>
          <w:rPr>
            <w:rStyle w:val="InternetLink"/>
            <w:rFonts w:ascii="Times New Roman;Times;Serif" w:hAnsi="Times New Roman;Times;Serif"/>
            <w:b w:val="false"/>
            <w:i w:val="false"/>
            <w:caps w:val="false"/>
            <w:smallCaps w:val="false"/>
            <w:sz w:val="20"/>
          </w:rPr>
          <w:t>File No. 001-37872</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(d) The Registrant’s Current Reports on Form 8-K, filed with the Commission on </w:t>
      </w:r>
      <w:hyperlink r:id="rId8">
        <w:r>
          <w:rPr>
            <w:rStyle w:val="InternetLink"/>
            <w:rFonts w:ascii="Times New Roman;Times;Serif" w:hAnsi="Times New Roman;Times;Serif"/>
            <w:b w:val="false"/>
            <w:i w:val="false"/>
            <w:caps w:val="false"/>
            <w:smallCaps w:val="false"/>
            <w:sz w:val="20"/>
          </w:rPr>
          <w:t>March 17,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June 15, 2026</w:t>
        </w:r>
      </w:hyperlink>
      <w:r>
        <w:rPr>
          <w:rFonts w:ascii="Times New Roman;Times;Serif" w:hAnsi="Times New Roman;Times;Serif"/>
          <w:b w:val="false"/>
          <w:i w:val="false"/>
          <w:caps w:val="false"/>
          <w:smallCaps w:val="false"/>
          <w:sz w:val="20"/>
        </w:rPr>
        <w:t xml:space="preserve"> and </w:t>
      </w:r>
      <w:hyperlink r:id="rId10">
        <w:r>
          <w:rPr>
            <w:rStyle w:val="InternetLink"/>
            <w:rFonts w:ascii="Times New Roman;Times;Serif" w:hAnsi="Times New Roman;Times;Serif"/>
            <w:b w:val="false"/>
            <w:i w:val="false"/>
            <w:caps w:val="false"/>
            <w:smallCaps w:val="false"/>
            <w:sz w:val="20"/>
          </w:rPr>
          <w:t>August 26, 2026</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(e) The description of the Registrant’s securities contained in </w:t>
      </w:r>
      <w:hyperlink r:id="rId11">
        <w:r>
          <w:rPr>
            <w:rStyle w:val="InternetLink"/>
            <w:rFonts w:ascii="Times New Roman;Times;Serif" w:hAnsi="Times New Roman;Times;Serif"/>
            <w:b w:val="false"/>
            <w:i w:val="false"/>
            <w:caps w:val="false"/>
            <w:smallCaps w:val="false"/>
            <w:sz w:val="20"/>
          </w:rPr>
          <w:t>Exhibit 4.5</w:t>
        </w:r>
      </w:hyperlink>
      <w:r>
        <w:rPr>
          <w:rFonts w:ascii="Times New Roman;Times;Serif" w:hAnsi="Times New Roman;Times;Serif"/>
          <w:b w:val="false"/>
          <w:i w:val="false"/>
          <w:caps w:val="false"/>
          <w:smallCaps w:val="false"/>
          <w:sz w:val="20"/>
        </w:rPr>
        <w:t xml:space="preserve"> to the Registrant’s Annual Report on Form 10-K for the year ended December 31, 2024 including any amendment or report filed for the purpose of updating such description.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subsequently filed by the Registrant pursuant to Sections 13(a), 13(c), 14 and 15(d) of the Exchange Act (other than Current Reports on Form 8-K furnished pursuant to Item 2.02 or Item 7.01 of Form 8-K, including any exhibits included with such information that are related to such items), prior to the filing of a post-effective amendment which indicates that all securities offered have been sold or which deregisters all securities then remaining unsold, shall be deemed to be incorporated by reference herein and to be a part hereof from the date of filing of such documents, to the extent such documents are considered filed with the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copies of these documents, at no cost to you, by writing or telephoning us at the below address. Exhibits to the filings, however, will not be sent, unless those exhibits have specifically been incorporated by reference in this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Technology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Westside Parkway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155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Alpharetta, GA 30004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 952-2107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0"/>
        <w:gridCol w:w="60"/>
        <w:gridCol w:w="9495"/>
      </w:tblGrid>
      <w:tr>
        <w:trPr/>
        <w:tc>
          <w:tcPr>
            <w:tcW w:w="650" w:type="dxa"/>
            <w:tcBorders>
              <w:bottom w:val="single" w:sz="8" w:space="0" w:color="000000"/>
            </w:tcBorders>
            <w:vAlign w:val="center"/>
          </w:tcPr>
          <w:p>
            <w:pPr>
              <w:pStyle w:val="TableContents"/>
              <w:bidi w:val="0"/>
              <w:spacing w:before="0" w:after="283"/>
              <w:jc w:val="left"/>
              <w:rPr>
                <w:sz w:val="20"/>
              </w:rPr>
            </w:pPr>
            <w:r>
              <w:rPr>
                <w:sz w:val="20"/>
              </w:rPr>
              <w:t>Exhibit</w:t>
            </w:r>
          </w:p>
        </w:tc>
        <w:tc>
          <w:tcPr>
            <w:tcW w:w="60" w:type="dxa"/>
            <w:tcBorders/>
            <w:tcMar>
              <w:bottom w:w="0" w:type="dxa"/>
            </w:tcMar>
            <w:vAlign w:val="center"/>
          </w:tcPr>
          <w:p>
            <w:pPr>
              <w:pStyle w:val="TableContents"/>
              <w:bidi w:val="0"/>
              <w:spacing w:before="0" w:after="283"/>
              <w:jc w:val="left"/>
              <w:rPr/>
            </w:pPr>
            <w:r>
              <w:rPr/>
              <w:t> </w:t>
            </w:r>
          </w:p>
        </w:tc>
        <w:tc>
          <w:tcPr>
            <w:tcW w:w="9495" w:type="dxa"/>
            <w:tcBorders>
              <w:bottom w:val="single" w:sz="8" w:space="0" w:color="000000"/>
            </w:tcBorders>
            <w:vAlign w:val="center"/>
          </w:tcPr>
          <w:p>
            <w:pPr>
              <w:pStyle w:val="TableContents"/>
              <w:bidi w:val="0"/>
              <w:spacing w:before="0" w:after="283"/>
              <w:jc w:val="left"/>
              <w:rPr>
                <w:sz w:val="20"/>
              </w:rPr>
            </w:pPr>
            <w:r>
              <w:rPr>
                <w:sz w:val="20"/>
              </w:rPr>
              <w:t>Description</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283"/>
              <w:jc w:val="left"/>
              <w:rPr/>
            </w:pPr>
            <w:hyperlink r:id="rId12">
              <w:r>
                <w:rPr>
                  <w:rStyle w:val="InternetLink"/>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both"/>
              <w:rPr/>
            </w:pPr>
            <w:hyperlink r:id="rId13">
              <w:r>
                <w:rPr>
                  <w:rStyle w:val="InternetLink"/>
                  <w:sz w:val="20"/>
                </w:rPr>
                <w:t>Second Amended and Restated Certificate of Incorporation of Priority Technology Holdings, Inc. (incorporated by reference to Exhibit 3.1 to the Company's Current Report on Form 8-K, filed July 31, 2018).</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283"/>
              <w:jc w:val="left"/>
              <w:rPr/>
            </w:pPr>
            <w:hyperlink r:id="rId14">
              <w:r>
                <w:rPr>
                  <w:rStyle w:val="InternetLink"/>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both"/>
              <w:rPr/>
            </w:pPr>
            <w:hyperlink r:id="rId15">
              <w:r>
                <w:rPr>
                  <w:rStyle w:val="InternetLink"/>
                  <w:sz w:val="20"/>
                </w:rPr>
                <w:t>Certificate of Amendment to the Certificate of Incorporation of Priority Technology Holdings dated April 16, 2021, filed April 29, 2021(incorporated by reference to Annex I to the Registrant’s Preliminary Proxy Statement on Schedule 14A filed with the Commission on April 16, 2021).</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283"/>
              <w:jc w:val="left"/>
              <w:rPr/>
            </w:pPr>
            <w:hyperlink r:id="rId16">
              <w:r>
                <w:rPr>
                  <w:rStyle w:val="InternetLink"/>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both"/>
              <w:rPr/>
            </w:pPr>
            <w:hyperlink r:id="rId17">
              <w:r>
                <w:rPr>
                  <w:rStyle w:val="InternetLink"/>
                  <w:sz w:val="20"/>
                </w:rPr>
                <w:t>Certificate of Designations of Senior Preferred Stock (incorporated by reference to Exhibit 3.1 to the Registrant’s Current Report on Form 8-K, filed May 3, 2021).</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283"/>
              <w:jc w:val="left"/>
              <w:rPr/>
            </w:pPr>
            <w:hyperlink r:id="rId18">
              <w:r>
                <w:rPr>
                  <w:rStyle w:val="InternetLink"/>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hyperlink r:id="rId19">
              <w:r>
                <w:rPr>
                  <w:rStyle w:val="InternetLink"/>
                  <w:sz w:val="20"/>
                </w:rPr>
                <w:t>Specimen Common Stock Certificate (incorporated by reference to Exhibit 4.2 to the Registration Statement on Form S-1, filed July 26, 2016).</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283"/>
              <w:jc w:val="left"/>
              <w:rPr/>
            </w:pPr>
            <w:hyperlink r:id="rId20">
              <w:r>
                <w:rPr>
                  <w:rStyle w:val="InternetLink"/>
                  <w:sz w:val="20"/>
                </w:rPr>
                <w:t>4.5</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both"/>
              <w:rPr/>
            </w:pPr>
            <w:hyperlink r:id="rId21">
              <w:r>
                <w:rPr>
                  <w:rStyle w:val="InternetLink"/>
                  <w:sz w:val="20"/>
                </w:rPr>
                <w:t>Amended and Restated Bylaws of the Registrant (incorporated by reference to Exhibit 3.2 to the Registrant’s Current Report on Form 8-K, filed July 31, 2018).</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both"/>
              <w:rPr/>
            </w:pPr>
            <w:r>
              <w:rPr/>
              <w:t> </w:t>
            </w:r>
          </w:p>
        </w:tc>
      </w:tr>
      <w:tr>
        <w:trPr/>
        <w:tc>
          <w:tcPr>
            <w:tcW w:w="650" w:type="dxa"/>
            <w:tcBorders/>
            <w:tcMar>
              <w:bottom w:w="0" w:type="dxa"/>
            </w:tcMar>
            <w:vAlign w:val="center"/>
          </w:tcPr>
          <w:p>
            <w:pPr>
              <w:pStyle w:val="TableContents"/>
              <w:bidi w:val="0"/>
              <w:spacing w:before="0" w:after="283"/>
              <w:jc w:val="left"/>
              <w:rPr/>
            </w:pPr>
            <w:hyperlink w:anchor="tm2624126d1_ex5-1.htm">
              <w:r>
                <w:rPr>
                  <w:rStyle w:val="InternetLink"/>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hyperlink w:anchor="tm2624126d1_ex5-1.htm">
              <w:r>
                <w:rPr>
                  <w:rStyle w:val="InternetLink"/>
                  <w:sz w:val="20"/>
                </w:rPr>
                <w:t>Opinion of Troutman Pepper Locke LLP</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283"/>
              <w:jc w:val="left"/>
              <w:rPr/>
            </w:pPr>
            <w:hyperlink r:id="rId22">
              <w:r>
                <w:rPr>
                  <w:rStyle w:val="InternetLink"/>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hyperlink r:id="rId23">
              <w:r>
                <w:rPr>
                  <w:rStyle w:val="InternetLink"/>
                </w:rPr>
                <w:t>Priority Technology Holdings, Inc. 2018 Equity Incentive Plan (incorporated by reference to Exhibit 10.2 to the Company's Current Report on Form 8-K, filed July 31, 2018).</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283"/>
              <w:jc w:val="left"/>
              <w:rPr/>
            </w:pPr>
            <w:hyperlink w:anchor="tm2624126d1_ex10-2.htm">
              <w:r>
                <w:rPr>
                  <w:rStyle w:val="InternetLink"/>
                  <w:sz w:val="20"/>
                </w:rPr>
                <w:t xml:space="preserve">10.2* </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hyperlink w:anchor="tm2624126d1_ex10-2.htm">
              <w:r>
                <w:rPr>
                  <w:rStyle w:val="InternetLink"/>
                  <w:sz w:val="20"/>
                </w:rPr>
                <w:t>Amendment No. 2 to Priority Technology Holdings, Inc. 2018 Equity Incentive Plan.</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283"/>
              <w:jc w:val="left"/>
              <w:rPr/>
            </w:pPr>
            <w:hyperlink w:anchor="tm2624126d1_ex23-1.htm">
              <w:r>
                <w:rPr>
                  <w:rStyle w:val="InternetLink"/>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hyperlink w:anchor="tm2624126d1_ex23-1.htm">
              <w:r>
                <w:rPr>
                  <w:rStyle w:val="InternetLink"/>
                  <w:sz w:val="20"/>
                </w:rPr>
                <w:t>Consent of Ernst &amp; Young LLP, Independent Registered Public Accounting Firm for the Registrant</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283"/>
              <w:jc w:val="left"/>
              <w:rPr/>
            </w:pPr>
            <w:hyperlink w:anchor="tm2624126d1_ex5-1.htm">
              <w:r>
                <w:rPr>
                  <w:rStyle w:val="InternetLink"/>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hyperlink w:anchor="tm2624126d1_ex5-1.htm">
              <w:r>
                <w:rPr>
                  <w:rStyle w:val="InternetLink"/>
                  <w:sz w:val="20"/>
                </w:rPr>
                <w:t>Consent of Troutman Pepper Locke LLP (included in Exhibit 5.1)</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283"/>
              <w:jc w:val="left"/>
              <w:rPr/>
            </w:pPr>
            <w:hyperlink w:anchor="a_001">
              <w:r>
                <w:rPr>
                  <w:rStyle w:val="InternetLink"/>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hyperlink w:anchor="a_001">
              <w:r>
                <w:rPr>
                  <w:rStyle w:val="InternetLink"/>
                  <w:sz w:val="20"/>
                </w:rPr>
                <w:t>Power of Attorney (contained on the signature page hereto)</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283"/>
              <w:jc w:val="left"/>
              <w:rPr/>
            </w:pPr>
            <w:hyperlink w:anchor="tm2624126d1_exfilingfee.htm">
              <w:r>
                <w:rPr>
                  <w:rStyle w:val="InternetLink"/>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hyperlink w:anchor="tm2624126d1_exfilingfee.htm">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Alpharetta, State of Georgia, on August 27, 2026.</w:t>
      </w:r>
    </w:p>
    <w:p>
      <w:pPr>
        <w:pStyle w:val="TextBody"/>
        <w:bidi w:val="0"/>
        <w:spacing w:before="0" w:after="0"/>
        <w:ind w:left="0" w:right="0" w:firstLine="360"/>
        <w:jc w:val="both"/>
        <w:rPr>
          <w:caps w:val="false"/>
          <w:smallCaps w:val="false"/>
        </w:rPr>
      </w:pPr>
      <w:r>
        <w:rPr>
          <w:caps w:val="false"/>
          <w:smallCaps w:val="false"/>
        </w:rPr>
        <w:t> </w:t>
      </w:r>
    </w:p>
    <w:tbl>
      <w:tblPr>
        <w:tblW w:w="4084" w:type="dxa"/>
        <w:jc w:val="left"/>
        <w:tblInd w:w="0" w:type="dxa"/>
        <w:tblLayout w:type="fixed"/>
        <w:tblCellMar>
          <w:top w:w="0" w:type="dxa"/>
          <w:left w:w="0" w:type="dxa"/>
          <w:bottom w:w="0" w:type="dxa"/>
          <w:right w:w="0" w:type="dxa"/>
        </w:tblCellMar>
      </w:tblPr>
      <w:tblGrid>
        <w:gridCol w:w="75"/>
        <w:gridCol w:w="874"/>
        <w:gridCol w:w="3135"/>
      </w:tblGrid>
      <w:tr>
        <w:trPr/>
        <w:tc>
          <w:tcPr>
            <w:tcW w:w="75" w:type="dxa"/>
            <w:tcBorders/>
            <w:vAlign w:val="center"/>
          </w:tcPr>
          <w:p>
            <w:pPr>
              <w:pStyle w:val="TableContents"/>
              <w:bidi w:val="0"/>
              <w:spacing w:before="0" w:after="283"/>
              <w:jc w:val="left"/>
              <w:rPr/>
            </w:pPr>
            <w:r>
              <w:rPr/>
              <w:t> </w:t>
            </w:r>
          </w:p>
        </w:tc>
        <w:tc>
          <w:tcPr>
            <w:tcW w:w="4009" w:type="dxa"/>
            <w:gridSpan w:val="2"/>
            <w:tcBorders/>
            <w:vAlign w:val="center"/>
          </w:tcPr>
          <w:p>
            <w:pPr>
              <w:pStyle w:val="TableContents"/>
              <w:bidi w:val="0"/>
              <w:spacing w:before="0" w:after="283"/>
              <w:jc w:val="left"/>
              <w:rPr>
                <w:b/>
                <w:sz w:val="20"/>
              </w:rPr>
            </w:pPr>
            <w:r>
              <w:rPr>
                <w:b/>
                <w:sz w:val="20"/>
              </w:rPr>
              <w:t>PRIORITY TECHNOLOGY HOLDINGS, INC.</w:t>
            </w:r>
          </w:p>
        </w:tc>
      </w:tr>
      <w:tr>
        <w:trPr/>
        <w:tc>
          <w:tcPr>
            <w:tcW w:w="75" w:type="dxa"/>
            <w:tcBorders/>
            <w:vAlign w:val="center"/>
          </w:tcPr>
          <w:p>
            <w:pPr>
              <w:pStyle w:val="TableContents"/>
              <w:bidi w:val="0"/>
              <w:spacing w:before="0" w:after="283"/>
              <w:jc w:val="left"/>
              <w:rPr/>
            </w:pPr>
            <w:r>
              <w:rPr/>
              <w:t> </w:t>
            </w:r>
          </w:p>
        </w:tc>
        <w:tc>
          <w:tcPr>
            <w:tcW w:w="40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sz w:val="20"/>
              </w:rPr>
            </w:pPr>
            <w:r>
              <w:rPr>
                <w:sz w:val="20"/>
              </w:rPr>
              <w:t>By:</w:t>
            </w:r>
          </w:p>
        </w:tc>
        <w:tc>
          <w:tcPr>
            <w:tcW w:w="313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Timothy M. O’Leary</w:t>
            </w:r>
          </w:p>
        </w:tc>
      </w:tr>
      <w:tr>
        <w:trPr/>
        <w:tc>
          <w:tcPr>
            <w:tcW w:w="75"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sz w:val="20"/>
              </w:rPr>
            </w:pPr>
            <w:r>
              <w:rPr>
                <w:sz w:val="20"/>
              </w:rPr>
              <w:t>Name:</w:t>
            </w:r>
          </w:p>
        </w:tc>
        <w:tc>
          <w:tcPr>
            <w:tcW w:w="3135" w:type="dxa"/>
            <w:tcBorders/>
            <w:vAlign w:val="center"/>
          </w:tcPr>
          <w:p>
            <w:pPr>
              <w:pStyle w:val="TableContents"/>
              <w:bidi w:val="0"/>
              <w:spacing w:before="0" w:after="283"/>
              <w:jc w:val="left"/>
              <w:rPr>
                <w:sz w:val="20"/>
              </w:rPr>
            </w:pPr>
            <w:r>
              <w:rPr>
                <w:sz w:val="20"/>
              </w:rPr>
              <w:t>Timothy M. O’Leary</w:t>
            </w:r>
          </w:p>
        </w:tc>
      </w:tr>
      <w:tr>
        <w:trPr/>
        <w:tc>
          <w:tcPr>
            <w:tcW w:w="75"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sz w:val="20"/>
              </w:rPr>
            </w:pPr>
            <w:r>
              <w:rPr>
                <w:sz w:val="20"/>
              </w:rPr>
              <w:t>Title:</w:t>
            </w:r>
          </w:p>
        </w:tc>
        <w:tc>
          <w:tcPr>
            <w:tcW w:w="313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POWERS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 and appoint Thomas C. Priore and Timothy M. O’Leary, or any one of them, his or her true and lawful attorneys-in-fact and agents, with full power of substitution and resubstitution, for him or her and in his or her name, place, and stead, in any and all capacities, to sign any and all amendments to the Registration Statement, including post-effective amendments thereto and any registration statements filed pursuant to Rule 462 under the Securities Act of 1933, as amended, and to file the same, with all exhibits hereto, and other documents in connection therewith, with the Securities and Exchange Commission, and does hereby grant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6285" w:type="dxa"/>
        <w:jc w:val="left"/>
        <w:tblInd w:w="0" w:type="dxa"/>
        <w:tblLayout w:type="fixed"/>
        <w:tblCellMar>
          <w:top w:w="0" w:type="dxa"/>
          <w:left w:w="0" w:type="dxa"/>
          <w:bottom w:w="28" w:type="dxa"/>
          <w:right w:w="0" w:type="dxa"/>
        </w:tblCellMar>
      </w:tblPr>
      <w:tblGrid>
        <w:gridCol w:w="1955"/>
        <w:gridCol w:w="60"/>
        <w:gridCol w:w="2825"/>
        <w:gridCol w:w="60"/>
        <w:gridCol w:w="1385"/>
      </w:tblGrid>
      <w:tr>
        <w:trPr/>
        <w:tc>
          <w:tcPr>
            <w:tcW w:w="1955"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2825"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19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Thomas C. Priore</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sz w:val="20"/>
              </w:rPr>
            </w:pPr>
            <w:r>
              <w:rPr>
                <w:sz w:val="20"/>
              </w:rPr>
              <w:t xml:space="preserve">President, Chief Executive Officer </w:t>
              <w:br/>
              <w:t>and Chairman</w:t>
              <w:b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27, 2026</w:t>
            </w:r>
          </w:p>
        </w:tc>
      </w:tr>
      <w:tr>
        <w:trPr/>
        <w:tc>
          <w:tcPr>
            <w:tcW w:w="1955" w:type="dxa"/>
            <w:tcBorders/>
            <w:tcMar>
              <w:bottom w:w="0" w:type="dxa"/>
            </w:tcMar>
            <w:vAlign w:val="center"/>
          </w:tcPr>
          <w:p>
            <w:pPr>
              <w:pStyle w:val="TableContents"/>
              <w:bidi w:val="0"/>
              <w:spacing w:before="0" w:after="283"/>
              <w:jc w:val="center"/>
              <w:rPr>
                <w:sz w:val="20"/>
              </w:rPr>
            </w:pPr>
            <w:r>
              <w:rPr>
                <w:sz w:val="20"/>
              </w:rPr>
              <w:t>Thomas C. Priore</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Timothy M. O’Leary</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sz w:val="20"/>
              </w:rPr>
            </w:pPr>
            <w:r>
              <w:rPr>
                <w:sz w:val="20"/>
              </w:rPr>
              <w:t>Chief Financial Officer</w:t>
              <w:br/>
              <w:t>(Principal Financial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27, 2026</w:t>
            </w:r>
          </w:p>
        </w:tc>
      </w:tr>
      <w:tr>
        <w:trPr/>
        <w:tc>
          <w:tcPr>
            <w:tcW w:w="1955" w:type="dxa"/>
            <w:tcBorders/>
            <w:tcMar>
              <w:bottom w:w="0" w:type="dxa"/>
            </w:tcMar>
            <w:vAlign w:val="center"/>
          </w:tcPr>
          <w:p>
            <w:pPr>
              <w:pStyle w:val="TableContents"/>
              <w:bidi w:val="0"/>
              <w:spacing w:before="0" w:after="283"/>
              <w:jc w:val="center"/>
              <w:rPr>
                <w:sz w:val="20"/>
              </w:rPr>
            </w:pPr>
            <w:r>
              <w:rPr>
                <w:sz w:val="20"/>
              </w:rPr>
              <w:t>Timothy M. O’Leary</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Rajiv Kumar</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sz w:val="20"/>
              </w:rPr>
            </w:pPr>
            <w:r>
              <w:rPr>
                <w:sz w:val="20"/>
              </w:rPr>
              <w:t xml:space="preserve">Senior Vice President and </w:t>
              <w:br/>
              <w:t>Chief Accounting Officer</w:t>
              <w:b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27, 2026</w:t>
            </w:r>
          </w:p>
        </w:tc>
      </w:tr>
      <w:tr>
        <w:trPr/>
        <w:tc>
          <w:tcPr>
            <w:tcW w:w="1955" w:type="dxa"/>
            <w:tcBorders/>
            <w:tcMar>
              <w:bottom w:w="0" w:type="dxa"/>
            </w:tcMar>
            <w:vAlign w:val="center"/>
          </w:tcPr>
          <w:p>
            <w:pPr>
              <w:pStyle w:val="TableContents"/>
              <w:bidi w:val="0"/>
              <w:spacing w:before="0" w:after="283"/>
              <w:jc w:val="center"/>
              <w:rPr>
                <w:sz w:val="20"/>
              </w:rPr>
            </w:pPr>
            <w:r>
              <w:rPr>
                <w:sz w:val="20"/>
              </w:rPr>
              <w:t>Rajiv Kumar</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Marc Crisafulli</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27, 2026</w:t>
            </w:r>
          </w:p>
        </w:tc>
      </w:tr>
      <w:tr>
        <w:trPr/>
        <w:tc>
          <w:tcPr>
            <w:tcW w:w="1955" w:type="dxa"/>
            <w:tcBorders/>
            <w:tcMar>
              <w:bottom w:w="0" w:type="dxa"/>
            </w:tcMar>
            <w:vAlign w:val="center"/>
          </w:tcPr>
          <w:p>
            <w:pPr>
              <w:pStyle w:val="TableContents"/>
              <w:bidi w:val="0"/>
              <w:spacing w:before="0" w:after="283"/>
              <w:jc w:val="center"/>
              <w:rPr>
                <w:sz w:val="20"/>
              </w:rPr>
            </w:pPr>
            <w:r>
              <w:rPr>
                <w:sz w:val="20"/>
              </w:rPr>
              <w:t>Marc Crisafulli</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Marietta C. Davis</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27, 2026</w:t>
            </w:r>
          </w:p>
        </w:tc>
      </w:tr>
      <w:tr>
        <w:trPr/>
        <w:tc>
          <w:tcPr>
            <w:tcW w:w="1955" w:type="dxa"/>
            <w:tcBorders/>
            <w:tcMar>
              <w:bottom w:w="0" w:type="dxa"/>
            </w:tcMar>
            <w:vAlign w:val="center"/>
          </w:tcPr>
          <w:p>
            <w:pPr>
              <w:pStyle w:val="TableContents"/>
              <w:bidi w:val="0"/>
              <w:spacing w:before="0" w:after="283"/>
              <w:jc w:val="center"/>
              <w:rPr>
                <w:sz w:val="20"/>
              </w:rPr>
            </w:pPr>
            <w:r>
              <w:rPr>
                <w:sz w:val="20"/>
              </w:rPr>
              <w:t>Marietta C. Davis</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Christina M. Favilla</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27, 2026</w:t>
            </w:r>
          </w:p>
        </w:tc>
      </w:tr>
      <w:tr>
        <w:trPr/>
        <w:tc>
          <w:tcPr>
            <w:tcW w:w="1955" w:type="dxa"/>
            <w:tcBorders/>
            <w:tcMar>
              <w:bottom w:w="0" w:type="dxa"/>
            </w:tcMar>
            <w:vAlign w:val="center"/>
          </w:tcPr>
          <w:p>
            <w:pPr>
              <w:pStyle w:val="TableContents"/>
              <w:bidi w:val="0"/>
              <w:spacing w:before="0" w:after="283"/>
              <w:jc w:val="center"/>
              <w:rPr>
                <w:sz w:val="20"/>
              </w:rPr>
            </w:pPr>
            <w:r>
              <w:rPr>
                <w:sz w:val="20"/>
              </w:rPr>
              <w:t>Christina M. Favilla</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Clayton Main</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27, 2026</w:t>
            </w:r>
          </w:p>
        </w:tc>
      </w:tr>
      <w:tr>
        <w:trPr/>
        <w:tc>
          <w:tcPr>
            <w:tcW w:w="1955" w:type="dxa"/>
            <w:tcBorders/>
            <w:tcMar>
              <w:bottom w:w="0" w:type="dxa"/>
            </w:tcMar>
            <w:vAlign w:val="center"/>
          </w:tcPr>
          <w:p>
            <w:pPr>
              <w:pStyle w:val="TableContents"/>
              <w:bidi w:val="0"/>
              <w:spacing w:before="0" w:after="283"/>
              <w:jc w:val="center"/>
              <w:rPr>
                <w:sz w:val="20"/>
              </w:rPr>
            </w:pPr>
            <w:r>
              <w:rPr>
                <w:sz w:val="20"/>
              </w:rPr>
              <w:t>Clayton Main</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Michael Passilla</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27, 2026</w:t>
            </w:r>
          </w:p>
        </w:tc>
      </w:tr>
      <w:tr>
        <w:trPr/>
        <w:tc>
          <w:tcPr>
            <w:tcW w:w="1955" w:type="dxa"/>
            <w:tcBorders/>
            <w:tcMar>
              <w:bottom w:w="0" w:type="dxa"/>
            </w:tcMar>
            <w:vAlign w:val="center"/>
          </w:tcPr>
          <w:p>
            <w:pPr>
              <w:pStyle w:val="TableContents"/>
              <w:bidi w:val="0"/>
              <w:spacing w:before="0" w:after="283"/>
              <w:jc w:val="center"/>
              <w:rPr>
                <w:sz w:val="20"/>
              </w:rPr>
            </w:pPr>
            <w:r>
              <w:rPr>
                <w:sz w:val="20"/>
              </w:rPr>
              <w:t>Michael Passilla</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3" w:name="tm2624126d1_ex5-1.htm"/>
      <w:bookmarkStart w:id="4" w:name="kstm2624126d1_ex51"/>
      <w:bookmarkEnd w:id="3"/>
      <w:bookmarkEnd w:id="4"/>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6489" w:type="dxa"/>
        <w:jc w:val="left"/>
        <w:tblInd w:w="0" w:type="dxa"/>
        <w:tblLayout w:type="fixed"/>
        <w:tblCellMar>
          <w:top w:w="0" w:type="dxa"/>
          <w:left w:w="0" w:type="dxa"/>
          <w:bottom w:w="28" w:type="dxa"/>
          <w:right w:w="0" w:type="dxa"/>
        </w:tblCellMar>
      </w:tblPr>
      <w:tblGrid>
        <w:gridCol w:w="4895"/>
        <w:gridCol w:w="1594"/>
      </w:tblGrid>
      <w:tr>
        <w:trPr/>
        <w:tc>
          <w:tcPr>
            <w:tcW w:w="489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Troutman Pepper Locke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Plaza, 600 Peachtree Street NE, Suite 3000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 30308</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troutman.com</w:t>
            </w:r>
          </w:p>
        </w:tc>
        <w:tc>
          <w:tcPr>
            <w:tcW w:w="1594" w:type="dxa"/>
            <w:tcBorders>
              <w:bottom w:val="single" w:sz="8" w:space="0" w:color="000000"/>
            </w:tcBorders>
            <w:vAlign w:val="center"/>
          </w:tcPr>
          <w:p>
            <w:pPr>
              <w:pStyle w:val="TableContents"/>
              <w:bidi w:val="0"/>
              <w:spacing w:before="0" w:after="283"/>
              <w:jc w:val="right"/>
              <w:rPr/>
            </w:pPr>
            <w:r>
              <w:rPr/>
              <w:t> </w:t>
            </w:r>
            <w:r>
              <w:rPr/>
              <w:drawing>
                <wp:inline distT="0" distB="0" distL="0" distR="0">
                  <wp:extent cx="964565" cy="3517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4"/>
                          <a:stretch>
                            <a:fillRect/>
                          </a:stretch>
                        </pic:blipFill>
                        <pic:spPr bwMode="auto">
                          <a:xfrm>
                            <a:off x="0" y="0"/>
                            <a:ext cx="964565" cy="351790"/>
                          </a:xfrm>
                          <a:prstGeom prst="rect">
                            <a:avLst/>
                          </a:prstGeom>
                        </pic:spPr>
                      </pic:pic>
                    </a:graphicData>
                  </a:graphic>
                </wp:inline>
              </w:drawing>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Technology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Westside Parkway, Suite 155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Alpharetta, GA 30004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counsel to Priority Technology Holdings,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preparation and filing of its registration statement on Form S-8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relating to the registration of 8,000,000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the Company’s common stock, par value $0.001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which may be issued pursuant to the Priority Technology Holdings, Inc. 2018 Equity Incentive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This opinion letter is furnished to you at your request to enable you to fulfill the requirements of Item 601(b)(5) of Regulation S-K, 17 C.F.R. § 229.601(b)(5), in connection with the Registration Statement, and no opinion is expressed herein as to any matter pertaining to the contents of the Registration Statement or related prospectus, other than as expressly stated herein with respect to the issuance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telecopies).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based as to matters of law solely on the Delaware General Corporation Law, as amended. We express no opinion herein as to any other statutes, rules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464" w:type="dxa"/>
        <w:jc w:val="left"/>
        <w:tblInd w:w="0" w:type="dxa"/>
        <w:tblLayout w:type="fixed"/>
        <w:tblCellMar>
          <w:top w:w="0" w:type="dxa"/>
          <w:left w:w="0" w:type="dxa"/>
          <w:bottom w:w="28" w:type="dxa"/>
          <w:right w:w="0" w:type="dxa"/>
        </w:tblCellMar>
      </w:tblPr>
      <w:tblGrid>
        <w:gridCol w:w="2870"/>
        <w:gridCol w:w="1594"/>
      </w:tblGrid>
      <w:tr>
        <w:trPr/>
        <w:tc>
          <w:tcPr>
            <w:tcW w:w="287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Technology Holdings,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tc>
        <w:tc>
          <w:tcPr>
            <w:tcW w:w="1594" w:type="dxa"/>
            <w:tcBorders>
              <w:bottom w:val="single" w:sz="8" w:space="0" w:color="000000"/>
            </w:tcBorders>
            <w:vAlign w:val="center"/>
          </w:tcPr>
          <w:p>
            <w:pPr>
              <w:pStyle w:val="TableContents"/>
              <w:bidi w:val="0"/>
              <w:spacing w:before="0" w:after="283"/>
              <w:jc w:val="right"/>
              <w:rPr/>
            </w:pPr>
            <w:r>
              <w:rPr/>
              <w:t> </w:t>
            </w:r>
            <w:r>
              <w:rPr/>
              <w:drawing>
                <wp:inline distT="0" distB="0" distL="0" distR="0">
                  <wp:extent cx="964565" cy="3517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964565" cy="351790"/>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subject to and limited by the foregoing, we are of the opinion as of the date hereof, when the Shares shall have been duly registered on the books of the transfer agent and registrar therefor in the name or on behalf of the recipients, and have been issued by the Company for legal consideration in excess of par value in the circumstances contemplated by the Plan, assuming in each case that the individual issuances, grants or awards under the Plan are duly authorized by all necessary corporate action and duly issued, granted or awarded and exercised in accordance with the requirements of law and the Plan (and the agreements duly adopted thereunder and in accordance therewith), the issue and sale of the Shares will have been duly authorized by all necessary corporate action of the Company and the Shares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has been prepared for use in connection with the Registration Statement. We assume no obligation to advise you of any changes in the foregoing subsequent to the effective date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Registration Statement. In giving this consent, we do not thereby admit that we are an “expert” within the meaning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TROUTMAN PEPPER LOCKE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TROUTMAN PEPPER LOCKE LLP</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pPr>
      <w:bookmarkStart w:id="5" w:name="tm2624126d1_ex10-2.htm"/>
      <w:bookmarkStart w:id="6" w:name="kstm2624126d1_ex102"/>
      <w:bookmarkEnd w:id="5"/>
      <w:bookmarkEnd w:id="6"/>
      <w:r>
        <w:rPr/>
        <w:t> </w:t>
      </w:r>
      <w:r>
        <w:br w:type="page"/>
      </w:r>
    </w:p>
    <w:p>
      <w:pPr>
        <w:pStyle w:val="TextBody"/>
        <w:bidi w:val="0"/>
        <w:spacing w:before="0" w:after="0"/>
        <w:ind w:left="0" w:right="0" w:hanging="0"/>
        <w:jc w:val="right"/>
        <w:rPr>
          <w:b/>
        </w:rPr>
      </w:pPr>
      <w:r>
        <w:rPr>
          <w:b/>
        </w:rPr>
        <w:t>Exhibit 10.2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 TO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PRIORITY TECHNOLOGY HOLDINGS, INC. 2018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(this “Amendment No. 2”) to the Priority Technology Holdings, Inc. 2018 Equity Incentive Plan is made as of the 11th day of June, 2026, by Priority Technology Holdings, Inc., (the “Company”), to be effective as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previously established the Priority Technology Holdings, Inc. 2018 Equity Incentive Plan (the “Plan”) to promote the interests of the Company and its stockholders by providing employees, directors and consultants of the Company and its affiliates with appropriate incentives and rewards to encourage them to enter into and continue in the employ or service of the Company and its affiliates and to acquire a proprietary interest in the long-term success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Plan was previously amended by Amendment No. 1 to increase the aggregate number of shares of Company Stock available under the Plan to 4,364,050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Company’s Board of Directors (the “Board”) has determined that it is advisable and in the best interests of the Company to further amend the Plan pursuant to Section 19 thereof to increase the aggregate number of shares of common stock, $0.01 par value per share, of the Company (“Company Stock”) available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Plan is hereby amended as follows, effective as of June 11, 2026, the date of approval by the Company’s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Section 3.1 of the Plan is hereby amended by deleting the present section in its entirety and substituting the following in lieu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 as provided in Section 3(b), the aggregate maximum number of shares of Company Stock for which Awards may be granted pursuant to the Plan (after approval of Amendment No. 2 by the Company’s stockholders) shall be increased by 8,000,000 shares of Company Stock, which will increase the number of shares of Company Stock authorized for Awards under the Plan from 1,641,460 shares to 9,641,460 shares of Company Stock. Notwithstanding anything to the contrary herein, no more than 66,860 shares of Company Stock may be issued as Incentive Stock Options under the Plan. Any shares of Company Stock granted in connection with Options and Stock Appreciation Rights shall be counted against this limit as one share of Company Stock for every one Option or Stock Appreciation Right awarded. The aggregate number of shares of Company Stock available for Awards under the Plan shall be reduced on a one-for-one basis by the number of shares of Company Stock issued or issuable under the Plan and increased by that number of shares of Company Stock subject to Awards granted under the Plan which later become available in accordance with the provisions below. Such shares of Company Stock may be authorized but unissued shares of Company Stock or authorized and issued shares of Company Stock held in the Company’s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Amendment No. 2 to the Plan has been approved by the shareholders of the Company at a meeting duly called for such purposes on June 11, 2026. Except as hereby modified, the Plan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executed this Amendment No. 2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08"/>
        <w:gridCol w:w="3031"/>
        <w:gridCol w:w="75"/>
      </w:tblGrid>
      <w:tr>
        <w:trPr/>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TECHNOLOGY HOLDINGS, INC.</w:t>
            </w:r>
          </w:p>
        </w:tc>
        <w:tc>
          <w:tcPr>
            <w:tcW w:w="75" w:type="dxa"/>
            <w:tcBorders/>
            <w:vAlign w:val="center"/>
          </w:tcPr>
          <w:p>
            <w:pPr>
              <w:pStyle w:val="TableContents"/>
              <w:bidi w:val="0"/>
              <w:spacing w:before="0" w:after="283"/>
              <w:jc w:val="left"/>
              <w:rPr/>
            </w:pPr>
            <w:r>
              <w:rPr/>
              <w:t> </w:t>
            </w:r>
          </w:p>
        </w:tc>
      </w:tr>
      <w:tr>
        <w:trPr/>
        <w:tc>
          <w:tcPr>
            <w:tcW w:w="37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0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Bradley J. Miller</w:t>
            </w:r>
          </w:p>
        </w:tc>
        <w:tc>
          <w:tcPr>
            <w:tcW w:w="75" w:type="dxa"/>
            <w:tcBorders/>
            <w:vAlign w:val="center"/>
          </w:tcPr>
          <w:p>
            <w:pPr>
              <w:pStyle w:val="TableContents"/>
              <w:bidi w:val="0"/>
              <w:spacing w:before="0" w:after="283"/>
              <w:jc w:val="left"/>
              <w:rPr/>
            </w:pPr>
            <w:r>
              <w:rPr/>
              <w:t> </w:t>
            </w:r>
          </w:p>
        </w:tc>
      </w:tr>
      <w:tr>
        <w:trPr/>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Bradley J. Miller</w:t>
            </w:r>
          </w:p>
        </w:tc>
        <w:tc>
          <w:tcPr>
            <w:tcW w:w="75" w:type="dxa"/>
            <w:tcBorders/>
            <w:vAlign w:val="center"/>
          </w:tcPr>
          <w:p>
            <w:pPr>
              <w:pStyle w:val="TableContents"/>
              <w:bidi w:val="0"/>
              <w:spacing w:before="0" w:after="283"/>
              <w:jc w:val="left"/>
              <w:rPr/>
            </w:pPr>
            <w:r>
              <w:rPr/>
              <w:t> </w:t>
            </w:r>
          </w:p>
        </w:tc>
      </w:tr>
      <w:tr>
        <w:trPr/>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7" w:name="tm2624126d1_ex23-1.htm"/>
      <w:bookmarkStart w:id="8" w:name="kstm2624126d1_ex231"/>
      <w:bookmarkEnd w:id="7"/>
      <w:bookmarkEnd w:id="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2018 Equity Incentive Plan of Priority Technology Holdings, Inc. of our reports dated March 10, 2026, with respect to the consolidated financial statements of Priority Technology Holdings, Inc. and the effectiveness of internal control over financial reporting of Priority Technology Holdings, Inc. included in its Annual Report (Form 10-K) for the year ended December 31, 2025,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9" w:name="tm2624126d1_exfilingfee.htm"/>
      <w:bookmarkStart w:id="10" w:name="kstm2624126d1_exfilingfee"/>
      <w:bookmarkStart w:id="11" w:name="tm2624126d1_exfilingfee.htm"/>
      <w:bookmarkStart w:id="12" w:name="kstm2624126d1_exfilingfee"/>
      <w:bookmarkEnd w:id="11"/>
      <w:bookmarkEnd w:id="12"/>
      <w:r>
        <w:br w:type="page"/>
      </w:r>
    </w:p>
    <w:tbl>
      <w:tblPr>
        <w:tblW w:w="3845" w:type="dxa"/>
        <w:jc w:val="left"/>
        <w:tblInd w:w="0" w:type="dxa"/>
        <w:tblLayout w:type="fixed"/>
        <w:tblCellMar>
          <w:top w:w="28" w:type="dxa"/>
          <w:left w:w="28" w:type="dxa"/>
          <w:bottom w:w="28" w:type="dxa"/>
          <w:right w:w="28" w:type="dxa"/>
        </w:tblCellMar>
      </w:tblPr>
      <w:tblGrid>
        <w:gridCol w:w="3691"/>
        <w:gridCol w:w="154"/>
      </w:tblGrid>
      <w:tr>
        <w:trPr/>
        <w:tc>
          <w:tcPr>
            <w:tcW w:w="384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69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before="0" w:after="283"/>
              <w:jc w:val="left"/>
              <w:rPr>
                <w:b/>
              </w:rPr>
            </w:pPr>
            <w:r>
              <w:rPr>
                <w:b/>
              </w:rPr>
              <w:t xml:space="preserve">Priority Technology Holdings,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4"/>
        <w:gridCol w:w="1292"/>
        <w:gridCol w:w="1201"/>
        <w:gridCol w:w="1214"/>
        <w:gridCol w:w="1701"/>
        <w:gridCol w:w="1126"/>
        <w:gridCol w:w="1430"/>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3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4" w:type="dxa"/>
            <w:tcBorders/>
            <w:shd w:fill="E7E7E2" w:val="clear"/>
            <w:vAlign w:val="center"/>
          </w:tcPr>
          <w:p>
            <w:pPr>
              <w:pStyle w:val="TableContents"/>
              <w:bidi w:val="0"/>
              <w:spacing w:before="0" w:after="283"/>
              <w:jc w:val="left"/>
              <w:rPr/>
            </w:pPr>
            <w:r>
              <w:rPr/>
              <w:t xml:space="preserve">Common stock, $0.001 par value per share </w:t>
            </w:r>
          </w:p>
        </w:tc>
        <w:tc>
          <w:tcPr>
            <w:tcW w:w="1292" w:type="dxa"/>
            <w:tcBorders/>
            <w:shd w:fill="E7E7E2" w:val="clear"/>
            <w:vAlign w:val="center"/>
          </w:tcPr>
          <w:p>
            <w:pPr>
              <w:pStyle w:val="TableContents"/>
              <w:bidi w:val="0"/>
              <w:spacing w:before="0" w:after="283"/>
              <w:jc w:val="center"/>
              <w:rPr/>
            </w:pPr>
            <w:r>
              <w:rPr/>
              <w:t xml:space="preserve">457(a) </w:t>
            </w:r>
          </w:p>
        </w:tc>
        <w:tc>
          <w:tcPr>
            <w:tcW w:w="1201" w:type="dxa"/>
            <w:tcBorders/>
            <w:shd w:fill="E7E7E2" w:val="clear"/>
            <w:vAlign w:val="center"/>
          </w:tcPr>
          <w:p>
            <w:pPr>
              <w:pStyle w:val="TableContents"/>
              <w:bidi w:val="0"/>
              <w:spacing w:before="0" w:after="283"/>
              <w:jc w:val="right"/>
              <w:rPr/>
            </w:pPr>
            <w:r>
              <w:rPr/>
              <w:t xml:space="preserve">8,000,000 </w:t>
            </w:r>
          </w:p>
        </w:tc>
        <w:tc>
          <w:tcPr>
            <w:tcW w:w="1214" w:type="dxa"/>
            <w:tcBorders/>
            <w:shd w:fill="E7E7E2" w:val="clear"/>
            <w:vAlign w:val="center"/>
          </w:tcPr>
          <w:p>
            <w:pPr>
              <w:pStyle w:val="TableContents"/>
              <w:bidi w:val="0"/>
              <w:spacing w:before="0" w:after="283"/>
              <w:jc w:val="right"/>
              <w:rPr/>
            </w:pPr>
            <w:r>
              <w:rPr/>
              <w:t xml:space="preserve">$ 5.69 </w:t>
            </w:r>
          </w:p>
        </w:tc>
        <w:tc>
          <w:tcPr>
            <w:tcW w:w="1701" w:type="dxa"/>
            <w:tcBorders/>
            <w:shd w:fill="E7E7E2" w:val="clear"/>
            <w:vAlign w:val="center"/>
          </w:tcPr>
          <w:p>
            <w:pPr>
              <w:pStyle w:val="TableContents"/>
              <w:bidi w:val="0"/>
              <w:spacing w:before="0" w:after="283"/>
              <w:jc w:val="right"/>
              <w:rPr/>
            </w:pPr>
            <w:r>
              <w:rPr/>
              <w:t xml:space="preserve">$ 45,520,000.00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30" w:type="dxa"/>
            <w:tcBorders/>
            <w:shd w:fill="E7E7E2" w:val="clear"/>
            <w:vAlign w:val="center"/>
          </w:tcPr>
          <w:p>
            <w:pPr>
              <w:pStyle w:val="TableContents"/>
              <w:bidi w:val="0"/>
              <w:spacing w:before="0" w:after="283"/>
              <w:jc w:val="right"/>
              <w:rPr/>
            </w:pPr>
            <w:r>
              <w:rPr/>
              <w:t xml:space="preserve">$ 6,286.31 </w:t>
            </w:r>
          </w:p>
        </w:tc>
      </w:tr>
      <w:tr>
        <w:trPr/>
        <w:tc>
          <w:tcPr>
            <w:tcW w:w="4734"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13" w:name="MaxAggtOfferingPrice"/>
            <w:bookmarkEnd w:id="13"/>
            <w:r>
              <w:rPr/>
              <w:t xml:space="preserve">$ 45,520,000.00 </w:t>
            </w:r>
          </w:p>
        </w:tc>
        <w:tc>
          <w:tcPr>
            <w:tcW w:w="1126" w:type="dxa"/>
            <w:tcBorders/>
            <w:vAlign w:val="center"/>
          </w:tcPr>
          <w:p>
            <w:pPr>
              <w:pStyle w:val="TableContents"/>
              <w:bidi w:val="0"/>
              <w:spacing w:before="0" w:after="283"/>
              <w:jc w:val="left"/>
              <w:rPr>
                <w:sz w:val="4"/>
                <w:szCs w:val="4"/>
              </w:rPr>
            </w:pPr>
            <w:r>
              <w:rPr>
                <w:sz w:val="4"/>
                <w:szCs w:val="4"/>
              </w:rPr>
            </w:r>
          </w:p>
        </w:tc>
        <w:tc>
          <w:tcPr>
            <w:tcW w:w="143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$ 6,286.31 </w:t>
            </w:r>
          </w:p>
        </w:tc>
      </w:tr>
      <w:tr>
        <w:trPr/>
        <w:tc>
          <w:tcPr>
            <w:tcW w:w="4734"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734"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0"/>
              <w:ind w:left="0" w:right="0" w:hanging="0"/>
              <w:jc w:val="right"/>
              <w:rPr/>
            </w:pPr>
            <w:bookmarkStart w:id="16" w:name="NetFeeAmt"/>
            <w:bookmarkEnd w:id="16"/>
            <w:r>
              <w:rPr/>
              <w:t xml:space="preserve">$ 6,286.31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3"/>
        <w:gridCol w:w="8709"/>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(a) Pursuant to Rule 416(a) promulgated under the Securities Act of 1933, as amended (the "Securities Act"), this Registration Statement shall also cover any additional shares of common stock, par value $0.001 per share ("Common Stock"), of Priority Technology Holdings, Inc. (the "Company") that become issuable under the Priority Technology Holdings, Inc. 2018 Equity Incentive Plan (the "Plan") by reason of any future stock dividend, stock split, recapitalization or other similar transaction. (b) Estimated in accordance with Rule 457(c) and Rule 457(h) of the Securities Act. The price shown is based upon the average of the high and low prices reported for the common stock on the Nasdaq Global Market on August 25, 2026.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53558/000161577419004963/s116994_s8.htm" TargetMode="External"/><Relationship Id="rId4" Type="http://schemas.openxmlformats.org/officeDocument/2006/relationships/hyperlink" Target="https://www.sec.gov/Archives/edgar/data/1653558/000165355822000159/prth-formsx81216222018equi.htm" TargetMode="External"/><Relationship Id="rId5" Type="http://schemas.openxmlformats.org/officeDocument/2006/relationships/hyperlink" Target="https://www.sec.gov/ix?doc=/Archives/edgar/data/0001653558/000165355826000066/prth-20251231.htm" TargetMode="External"/><Relationship Id="rId6" Type="http://schemas.openxmlformats.org/officeDocument/2006/relationships/hyperlink" Target="https://www.sec.gov/ix?doc=/Archives/edgar/data/0001653558/000165355826000102/prth-20260331.htm" TargetMode="External"/><Relationship Id="rId7" Type="http://schemas.openxmlformats.org/officeDocument/2006/relationships/hyperlink" Target="https://www.sec.gov/Archives/edgar/data/1653558/000165355826000130/prth-20260630.htm" TargetMode="External"/><Relationship Id="rId8" Type="http://schemas.openxmlformats.org/officeDocument/2006/relationships/hyperlink" Target="https://www.sec.gov/ix?doc=/Archives/edgar/data/1653558/000165355826000070/prth-20260311.htm" TargetMode="External"/><Relationship Id="rId9" Type="http://schemas.openxmlformats.org/officeDocument/2006/relationships/hyperlink" Target="https://www.sec.gov/ix?doc=/Archives/edgar/data/1653558/000165355826000105/prth-20260611.htm" TargetMode="External"/><Relationship Id="rId10" Type="http://schemas.openxmlformats.org/officeDocument/2006/relationships/hyperlink" Target="https://www.sec.gov/ix?doc=/Archives/edgar/data/1653558/000165355826000134/prth-20260825.htm" TargetMode="External"/><Relationship Id="rId11" Type="http://schemas.openxmlformats.org/officeDocument/2006/relationships/hyperlink" Target="https://www.sec.gov/Archives/edgar/data/1653558/000165355823000030/prioritytechnology-ex45.htm" TargetMode="External"/><Relationship Id="rId12" Type="http://schemas.openxmlformats.org/officeDocument/2006/relationships/hyperlink" Target="http://www.sec.gov/Archives/edgar/data/1653558/000161577418007231/s111606_ex3-1.htm" TargetMode="External"/><Relationship Id="rId13" Type="http://schemas.openxmlformats.org/officeDocument/2006/relationships/hyperlink" Target="http://www.sec.gov/Archives/edgar/data/1653558/000161577418007231/s111606_ex3-1.htm" TargetMode="External"/><Relationship Id="rId14" Type="http://schemas.openxmlformats.org/officeDocument/2006/relationships/hyperlink" Target="https://www.sec.gov/Archives/edgar/data/1653558/000165355821000060/annex1certificateofamendme.htm" TargetMode="External"/><Relationship Id="rId15" Type="http://schemas.openxmlformats.org/officeDocument/2006/relationships/hyperlink" Target="https://www.sec.gov/Archives/edgar/data/1653558/000165355821000060/annex1certificateofamendme.htm" TargetMode="External"/><Relationship Id="rId16" Type="http://schemas.openxmlformats.org/officeDocument/2006/relationships/hyperlink" Target="https://www.sec.gov/Archives/edgar/data/1653558/000165355821000065/exhibit31-priorityxcertifi.htm" TargetMode="External"/><Relationship Id="rId17" Type="http://schemas.openxmlformats.org/officeDocument/2006/relationships/hyperlink" Target="https://www.sec.gov/Archives/edgar/data/1653558/000165355821000065/exhibit31-priorityxcertifi.htm" TargetMode="External"/><Relationship Id="rId18" Type="http://schemas.openxmlformats.org/officeDocument/2006/relationships/hyperlink" Target="https://www.sec.gov/Archives/edgar/data/1653558/000161577416006436/s103712_ex4-2.htm" TargetMode="External"/><Relationship Id="rId19" Type="http://schemas.openxmlformats.org/officeDocument/2006/relationships/hyperlink" Target="https://www.sec.gov/Archives/edgar/data/1653558/000161577416006436/s103712_ex4-2.htm" TargetMode="External"/><Relationship Id="rId20" Type="http://schemas.openxmlformats.org/officeDocument/2006/relationships/hyperlink" Target="https://www.sec.gov/Archives/edgar/data/1653558/000161577418007231/s111606_ex3-2.htm" TargetMode="External"/><Relationship Id="rId21" Type="http://schemas.openxmlformats.org/officeDocument/2006/relationships/hyperlink" Target="https://www.sec.gov/Archives/edgar/data/1653558/000161577418007231/s111606_ex3-2.htm" TargetMode="External"/><Relationship Id="rId22" Type="http://schemas.openxmlformats.org/officeDocument/2006/relationships/hyperlink" Target="http://www.sec.gov/Archives/edgar/data/1653558/000161577418007231/s111606_ex10-2.htm" TargetMode="External"/><Relationship Id="rId23" Type="http://schemas.openxmlformats.org/officeDocument/2006/relationships/hyperlink" Target="http://www.sec.gov/Archives/edgar/data/1653558/000161577418007231/s111606_ex10-2.htm" TargetMode="External"/><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3137</Words>
  <Characters>16817</Characters>
  <CharactersWithSpaces>20099</CharactersWithSpaces>
  <Paragraphs>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