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Priority Technology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w:t>
            </w:r>
          </w:p>
        </w:tc>
        <w:tc>
          <w:tcPr>
            <w:tcW w:w="1360" w:type="dxa"/>
            <w:vAlign w:val="bottom"/>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08/26/2022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155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36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5"/>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30004</w:t>
            </w: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gridSpan w:val="2"/>
          </w:tcPr>
          <w:p>
            <w:pPr>
              <w:ind w:left="1240"/>
              <w:spacing w:after="0"/>
              <w:rPr>
                <w:sz w:val="20"/>
                <w:szCs w:val="20"/>
                <w:color w:val="auto"/>
              </w:rPr>
            </w:pPr>
            <w:r>
              <w:rPr>
                <w:rFonts w:ascii="Times New Roman" w:cs="Times New Roman" w:eastAsia="Times New Roman" w:hAnsi="Times New Roman"/>
                <w:sz w:val="17"/>
                <w:szCs w:val="17"/>
                <w:color w:val="0000FF"/>
              </w:rPr>
              <w:t>08/26/2022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26,000</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109,145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Hayden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0000FF"/>
              </w:rPr>
              <w:t>6,000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Rogers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Hipp -</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UTMA</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Stephen Hipp</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08/30/2022</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08/30/2022</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2022-08-30T11:39:54Z</dcterms:created>
  <dcterms:modified xsi:type="dcterms:W3CDTF">2022-08-30T11:39:54Z</dcterms:modified>
</cp:coreProperties>
</file>