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August 9, 2022</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442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2"/>
                <w:szCs w:val="12"/>
                <w:color w:val="auto"/>
              </w:rPr>
              <w:t>Nasdaq Global Market</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88" w:lineRule="exact"/>
        <w:rPr>
          <w:sz w:val="20"/>
          <w:szCs w:val="20"/>
          <w:color w:val="auto"/>
        </w:rPr>
      </w:pPr>
    </w:p>
    <w:p>
      <w:pPr>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August 9, 2022, Priority Technology Holdings, Inc. ("Priority") issued a press release announcing its financial results for the quarter ended June 30, 2022.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On August 9, 2022, Priority will hold an earnings conference call and webcast at 11:00 a.m. (Eastern Time) to discuss the financial results for the quarter ended June 30, 2022.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www.prth.com under the "Investor Relations" section.</w:t>
      </w:r>
    </w:p>
    <w:p>
      <w:pPr>
        <w:spacing w:after="0" w:line="11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August 9, 2022</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August 9, 2022</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Michael Vollkommer</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98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16510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Kettmann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ckettmann@lincolnchurchilladvisors.com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 497-7575</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Priority Technology Holdings, Inc. Announces Second Quarter 2022 Financial Results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Strong Second Quarter Revenue Growth Across all Business Segments</w:t>
      </w:r>
    </w:p>
    <w:p>
      <w:pPr>
        <w:spacing w:after="0" w:line="169" w:lineRule="exact"/>
        <w:rPr>
          <w:sz w:val="20"/>
          <w:szCs w:val="20"/>
          <w:color w:val="auto"/>
        </w:rPr>
      </w:pPr>
    </w:p>
    <w:p>
      <w:pPr>
        <w:ind w:right="80"/>
        <w:spacing w:after="0" w:line="324" w:lineRule="auto"/>
        <w:rPr>
          <w:sz w:val="20"/>
          <w:szCs w:val="20"/>
          <w:color w:val="auto"/>
        </w:rPr>
      </w:pPr>
      <w:r>
        <w:rPr>
          <w:rFonts w:ascii="Times New Roman" w:cs="Times New Roman" w:eastAsia="Times New Roman" w:hAnsi="Times New Roman"/>
          <w:sz w:val="13"/>
          <w:szCs w:val="13"/>
          <w:color w:val="auto"/>
        </w:rPr>
        <w:t>ALPHARETTA, GA - August 9, 2022 -- Priority Technology Holdings, Inc. (NASDAQ: PRTH) ("Priority" or the "Company"), a leading payments technology company helping customers collect, store and send money, today announced its second quarter 2022 financial results including strong quarter-over-quarter diversified revenue growth.</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Second Quarter 2022, Compared with Second Quarter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second quarter of 2022 compared with the second quarter of 2021, are as follows:</w:t>
      </w:r>
    </w:p>
    <w:p>
      <w:pPr>
        <w:spacing w:after="0" w:line="184" w:lineRule="exact"/>
        <w:rPr>
          <w:sz w:val="20"/>
          <w:szCs w:val="20"/>
          <w:color w:val="auto"/>
        </w:rPr>
      </w:pP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$166.4 million increased 33.1% from $125.0 million.</w:t>
      </w:r>
    </w:p>
    <w:p>
      <w:pPr>
        <w:spacing w:after="0" w:line="2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$55.7 million increased 58.2% million from $35.2 million.</w:t>
      </w:r>
    </w:p>
    <w:p>
      <w:pPr>
        <w:ind w:left="420" w:hanging="212"/>
        <w:spacing w:after="0" w:line="232" w:lineRule="auto"/>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33.5% increased 540 basis points from 28.1%.</w:t>
      </w: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$13.1 million increased 77.0% from $7.4 million.</w:t>
      </w:r>
    </w:p>
    <w:p>
      <w:pPr>
        <w:spacing w:after="0" w:line="1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$33.9 million increased 61.4% from $21.0 million.</w:t>
      </w:r>
    </w:p>
    <w:p>
      <w:pPr>
        <w:spacing w:after="0" w:line="94" w:lineRule="exact"/>
        <w:rPr>
          <w:rFonts w:ascii="Times New Roman" w:cs="Times New Roman" w:eastAsia="Times New Roman" w:hAnsi="Times New Roman"/>
          <w:sz w:val="13"/>
          <w:szCs w:val="13"/>
          <w:color w:val="auto"/>
        </w:rPr>
      </w:pPr>
    </w:p>
    <w:p>
      <w:pPr>
        <w:ind w:left="260" w:right="600" w:hanging="108"/>
        <w:spacing w:after="0" w:line="21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i w:val="1"/>
          <w:iCs w:val="1"/>
          <w:color w:val="auto"/>
        </w:rPr>
        <w:t xml:space="preserve"> See "Non-GAAP Financial Measures" and the reconciliations of Gross Profit, Gross Profit Margin, and Adjusted EBITDA, to their most comparable GAAP measures provided below for additional information.</w:t>
      </w:r>
    </w:p>
    <w:p>
      <w:pPr>
        <w:spacing w:after="0" w:line="296"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3"/>
          <w:szCs w:val="13"/>
          <w:color w:val="auto"/>
        </w:rPr>
        <w:t>"We delivered another strong quarter of top- and bottom-line growth, driven by increasing demand for our products and services," said Tom Priore, Chairman and CEO of Priority. "Priority's financial performance demonstrates that our unified commerce product vision continues to win in the marketplace. We have built with intention to perform in varying economic climates and our numbers back up our ability to deliver."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200"/>
          </w:cols>
          <w:pgMar w:left="300" w:top="651" w:right="39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2022 Financial Guidance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70707"/>
        </w:rPr>
        <w:t>Priority's outlook remains strong and we are reaffirming our full-year 2022 guidance.</w:t>
      </w:r>
    </w:p>
    <w:p>
      <w:pPr>
        <w:spacing w:after="0" w:line="175"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is forecasted to range between $650 million to $665 million, a growth rate of 26% to 29%.</w:t>
      </w:r>
    </w:p>
    <w:p>
      <w:pPr>
        <w:spacing w:after="0" w:line="3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is forecasted to range between $145 million to $150 million, a growth rate of 51% to 56%.</w:t>
      </w:r>
    </w:p>
    <w:p>
      <w:pPr>
        <w:spacing w:after="0" w:line="1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86" w:lineRule="exact"/>
        <w:rPr>
          <w:sz w:val="20"/>
          <w:szCs w:val="20"/>
          <w:color w:val="auto"/>
        </w:rPr>
      </w:pPr>
    </w:p>
    <w:p>
      <w:pPr>
        <w:ind w:right="140"/>
        <w:spacing w:after="0" w:line="324" w:lineRule="auto"/>
        <w:rPr>
          <w:sz w:val="20"/>
          <w:szCs w:val="20"/>
          <w:color w:val="auto"/>
        </w:rPr>
      </w:pPr>
      <w:r>
        <w:rPr>
          <w:rFonts w:ascii="Times New Roman" w:cs="Times New Roman" w:eastAsia="Times New Roman" w:hAnsi="Times New Roman"/>
          <w:sz w:val="13"/>
          <w:szCs w:val="13"/>
          <w:color w:val="070707"/>
        </w:rPr>
        <w:t>Priority Technology Holdings, Inc.'s leadership will host a conference call on Tuesday, August 9, 2022 at 11:00 a.m. EDT to discuss its second quarter 2022 financial results. Participants can access the call by p</w:t>
      </w:r>
      <w:r>
        <w:rPr>
          <w:rFonts w:ascii="Times New Roman" w:cs="Times New Roman" w:eastAsia="Times New Roman" w:hAnsi="Times New Roman"/>
          <w:sz w:val="13"/>
          <w:szCs w:val="13"/>
          <w:color w:val="000000"/>
        </w:rPr>
        <w:t>hone in the U.S. or Canada at (833) 636-1319 or internationally at (412) 902-4286.</w:t>
      </w:r>
    </w:p>
    <w:p>
      <w:pPr>
        <w:spacing w:after="0" w:line="100" w:lineRule="exact"/>
        <w:rPr>
          <w:sz w:val="20"/>
          <w:szCs w:val="20"/>
          <w:color w:val="auto"/>
        </w:rPr>
      </w:pPr>
    </w:p>
    <w:p>
      <w:pPr>
        <w:ind w:right="180"/>
        <w:spacing w:after="0" w:line="338" w:lineRule="auto"/>
        <w:rPr>
          <w:sz w:val="20"/>
          <w:szCs w:val="20"/>
          <w:color w:val="auto"/>
        </w:rPr>
      </w:pPr>
      <w:r>
        <w:rPr>
          <w:rFonts w:ascii="Times New Roman" w:cs="Times New Roman" w:eastAsia="Times New Roman" w:hAnsi="Times New Roman"/>
          <w:sz w:val="13"/>
          <w:szCs w:val="13"/>
          <w:color w:val="auto"/>
        </w:rPr>
        <w:t>The Internet webcast link and accompanying slide presentation can be accessed at https://edge.media-server.com/mmc/p/fgpa38jm and will also be posted in the "Investor Relations" section of the Company's website at www.PRTH.com.</w:t>
      </w:r>
    </w:p>
    <w:p>
      <w:pPr>
        <w:spacing w:after="0" w:line="110"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August 16, 2022 at 2:00 p.m. EDT. To listen to the audio replay, dial (877) 344-7529 or (412) 317-0088 and enter conference ID number </w:t>
      </w:r>
      <w:r>
        <w:rPr>
          <w:rFonts w:ascii="Times New Roman" w:cs="Times New Roman" w:eastAsia="Times New Roman" w:hAnsi="Times New Roman"/>
          <w:sz w:val="13"/>
          <w:szCs w:val="13"/>
          <w:b w:val="1"/>
          <w:bCs w:val="1"/>
          <w:color w:val="auto"/>
        </w:rPr>
        <w:t>4629057</w:t>
      </w:r>
      <w:r>
        <w:rPr>
          <w:rFonts w:ascii="Times New Roman" w:cs="Times New Roman" w:eastAsia="Times New Roman" w:hAnsi="Times New Roman"/>
          <w:sz w:val="13"/>
          <w:szCs w:val="13"/>
          <w:color w:val="auto"/>
        </w:rPr>
        <w:t>. Alternatively, you may access the webcast replay in the "Investor Relations" section of the Company's website at www.PRTH.com.</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77"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100"/>
          </w:cols>
          <w:pgMar w:left="300" w:top="654"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Gross Profit and Gross Profit Margin</w:t>
      </w:r>
    </w:p>
    <w:p>
      <w:pPr>
        <w:spacing w:after="0" w:line="179" w:lineRule="exact"/>
        <w:rPr>
          <w:sz w:val="20"/>
          <w:szCs w:val="20"/>
          <w:color w:val="auto"/>
        </w:rPr>
      </w:pPr>
    </w:p>
    <w:p>
      <w:pPr>
        <w:ind w:right="160"/>
        <w:spacing w:after="0" w:line="324" w:lineRule="auto"/>
        <w:rPr>
          <w:sz w:val="20"/>
          <w:szCs w:val="20"/>
          <w:color w:val="auto"/>
        </w:rPr>
      </w:pPr>
      <w:r>
        <w:rPr>
          <w:rFonts w:ascii="Times New Roman" w:cs="Times New Roman" w:eastAsia="Times New Roman" w:hAnsi="Times New Roman"/>
          <w:sz w:val="13"/>
          <w:szCs w:val="13"/>
          <w:color w:val="auto"/>
        </w:rPr>
        <w:t>The Company's non-GAAP gross profit metric represents revenues less costs of services. Gross profit margin is gross profit divided by revenues. We review these non-GAAP measures to evaluate our underlying profit trends. The reconciliation of gross profit to its most comparable GAAP measure is provided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gridSpan w:val="3"/>
          </w:tcPr>
          <w:p>
            <w:pPr>
              <w:jc w:val="right"/>
              <w:ind w:right="77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166,430</w:t>
            </w:r>
          </w:p>
        </w:tc>
        <w:tc>
          <w:tcPr>
            <w:tcW w:w="60" w:type="dxa"/>
            <w:vAlign w:val="bottom"/>
          </w:tcPr>
          <w:p>
            <w:pPr>
              <w:spacing w:after="0"/>
              <w:rPr>
                <w:sz w:val="13"/>
                <w:szCs w:val="13"/>
                <w:color w:val="auto"/>
              </w:rPr>
            </w:pPr>
          </w:p>
        </w:tc>
        <w:tc>
          <w:tcPr>
            <w:tcW w:w="1180" w:type="dxa"/>
            <w:vAlign w:val="bottom"/>
          </w:tcPr>
          <w:p>
            <w:pPr>
              <w:jc w:val="right"/>
              <w:ind w:right="10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125,014</w:t>
            </w:r>
          </w:p>
        </w:tc>
        <w:tc>
          <w:tcPr>
            <w:tcW w:w="0" w:type="dxa"/>
            <w:vAlign w:val="bottom"/>
          </w:tcPr>
          <w:p>
            <w:pPr>
              <w:spacing w:after="0"/>
              <w:rPr>
                <w:sz w:val="1"/>
                <w:szCs w:val="1"/>
                <w:color w:val="auto"/>
              </w:rPr>
            </w:pPr>
          </w:p>
        </w:tc>
      </w:tr>
      <w:tr>
        <w:trPr>
          <w:trHeight w:val="174"/>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Costs of services</w:t>
            </w:r>
          </w:p>
        </w:tc>
        <w:tc>
          <w:tcPr>
            <w:tcW w:w="1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(110,749)</w:t>
            </w:r>
          </w:p>
        </w:tc>
        <w:tc>
          <w:tcPr>
            <w:tcW w:w="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(89,831)</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16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55,681</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35,183</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4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33.5 %</w:t>
            </w: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28.1 %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206" w:lineRule="exact"/>
        <w:rPr>
          <w:sz w:val="20"/>
          <w:szCs w:val="20"/>
          <w:color w:val="auto"/>
        </w:rPr>
      </w:pPr>
    </w:p>
    <w:p>
      <w:pPr>
        <w:jc w:val="both"/>
        <w:ind w:right="40"/>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720" w:type="dxa"/>
            <w:vAlign w:val="bottom"/>
          </w:tcPr>
          <w:p>
            <w:pPr>
              <w:spacing w:after="0"/>
              <w:rPr>
                <w:sz w:val="13"/>
                <w:szCs w:val="13"/>
                <w:color w:val="auto"/>
              </w:rPr>
            </w:pPr>
          </w:p>
        </w:tc>
        <w:tc>
          <w:tcPr>
            <w:tcW w:w="1180" w:type="dxa"/>
            <w:vAlign w:val="bottom"/>
          </w:tcPr>
          <w:p>
            <w:pPr>
              <w:jc w:val="right"/>
              <w:ind w:right="106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60" w:type="dxa"/>
            <w:vAlign w:val="bottom"/>
          </w:tcPr>
          <w:p>
            <w:pPr>
              <w:spacing w:after="0"/>
              <w:rPr>
                <w:sz w:val="13"/>
                <w:szCs w:val="13"/>
                <w:color w:val="auto"/>
              </w:rPr>
            </w:pP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(9,477)</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12,335</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7,285</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w:t>
            </w:r>
          </w:p>
        </w:tc>
        <w:tc>
          <w:tcPr>
            <w:tcW w:w="0" w:type="dxa"/>
            <w:vAlign w:val="bottom"/>
          </w:tcPr>
          <w:p>
            <w:pPr>
              <w:spacing w:after="0"/>
              <w:rPr>
                <w:sz w:val="1"/>
                <w:szCs w:val="1"/>
                <w:color w:val="auto"/>
              </w:rPr>
            </w:pP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7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17,505</w:t>
            </w:r>
          </w:p>
        </w:tc>
        <w:tc>
          <w:tcPr>
            <w:tcW w:w="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10,723</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1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30,594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10,021</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extinguishment and modification</w:t>
            </w: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1,743</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0" w:type="dxa"/>
            <w:vAlign w:val="bottom"/>
          </w:tcPr>
          <w:p>
            <w:pPr>
              <w:spacing w:after="0"/>
              <w:rPr>
                <w:sz w:val="1"/>
                <w:szCs w:val="1"/>
                <w:color w:val="auto"/>
              </w:rPr>
            </w:pPr>
          </w:p>
        </w:tc>
      </w:tr>
      <w:tr>
        <w:trPr>
          <w:trHeight w:val="174"/>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non-operating expense</w:t>
            </w:r>
          </w:p>
        </w:tc>
        <w:tc>
          <w:tcPr>
            <w:tcW w:w="1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720" w:type="dxa"/>
            <w:vAlign w:val="bottom"/>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33,879</w:t>
            </w:r>
          </w:p>
        </w:tc>
        <w:tc>
          <w:tcPr>
            <w:tcW w:w="6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21,016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20" w:type="dxa"/>
            <w:vAlign w:val="bottom"/>
            <w:vMerge w:val="restart"/>
          </w:tcPr>
          <w:p>
            <w:pPr>
              <w:jc w:val="right"/>
              <w:ind w:right="1380"/>
              <w:spacing w:after="0"/>
              <w:rPr>
                <w:sz w:val="20"/>
                <w:szCs w:val="20"/>
                <w:color w:val="auto"/>
              </w:rPr>
            </w:pPr>
            <w:r>
              <w:rPr>
                <w:rFonts w:ascii="Times New Roman" w:cs="Times New Roman" w:eastAsia="Times New Roman" w:hAnsi="Times New Roman"/>
                <w:sz w:val="12"/>
                <w:szCs w:val="12"/>
                <w:color w:val="auto"/>
              </w:rPr>
              <w:t>3</w:t>
            </w: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54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58" w:right="31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920" w:type="dxa"/>
            <w:vAlign w:val="bottom"/>
          </w:tcPr>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920" w:type="dxa"/>
            <w:vAlign w:val="bottom"/>
          </w:tcPr>
          <w:p>
            <w:pPr>
              <w:spacing w:after="0"/>
              <w:rPr>
                <w:sz w:val="15"/>
                <w:szCs w:val="15"/>
                <w:color w:val="auto"/>
              </w:rPr>
            </w:pPr>
          </w:p>
        </w:tc>
        <w:tc>
          <w:tcPr>
            <w:tcW w:w="2360" w:type="dxa"/>
            <w:vAlign w:val="bottom"/>
            <w:tcBorders>
              <w:bottom w:val="single" w:sz="8" w:color="auto"/>
            </w:tcBorders>
            <w:gridSpan w:val="5"/>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0" w:type="dxa"/>
            <w:vAlign w:val="bottom"/>
          </w:tcPr>
          <w:p>
            <w:pPr>
              <w:spacing w:after="0"/>
              <w:rPr>
                <w:sz w:val="1"/>
                <w:szCs w:val="1"/>
                <w:color w:val="auto"/>
              </w:rPr>
            </w:pPr>
          </w:p>
        </w:tc>
      </w:tr>
      <w:tr>
        <w:trPr>
          <w:trHeight w:val="163"/>
        </w:trPr>
        <w:tc>
          <w:tcPr>
            <w:tcW w:w="8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45"/>
        </w:trPr>
        <w:tc>
          <w:tcPr>
            <w:tcW w:w="89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74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w:t>
            </w:r>
          </w:p>
        </w:tc>
        <w:tc>
          <w:tcPr>
            <w:tcW w:w="0" w:type="dxa"/>
            <w:vAlign w:val="bottom"/>
          </w:tcPr>
          <w:p>
            <w:pPr>
              <w:spacing w:after="0"/>
              <w:rPr>
                <w:sz w:val="1"/>
                <w:szCs w:val="1"/>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0" w:type="dxa"/>
            <w:vAlign w:val="bottom"/>
          </w:tcPr>
          <w:p>
            <w:pPr>
              <w:spacing w:after="0"/>
              <w:rPr>
                <w:sz w:val="1"/>
                <w:szCs w:val="1"/>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IRS penalty for 2014 and 2015</w:t>
            </w: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ledger transition expenses</w:t>
            </w: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expenses</w:t>
            </w: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8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Write-down of note receivable</w:t>
            </w:r>
          </w:p>
        </w:tc>
        <w:tc>
          <w:tcPr>
            <w:tcW w:w="74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89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1,743</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1,834</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56"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3"/>
          <w:szCs w:val="13"/>
          <w:color w:val="auto"/>
        </w:rPr>
        <w:t>Priority is a payments powerhouse driving the convergence of payments and banking. The company has built a single platform to collect, store, and send money that operates at scale. We help our customers take and make payments while managing business and consumer operating accounts to monetize payment networks. Our tailored, agile technology powers high-value, payments products bolstered by our industry-leading personalized support. Additional information can be found at www.PRTH.com.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2022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ind w:right="60"/>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17, 2022. These filings are available online at www.sec.gov or www.PRTH.com.</w:t>
      </w:r>
    </w:p>
    <w:p>
      <w:pPr>
        <w:spacing w:after="0" w:line="10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36"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340" w:type="dxa"/>
            <w:vAlign w:val="bottom"/>
          </w:tcPr>
          <w:p>
            <w:pPr>
              <w:spacing w:after="0"/>
              <w:rPr>
                <w:sz w:val="13"/>
                <w:szCs w:val="13"/>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40" w:type="dxa"/>
            <w:vAlign w:val="bottom"/>
          </w:tcPr>
          <w:p>
            <w:pPr>
              <w:spacing w:after="0"/>
              <w:rPr>
                <w:sz w:val="13"/>
                <w:szCs w:val="13"/>
                <w:color w:val="auto"/>
              </w:rPr>
            </w:pPr>
          </w:p>
        </w:tc>
        <w:tc>
          <w:tcPr>
            <w:tcW w:w="2640" w:type="dxa"/>
            <w:vAlign w:val="bottom"/>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242424"/>
              </w:rPr>
              <w:t>2022</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242424"/>
              </w:rPr>
              <w:t>2022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166,430</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125,014</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319,669</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238,311</w:t>
            </w:r>
          </w:p>
        </w:tc>
        <w:tc>
          <w:tcPr>
            <w:tcW w:w="0" w:type="dxa"/>
            <w:vAlign w:val="bottom"/>
          </w:tcPr>
          <w:p>
            <w:pPr>
              <w:spacing w:after="0"/>
              <w:rPr>
                <w:sz w:val="1"/>
                <w:szCs w:val="1"/>
                <w:color w:val="auto"/>
              </w:rPr>
            </w:pPr>
          </w:p>
        </w:tc>
      </w:tr>
      <w:tr>
        <w:trPr>
          <w:trHeight w:val="131"/>
        </w:trPr>
        <w:tc>
          <w:tcPr>
            <w:tcW w:w="52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110,749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89,831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212,229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171,694</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15,770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10,351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31,847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19,899</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17,505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10,723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34,858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19,793</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9,346</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6,704</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16,849</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14,993</w:t>
            </w:r>
          </w:p>
        </w:tc>
        <w:tc>
          <w:tcPr>
            <w:tcW w:w="0" w:type="dxa"/>
            <w:vAlign w:val="bottom"/>
          </w:tcPr>
          <w:p>
            <w:pPr>
              <w:spacing w:after="0"/>
              <w:rPr>
                <w:sz w:val="1"/>
                <w:szCs w:val="1"/>
                <w:color w:val="auto"/>
              </w:rPr>
            </w:pPr>
          </w:p>
        </w:tc>
      </w:tr>
      <w:tr>
        <w:trPr>
          <w:trHeight w:val="14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153,370</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117,609</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295,783</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226,379</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13,060</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7,405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23,886</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11,932</w:t>
            </w:r>
          </w:p>
        </w:tc>
        <w:tc>
          <w:tcPr>
            <w:tcW w:w="0" w:type="dxa"/>
            <w:vAlign w:val="bottom"/>
          </w:tcPr>
          <w:p>
            <w:pPr>
              <w:spacing w:after="0"/>
              <w:rPr>
                <w:sz w:val="1"/>
                <w:szCs w:val="1"/>
                <w:color w:val="auto"/>
              </w:rPr>
            </w:pPr>
          </w:p>
        </w:tc>
      </w:tr>
      <w:tr>
        <w:trPr>
          <w:trHeight w:val="131"/>
        </w:trPr>
        <w:tc>
          <w:tcPr>
            <w:tcW w:w="52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(12,335)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(7,285)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(23,870)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(16,453)</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(8,322)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(8,322)</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(expense), net</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(12,306)</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(15,392)</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(23,790)</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(24,829)</w:t>
            </w:r>
          </w:p>
        </w:tc>
        <w:tc>
          <w:tcPr>
            <w:tcW w:w="0" w:type="dxa"/>
            <w:vAlign w:val="bottom"/>
          </w:tcPr>
          <w:p>
            <w:pPr>
              <w:spacing w:after="0"/>
              <w:rPr>
                <w:sz w:val="1"/>
                <w:szCs w:val="1"/>
                <w:color w:val="auto"/>
              </w:rPr>
            </w:pPr>
          </w:p>
        </w:tc>
      </w:tr>
      <w:tr>
        <w:trPr>
          <w:trHeight w:val="140"/>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(7,987)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(12,897)</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1,490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(741)</w:t>
            </w:r>
          </w:p>
        </w:tc>
        <w:tc>
          <w:tcPr>
            <w:tcW w:w="0" w:type="dxa"/>
            <w:vAlign w:val="bottom"/>
          </w:tcPr>
          <w:p>
            <w:pPr>
              <w:spacing w:after="0"/>
              <w:rPr>
                <w:sz w:val="1"/>
                <w:szCs w:val="1"/>
                <w:color w:val="auto"/>
              </w:rPr>
            </w:pPr>
          </w:p>
        </w:tc>
      </w:tr>
      <w:tr>
        <w:trPr>
          <w:trHeight w:val="140"/>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287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(9,477)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(12,156)</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(8,549)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(3,911)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(16,949)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(3,911)</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NCI preferred unit redemptions</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(10,777)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(10,777)</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common stockholders</w:t>
            </w: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(8,262)</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(24,165)</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(16,995)</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(26,844)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 per common share:</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(0.22)</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(0.39)</w:t>
            </w:r>
          </w:p>
        </w:tc>
        <w:tc>
          <w:tcPr>
            <w:tcW w:w="0" w:type="dxa"/>
            <w:vAlign w:val="bottom"/>
          </w:tcPr>
          <w:p>
            <w:pPr>
              <w:spacing w:after="0"/>
              <w:rPr>
                <w:sz w:val="1"/>
                <w:szCs w:val="1"/>
                <w:color w:val="auto"/>
              </w:rPr>
            </w:pPr>
          </w:p>
        </w:tc>
      </w:tr>
      <w:tr>
        <w:trPr>
          <w:trHeight w:val="331"/>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78,603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69,496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80"/>
          </w:cols>
          <w:pgMar w:left="300" w:top="809"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5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2022</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53"/>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56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740" w:type="dxa"/>
            <w:vAlign w:val="bottom"/>
            <w:vMerge w:val="continue"/>
          </w:tcPr>
          <w:p>
            <w:pPr>
              <w:spacing w:after="0"/>
              <w:rPr>
                <w:sz w:val="11"/>
                <w:szCs w:val="11"/>
                <w:color w:val="auto"/>
              </w:rPr>
            </w:pPr>
          </w:p>
        </w:tc>
        <w:tc>
          <w:tcPr>
            <w:tcW w:w="2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900" w:type="dxa"/>
            <w:vAlign w:val="bottom"/>
            <w:gridSpan w:val="2"/>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22,162</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28,859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58,423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15,807</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 account balances</w:t>
            </w:r>
          </w:p>
        </w:tc>
        <w:tc>
          <w:tcPr>
            <w:tcW w:w="256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504,132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479,471</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627,429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603,132</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25,233</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365,740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365,740</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316,964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340,211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11,319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8,265</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56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9,256</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560" w:type="dxa"/>
            <w:vAlign w:val="bottom"/>
          </w:tcPr>
          <w:p>
            <w:pPr>
              <w:spacing w:after="0"/>
              <w:rPr>
                <w:sz w:val="12"/>
                <w:szCs w:val="12"/>
                <w:color w:val="auto"/>
              </w:rPr>
            </w:pPr>
          </w:p>
        </w:tc>
        <w:tc>
          <w:tcPr>
            <w:tcW w:w="1340" w:type="dxa"/>
            <w:vAlign w:val="bottom"/>
            <w:tcBorders>
              <w:bottom w:val="single" w:sz="8" w:color="auto"/>
            </w:tcBorders>
          </w:tcPr>
          <w:p>
            <w:pPr>
              <w:jc w:val="right"/>
              <w:ind w:right="1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1,361,303</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1,351,942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Senior Preferred Stock and Stockholders' Deficit</w:t>
            </w:r>
          </w:p>
        </w:tc>
        <w:tc>
          <w:tcPr>
            <w:tcW w:w="2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4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900" w:type="dxa"/>
            <w:vAlign w:val="bottom"/>
            <w:gridSpan w:val="2"/>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55,200</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34,513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29,532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 account obligations</w:t>
            </w:r>
          </w:p>
        </w:tc>
        <w:tc>
          <w:tcPr>
            <w:tcW w:w="256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506,691</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500,291</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603,669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583,567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602,224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604,105</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56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15,533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18,349</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noncurrent liabilities</w:t>
            </w:r>
          </w:p>
        </w:tc>
        <w:tc>
          <w:tcPr>
            <w:tcW w:w="256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617,757</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622,454</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56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1,221,426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1,206,021</w:t>
            </w:r>
          </w:p>
        </w:tc>
        <w:tc>
          <w:tcPr>
            <w:tcW w:w="0" w:type="dxa"/>
            <w:vAlign w:val="bottom"/>
          </w:tcPr>
          <w:p>
            <w:pPr>
              <w:spacing w:after="0"/>
              <w:rPr>
                <w:sz w:val="1"/>
                <w:szCs w:val="1"/>
                <w:color w:val="auto"/>
              </w:rPr>
            </w:pPr>
          </w:p>
        </w:tc>
      </w:tr>
      <w:tr>
        <w:trPr>
          <w:trHeight w:val="140"/>
        </w:trPr>
        <w:tc>
          <w:tcPr>
            <w:tcW w:w="47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w:t>
            </w:r>
          </w:p>
        </w:tc>
        <w:tc>
          <w:tcPr>
            <w:tcW w:w="2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220,031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210,158</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26,042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39,835</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56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(100,104)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(100,058)</w:t>
            </w:r>
          </w:p>
        </w:tc>
        <w:tc>
          <w:tcPr>
            <w:tcW w:w="0" w:type="dxa"/>
            <w:vAlign w:val="bottom"/>
          </w:tcPr>
          <w:p>
            <w:pPr>
              <w:spacing w:after="0"/>
              <w:rPr>
                <w:sz w:val="1"/>
                <w:szCs w:val="1"/>
                <w:color w:val="auto"/>
              </w:rPr>
            </w:pPr>
          </w:p>
        </w:tc>
      </w:tr>
      <w:tr>
        <w:trPr>
          <w:trHeight w:val="142"/>
        </w:trPr>
        <w:tc>
          <w:tcPr>
            <w:tcW w:w="47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56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(80,154)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(64,237)</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and stockholders' deficit</w:t>
            </w:r>
          </w:p>
        </w:tc>
        <w:tc>
          <w:tcPr>
            <w:tcW w:w="2560" w:type="dxa"/>
            <w:vAlign w:val="bottom"/>
          </w:tcPr>
          <w:p>
            <w:pPr>
              <w:spacing w:after="0"/>
              <w:rPr>
                <w:sz w:val="12"/>
                <w:szCs w:val="12"/>
                <w:color w:val="auto"/>
              </w:rPr>
            </w:pPr>
          </w:p>
        </w:tc>
        <w:tc>
          <w:tcPr>
            <w:tcW w:w="1340" w:type="dxa"/>
            <w:vAlign w:val="bottom"/>
            <w:tcBorders>
              <w:bottom w:val="single" w:sz="8" w:color="auto"/>
            </w:tcBorders>
          </w:tcPr>
          <w:p>
            <w:pPr>
              <w:jc w:val="right"/>
              <w:ind w:right="1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1,361,303</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1,351,942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560" w:type="dxa"/>
            <w:vAlign w:val="bottom"/>
            <w:vMerge w:val="restart"/>
          </w:tcPr>
          <w:p>
            <w:pPr>
              <w:jc w:val="right"/>
              <w:ind w:right="1560"/>
              <w:spacing w:after="0"/>
              <w:rPr>
                <w:sz w:val="20"/>
                <w:szCs w:val="20"/>
                <w:color w:val="auto"/>
              </w:rPr>
            </w:pPr>
            <w:r>
              <w:rPr>
                <w:rFonts w:ascii="Times New Roman" w:cs="Times New Roman" w:eastAsia="Times New Roman" w:hAnsi="Times New Roman"/>
                <w:sz w:val="12"/>
                <w:szCs w:val="12"/>
                <w:color w:val="auto"/>
              </w:rPr>
              <w:t>7</w:t>
            </w: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66" w:right="3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00" w:type="dxa"/>
            <w:vAlign w:val="bottom"/>
          </w:tcPr>
          <w:p>
            <w:pPr>
              <w:spacing w:after="0"/>
              <w:rPr>
                <w:sz w:val="13"/>
                <w:szCs w:val="13"/>
                <w:color w:val="auto"/>
              </w:rPr>
            </w:pPr>
          </w:p>
        </w:tc>
        <w:tc>
          <w:tcPr>
            <w:tcW w:w="468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468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7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Six Months Ended 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78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0" w:type="dxa"/>
            <w:vAlign w:val="bottom"/>
          </w:tcPr>
          <w:p>
            <w:pPr>
              <w:spacing w:after="0"/>
              <w:rPr>
                <w:sz w:val="1"/>
                <w:szCs w:val="1"/>
                <w:color w:val="auto"/>
              </w:rPr>
            </w:pPr>
          </w:p>
        </w:tc>
      </w:tr>
      <w:tr>
        <w:trPr>
          <w:trHeight w:val="131"/>
        </w:trPr>
        <w:tc>
          <w:tcPr>
            <w:tcW w:w="4300" w:type="dxa"/>
            <w:vAlign w:val="bottom"/>
            <w:vMerge w:val="continue"/>
          </w:tcPr>
          <w:p>
            <w:pPr>
              <w:spacing w:after="0"/>
              <w:rPr>
                <w:sz w:val="11"/>
                <w:szCs w:val="11"/>
                <w:color w:val="auto"/>
              </w:rPr>
            </w:pPr>
          </w:p>
        </w:tc>
        <w:tc>
          <w:tcPr>
            <w:tcW w:w="3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loss</w:t>
            </w:r>
          </w:p>
        </w:tc>
        <w:tc>
          <w:tcPr>
            <w:tcW w:w="468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3"/>
                <w:szCs w:val="13"/>
                <w:color w:val="auto"/>
              </w:rPr>
            </w:pP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(12,156)</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34,858</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19,793</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1,414</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1,719</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Write-off of deferred loan costs and discount</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3,006</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 benefit</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(3,053)</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PIK interest</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(23,715)</w:t>
            </w:r>
          </w:p>
        </w:tc>
        <w:tc>
          <w:tcPr>
            <w:tcW w:w="0" w:type="dxa"/>
            <w:vAlign w:val="bottom"/>
          </w:tcPr>
          <w:p>
            <w:pPr>
              <w:spacing w:after="0"/>
              <w:rPr>
                <w:sz w:val="1"/>
                <w:szCs w:val="1"/>
                <w:color w:val="auto"/>
              </w:rPr>
            </w:pPr>
          </w:p>
        </w:tc>
      </w:tr>
      <w:tr>
        <w:trPr>
          <w:trHeight w:val="153"/>
        </w:trPr>
        <w:tc>
          <w:tcPr>
            <w:tcW w:w="43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(12,015)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(9,115)</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(3,232)</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 receivable</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14,792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10,490</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(3,957)</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0" w:type="dxa"/>
            <w:vAlign w:val="bottom"/>
          </w:tcPr>
          <w:p>
            <w:pPr>
              <w:spacing w:after="0"/>
              <w:rPr>
                <w:sz w:val="1"/>
                <w:szCs w:val="1"/>
                <w:color w:val="auto"/>
              </w:rPr>
            </w:pPr>
          </w:p>
        </w:tc>
      </w:tr>
      <w:tr>
        <w:trPr>
          <w:trHeight w:val="155"/>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37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0" w:type="dxa"/>
            <w:vAlign w:val="bottom"/>
          </w:tcPr>
          <w:p>
            <w:pPr>
              <w:spacing w:after="0"/>
              <w:rPr>
                <w:sz w:val="1"/>
                <w:szCs w:val="1"/>
                <w:color w:val="auto"/>
              </w:rPr>
            </w:pPr>
          </w:p>
        </w:tc>
      </w:tr>
      <w:tr>
        <w:trPr>
          <w:trHeight w:val="142"/>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(used in) operating activities</w:t>
            </w:r>
          </w:p>
        </w:tc>
        <w:tc>
          <w:tcPr>
            <w:tcW w:w="37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30,334</w:t>
            </w: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(9,781)</w:t>
            </w:r>
          </w:p>
        </w:tc>
        <w:tc>
          <w:tcPr>
            <w:tcW w:w="0" w:type="dxa"/>
            <w:vAlign w:val="bottom"/>
          </w:tcPr>
          <w:p>
            <w:pPr>
              <w:spacing w:after="0"/>
              <w:rPr>
                <w:sz w:val="1"/>
                <w:szCs w:val="1"/>
                <w:color w:val="auto"/>
              </w:rPr>
            </w:pPr>
          </w:p>
        </w:tc>
      </w:tr>
      <w:tr>
        <w:trPr>
          <w:trHeight w:val="131"/>
        </w:trPr>
        <w:tc>
          <w:tcPr>
            <w:tcW w:w="43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businesses, net of cash acquired</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(34,507)</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(6,011)</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(5,222)</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loan funding</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intangible assets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(43,353)</w:t>
            </w:r>
          </w:p>
        </w:tc>
        <w:tc>
          <w:tcPr>
            <w:tcW w:w="0" w:type="dxa"/>
            <w:vAlign w:val="bottom"/>
          </w:tcPr>
          <w:p>
            <w:pPr>
              <w:spacing w:after="0"/>
              <w:rPr>
                <w:sz w:val="1"/>
                <w:szCs w:val="1"/>
                <w:color w:val="auto"/>
              </w:rPr>
            </w:pPr>
          </w:p>
        </w:tc>
      </w:tr>
      <w:tr>
        <w:trPr>
          <w:trHeight w:val="155"/>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investing activities</w:t>
            </w:r>
          </w:p>
        </w:tc>
        <w:tc>
          <w:tcPr>
            <w:tcW w:w="37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7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(12,735)</w:t>
            </w: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(83,082)</w:t>
            </w:r>
          </w:p>
        </w:tc>
        <w:tc>
          <w:tcPr>
            <w:tcW w:w="0" w:type="dxa"/>
            <w:vAlign w:val="bottom"/>
          </w:tcPr>
          <w:p>
            <w:pPr>
              <w:spacing w:after="0"/>
              <w:rPr>
                <w:sz w:val="1"/>
                <w:szCs w:val="1"/>
                <w:color w:val="auto"/>
              </w:rPr>
            </w:pPr>
          </w:p>
        </w:tc>
      </w:tr>
      <w:tr>
        <w:trPr>
          <w:trHeight w:val="131"/>
        </w:trPr>
        <w:tc>
          <w:tcPr>
            <w:tcW w:w="430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293,619</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(7,597)</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(358,325)</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borrowings under revolving credit facility</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the issuance of redeemable senior preferred stock, net of discount</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145,000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Redeemable senior preferred stock issuance fees and costs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(5,472)</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common stock and shares withheld for taxes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(7,076)</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(1,575)</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 accounts obligations, net</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(61,570)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Contingent consideration for business combinations and asset acquisitions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(1,863)</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financing activities</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36"/>
        </w:trPr>
        <w:tc>
          <w:tcPr>
            <w:tcW w:w="43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37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562</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34,086</w:t>
            </w:r>
          </w:p>
        </w:tc>
        <w:tc>
          <w:tcPr>
            <w:tcW w:w="0" w:type="dxa"/>
            <w:vAlign w:val="bottom"/>
          </w:tcPr>
          <w:p>
            <w:pPr>
              <w:spacing w:after="0"/>
              <w:rPr>
                <w:sz w:val="1"/>
                <w:szCs w:val="1"/>
                <w:color w:val="auto"/>
              </w:rPr>
            </w:pPr>
          </w:p>
        </w:tc>
      </w:tr>
      <w:tr>
        <w:trPr>
          <w:trHeight w:val="157"/>
        </w:trPr>
        <w:tc>
          <w:tcPr>
            <w:tcW w:w="4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(decrease) in cash and cash equivalents, and restricted cash</w:t>
            </w:r>
          </w:p>
        </w:tc>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18,161</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(58,777)</w:t>
            </w:r>
          </w:p>
        </w:tc>
        <w:tc>
          <w:tcPr>
            <w:tcW w:w="0" w:type="dxa"/>
            <w:vAlign w:val="bottom"/>
          </w:tcPr>
          <w:p>
            <w:pPr>
              <w:spacing w:after="0"/>
              <w:rPr>
                <w:sz w:val="1"/>
                <w:szCs w:val="1"/>
                <w:color w:val="auto"/>
              </w:rPr>
            </w:pPr>
          </w:p>
        </w:tc>
      </w:tr>
      <w:tr>
        <w:trPr>
          <w:trHeight w:val="155"/>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37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518,093</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88,120</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equivalents at end of period</w:t>
            </w:r>
          </w:p>
        </w:tc>
        <w:tc>
          <w:tcPr>
            <w:tcW w:w="3780" w:type="dxa"/>
            <w:vAlign w:val="bottom"/>
          </w:tcPr>
          <w:p>
            <w:pPr>
              <w:spacing w:after="0"/>
              <w:rPr>
                <w:sz w:val="12"/>
                <w:szCs w:val="12"/>
                <w:color w:val="auto"/>
              </w:rPr>
            </w:pP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536,254</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29,343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780" w:type="dxa"/>
            <w:vAlign w:val="bottom"/>
            <w:vMerge w:val="restart"/>
          </w:tcPr>
          <w:p>
            <w:pPr>
              <w:jc w:val="center"/>
              <w:ind w:right="1020"/>
              <w:spacing w:after="0"/>
              <w:rPr>
                <w:sz w:val="20"/>
                <w:szCs w:val="20"/>
                <w:color w:val="auto"/>
              </w:rPr>
            </w:pPr>
            <w:r>
              <w:rPr>
                <w:rFonts w:ascii="Times New Roman" w:cs="Times New Roman" w:eastAsia="Times New Roman" w:hAnsi="Times New Roman"/>
                <w:sz w:val="12"/>
                <w:szCs w:val="12"/>
                <w:color w:val="auto"/>
                <w:w w:val="99"/>
              </w:rPr>
              <w:t>8</w:t>
            </w: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3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47" w:right="3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6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Six Months Ended June 30,</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3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440" w:type="dxa"/>
            <w:vAlign w:val="bottom"/>
            <w:vMerge w:val="continue"/>
          </w:tcPr>
          <w:p>
            <w:pPr>
              <w:spacing w:after="0"/>
              <w:rPr>
                <w:sz w:val="24"/>
                <w:szCs w:val="24"/>
                <w:color w:val="auto"/>
              </w:rPr>
            </w:pPr>
          </w:p>
        </w:tc>
        <w:tc>
          <w:tcPr>
            <w:tcW w:w="3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5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22,162</w:t>
            </w:r>
          </w:p>
        </w:tc>
        <w:tc>
          <w:tcPr>
            <w:tcW w:w="120" w:type="dxa"/>
            <w:vAlign w:val="bottom"/>
          </w:tcPr>
          <w:p>
            <w:pPr>
              <w:spacing w:after="0"/>
              <w:rPr>
                <w:sz w:val="13"/>
                <w:szCs w:val="13"/>
                <w:color w:val="auto"/>
              </w:rPr>
            </w:pP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11,111</w:t>
            </w:r>
          </w:p>
        </w:tc>
        <w:tc>
          <w:tcPr>
            <w:tcW w:w="0" w:type="dxa"/>
            <w:vAlign w:val="bottom"/>
          </w:tcPr>
          <w:p>
            <w:pPr>
              <w:spacing w:after="0"/>
              <w:rPr>
                <w:sz w:val="1"/>
                <w:szCs w:val="1"/>
                <w:color w:val="auto"/>
              </w:rPr>
            </w:pPr>
          </w:p>
        </w:tc>
      </w:tr>
      <w:tr>
        <w:trPr>
          <w:trHeight w:val="153"/>
        </w:trPr>
        <w:tc>
          <w:tcPr>
            <w:tcW w:w="4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3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11,717</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18,232</w:t>
            </w:r>
          </w:p>
        </w:tc>
        <w:tc>
          <w:tcPr>
            <w:tcW w:w="0" w:type="dxa"/>
            <w:vAlign w:val="bottom"/>
          </w:tcPr>
          <w:p>
            <w:pPr>
              <w:spacing w:after="0"/>
              <w:rPr>
                <w:sz w:val="1"/>
                <w:szCs w:val="1"/>
                <w:color w:val="auto"/>
              </w:rPr>
            </w:pPr>
          </w:p>
        </w:tc>
      </w:tr>
      <w:tr>
        <w:trPr>
          <w:trHeight w:val="155"/>
        </w:trPr>
        <w:tc>
          <w:tcPr>
            <w:tcW w:w="4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account balances</w:t>
            </w:r>
          </w:p>
        </w:tc>
        <w:tc>
          <w:tcPr>
            <w:tcW w:w="36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502,375</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3640" w:type="dxa"/>
            <w:vAlign w:val="bottom"/>
          </w:tcPr>
          <w:p>
            <w:pPr>
              <w:spacing w:after="0"/>
              <w:rPr>
                <w:sz w:val="12"/>
                <w:szCs w:val="12"/>
                <w:color w:val="auto"/>
              </w:rPr>
            </w:pP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536,254</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29,343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640" w:type="dxa"/>
            <w:vAlign w:val="bottom"/>
            <w:vMerge w:val="restart"/>
          </w:tcPr>
          <w:p>
            <w:pPr>
              <w:jc w:val="right"/>
              <w:ind w:right="2340"/>
              <w:spacing w:after="0"/>
              <w:rPr>
                <w:sz w:val="20"/>
                <w:szCs w:val="20"/>
                <w:color w:val="auto"/>
              </w:rPr>
            </w:pPr>
            <w:r>
              <w:rPr>
                <w:rFonts w:ascii="Times New Roman" w:cs="Times New Roman" w:eastAsia="Times New Roman" w:hAnsi="Times New Roman"/>
                <w:sz w:val="12"/>
                <w:szCs w:val="12"/>
                <w:color w:val="auto"/>
              </w:rPr>
              <w:t>9</w:t>
            </w: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4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6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Reportable Segments'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0" w:type="dxa"/>
            <w:vAlign w:val="bottom"/>
          </w:tcPr>
          <w:p>
            <w:pPr>
              <w:spacing w:after="0"/>
              <w:rPr>
                <w:sz w:val="1"/>
                <w:szCs w:val="1"/>
                <w:color w:val="auto"/>
              </w:rPr>
            </w:pPr>
          </w:p>
        </w:tc>
      </w:tr>
      <w:tr>
        <w:trPr>
          <w:trHeight w:val="140"/>
        </w:trPr>
        <w:tc>
          <w:tcPr>
            <w:tcW w:w="4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142,506</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120,311</w:t>
            </w:r>
          </w:p>
        </w:tc>
        <w:tc>
          <w:tcPr>
            <w:tcW w:w="100" w:type="dxa"/>
            <w:vAlign w:val="bottom"/>
          </w:tcPr>
          <w:p>
            <w:pPr>
              <w:spacing w:after="0"/>
              <w:rPr>
                <w:sz w:val="13"/>
                <w:szCs w:val="13"/>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272,465</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229,412</w:t>
            </w:r>
          </w:p>
        </w:tc>
        <w:tc>
          <w:tcPr>
            <w:tcW w:w="0" w:type="dxa"/>
            <w:vAlign w:val="bottom"/>
          </w:tcPr>
          <w:p>
            <w:pPr>
              <w:spacing w:after="0"/>
              <w:rPr>
                <w:sz w:val="1"/>
                <w:szCs w:val="1"/>
                <w:color w:val="auto"/>
              </w:rPr>
            </w:pPr>
          </w:p>
        </w:tc>
      </w:tr>
      <w:tr>
        <w:trPr>
          <w:trHeight w:val="155"/>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10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128,511</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105,867</w:t>
            </w: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245,984</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201,679</w:t>
            </w:r>
          </w:p>
        </w:tc>
        <w:tc>
          <w:tcPr>
            <w:tcW w:w="0" w:type="dxa"/>
            <w:vAlign w:val="bottom"/>
          </w:tcPr>
          <w:p>
            <w:pPr>
              <w:spacing w:after="0"/>
              <w:rPr>
                <w:sz w:val="1"/>
                <w:szCs w:val="1"/>
                <w:color w:val="auto"/>
              </w:rPr>
            </w:pPr>
          </w:p>
        </w:tc>
      </w:tr>
      <w:tr>
        <w:trPr>
          <w:trHeight w:val="142"/>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13,995</w:t>
            </w: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14,444</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26,481</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27,733</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3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9.8 %</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12.0 %</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9.7 %</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12.1 %</w:t>
            </w: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10,980</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10,373</w:t>
            </w:r>
          </w:p>
        </w:tc>
        <w:tc>
          <w:tcPr>
            <w:tcW w:w="100" w:type="dxa"/>
            <w:vAlign w:val="bottom"/>
          </w:tcPr>
          <w:p>
            <w:pPr>
              <w:spacing w:after="0"/>
              <w:rPr>
                <w:sz w:val="13"/>
                <w:szCs w:val="13"/>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21,804</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19,081</w:t>
            </w:r>
          </w:p>
        </w:tc>
        <w:tc>
          <w:tcPr>
            <w:tcW w:w="0" w:type="dxa"/>
            <w:vAlign w:val="bottom"/>
          </w:tcPr>
          <w:p>
            <w:pPr>
              <w:spacing w:after="0"/>
              <w:rPr>
                <w:sz w:val="1"/>
                <w:szCs w:val="1"/>
                <w:color w:val="auto"/>
              </w:rPr>
            </w:pPr>
          </w:p>
        </w:tc>
      </w:tr>
      <w:tr>
        <w:trPr>
          <w:trHeight w:val="153"/>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15,402,560</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13,888,861</w:t>
            </w:r>
          </w:p>
        </w:tc>
        <w:tc>
          <w:tcPr>
            <w:tcW w:w="100" w:type="dxa"/>
            <w:vAlign w:val="bottom"/>
          </w:tcPr>
          <w:p>
            <w:pPr>
              <w:spacing w:after="0"/>
              <w:rPr>
                <w:sz w:val="13"/>
                <w:szCs w:val="13"/>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6"/>
              </w:rPr>
              <w:t>29,479,407</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25,772,028</w:t>
            </w:r>
          </w:p>
        </w:tc>
        <w:tc>
          <w:tcPr>
            <w:tcW w:w="0" w:type="dxa"/>
            <w:vAlign w:val="bottom"/>
          </w:tcPr>
          <w:p>
            <w:pPr>
              <w:spacing w:after="0"/>
              <w:rPr>
                <w:sz w:val="1"/>
                <w:szCs w:val="1"/>
                <w:color w:val="auto"/>
              </w:rPr>
            </w:pPr>
          </w:p>
        </w:tc>
      </w:tr>
      <w:tr>
        <w:trPr>
          <w:trHeight w:val="149"/>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10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164,341</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150,733</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310,289</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278,316</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5,295</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4,041</w:t>
            </w:r>
          </w:p>
        </w:tc>
        <w:tc>
          <w:tcPr>
            <w:tcW w:w="100" w:type="dxa"/>
            <w:vAlign w:val="bottom"/>
          </w:tcPr>
          <w:p>
            <w:pPr>
              <w:spacing w:after="0"/>
              <w:rPr>
                <w:sz w:val="13"/>
                <w:szCs w:val="13"/>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11,220</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7,541</w:t>
            </w:r>
          </w:p>
        </w:tc>
        <w:tc>
          <w:tcPr>
            <w:tcW w:w="0" w:type="dxa"/>
            <w:vAlign w:val="bottom"/>
          </w:tcPr>
          <w:p>
            <w:pPr>
              <w:spacing w:after="0"/>
              <w:rPr>
                <w:sz w:val="1"/>
                <w:szCs w:val="1"/>
                <w:color w:val="auto"/>
              </w:rPr>
            </w:pPr>
          </w:p>
        </w:tc>
      </w:tr>
      <w:tr>
        <w:trPr>
          <w:trHeight w:val="155"/>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10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4,632</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4,020</w:t>
            </w: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10,148</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7,929</w:t>
            </w:r>
          </w:p>
        </w:tc>
        <w:tc>
          <w:tcPr>
            <w:tcW w:w="0" w:type="dxa"/>
            <w:vAlign w:val="bottom"/>
          </w:tcPr>
          <w:p>
            <w:pPr>
              <w:spacing w:after="0"/>
              <w:rPr>
                <w:sz w:val="1"/>
                <w:szCs w:val="1"/>
                <w:color w:val="auto"/>
              </w:rPr>
            </w:pPr>
          </w:p>
        </w:tc>
      </w:tr>
      <w:tr>
        <w:trPr>
          <w:trHeight w:val="142"/>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 (loss)</w:t>
            </w: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663</w:t>
            </w: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21</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1,072</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(388)</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3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12.5 %</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0.5 %</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9.6 %</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3"/>
                <w:szCs w:val="13"/>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53"/>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155,462</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75,289</w:t>
            </w:r>
          </w:p>
        </w:tc>
        <w:tc>
          <w:tcPr>
            <w:tcW w:w="100" w:type="dxa"/>
            <w:vAlign w:val="bottom"/>
          </w:tcPr>
          <w:p>
            <w:pPr>
              <w:spacing w:after="0"/>
              <w:rPr>
                <w:sz w:val="13"/>
                <w:szCs w:val="13"/>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263,869</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138,939</w:t>
            </w:r>
          </w:p>
        </w:tc>
        <w:tc>
          <w:tcPr>
            <w:tcW w:w="0" w:type="dxa"/>
            <w:vAlign w:val="bottom"/>
          </w:tcPr>
          <w:p>
            <w:pPr>
              <w:spacing w:after="0"/>
              <w:rPr>
                <w:sz w:val="1"/>
                <w:szCs w:val="1"/>
                <w:color w:val="auto"/>
              </w:rPr>
            </w:pPr>
          </w:p>
        </w:tc>
      </w:tr>
      <w:tr>
        <w:trPr>
          <w:trHeight w:val="149"/>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10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176</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87</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18,629</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662</w:t>
            </w:r>
          </w:p>
        </w:tc>
        <w:tc>
          <w:tcPr>
            <w:tcW w:w="100" w:type="dxa"/>
            <w:vAlign w:val="bottom"/>
          </w:tcPr>
          <w:p>
            <w:pPr>
              <w:spacing w:after="0"/>
              <w:rPr>
                <w:sz w:val="13"/>
                <w:szCs w:val="13"/>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35,984</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1,358</w:t>
            </w:r>
          </w:p>
        </w:tc>
        <w:tc>
          <w:tcPr>
            <w:tcW w:w="0" w:type="dxa"/>
            <w:vAlign w:val="bottom"/>
          </w:tcPr>
          <w:p>
            <w:pPr>
              <w:spacing w:after="0"/>
              <w:rPr>
                <w:sz w:val="1"/>
                <w:szCs w:val="1"/>
                <w:color w:val="auto"/>
              </w:rPr>
            </w:pPr>
          </w:p>
        </w:tc>
      </w:tr>
      <w:tr>
        <w:trPr>
          <w:trHeight w:val="155"/>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10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12,931</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491</w:t>
            </w: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25,792</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1,023</w:t>
            </w:r>
          </w:p>
        </w:tc>
        <w:tc>
          <w:tcPr>
            <w:tcW w:w="0" w:type="dxa"/>
            <w:vAlign w:val="bottom"/>
          </w:tcPr>
          <w:p>
            <w:pPr>
              <w:spacing w:after="0"/>
              <w:rPr>
                <w:sz w:val="1"/>
                <w:szCs w:val="1"/>
                <w:color w:val="auto"/>
              </w:rPr>
            </w:pPr>
          </w:p>
        </w:tc>
      </w:tr>
      <w:tr>
        <w:trPr>
          <w:trHeight w:val="142"/>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0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5,698</w:t>
            </w:r>
          </w:p>
        </w:tc>
        <w:tc>
          <w:tcPr>
            <w:tcW w:w="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171</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10,192</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335</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3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30.6 %</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25.8 %</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28.3 %</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24.7 %</w:t>
            </w: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6,199</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12,396</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387,253</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603,652</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100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842</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1,214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22"/>
        </w:trPr>
        <w:tc>
          <w:tcPr>
            <w:tcW w:w="4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 of reportable segments</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20,356</w:t>
            </w:r>
          </w:p>
        </w:tc>
        <w:tc>
          <w:tcPr>
            <w:tcW w:w="80" w:type="dxa"/>
            <w:vAlign w:val="bottom"/>
          </w:tcPr>
          <w:p>
            <w:pPr>
              <w:spacing w:after="0"/>
              <w:rPr>
                <w:sz w:val="24"/>
                <w:szCs w:val="24"/>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14,636</w:t>
            </w:r>
          </w:p>
        </w:tc>
        <w:tc>
          <w:tcPr>
            <w:tcW w:w="100" w:type="dxa"/>
            <w:vAlign w:val="bottom"/>
          </w:tcPr>
          <w:p>
            <w:pPr>
              <w:spacing w:after="0"/>
              <w:rPr>
                <w:sz w:val="24"/>
                <w:szCs w:val="24"/>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37,745</w:t>
            </w:r>
          </w:p>
        </w:tc>
        <w:tc>
          <w:tcPr>
            <w:tcW w:w="100" w:type="dxa"/>
            <w:vAlign w:val="bottom"/>
          </w:tcPr>
          <w:p>
            <w:pPr>
              <w:spacing w:after="0"/>
              <w:rPr>
                <w:sz w:val="24"/>
                <w:szCs w:val="24"/>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27,680</w:t>
            </w:r>
          </w:p>
        </w:tc>
        <w:tc>
          <w:tcPr>
            <w:tcW w:w="0" w:type="dxa"/>
            <w:vAlign w:val="bottom"/>
          </w:tcPr>
          <w:p>
            <w:pPr>
              <w:spacing w:after="0"/>
              <w:rPr>
                <w:sz w:val="1"/>
                <w:szCs w:val="1"/>
                <w:color w:val="auto"/>
              </w:rPr>
            </w:pPr>
          </w:p>
        </w:tc>
      </w:tr>
      <w:tr>
        <w:trPr>
          <w:trHeight w:val="155"/>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Corporate expense</w:t>
            </w:r>
          </w:p>
        </w:tc>
        <w:tc>
          <w:tcPr>
            <w:tcW w:w="10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(7,296)</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(7,231)</w:t>
            </w: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(13,859)</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(15,748)</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operating income</w:t>
            </w: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13,060</w:t>
            </w: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7,405</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23,886</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11,932</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Corporate depreciation and amortization</w:t>
            </w: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340" w:type="dxa"/>
            <w:vAlign w:val="bottom"/>
            <w:vMerge w:val="continue"/>
          </w:tcPr>
          <w:p>
            <w:pPr>
              <w:spacing w:after="0"/>
              <w:rPr>
                <w:sz w:val="11"/>
                <w:szCs w:val="11"/>
                <w:color w:val="auto"/>
              </w:rPr>
            </w:pPr>
          </w:p>
        </w:tc>
        <w:tc>
          <w:tcPr>
            <w:tcW w:w="1000" w:type="dxa"/>
            <w:vAlign w:val="bottom"/>
          </w:tcPr>
          <w:p>
            <w:pPr>
              <w:jc w:val="right"/>
              <w:ind w:right="860"/>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253</w:t>
            </w:r>
          </w:p>
        </w:tc>
        <w:tc>
          <w:tcPr>
            <w:tcW w:w="80" w:type="dxa"/>
            <w:vAlign w:val="bottom"/>
          </w:tcPr>
          <w:p>
            <w:pPr>
              <w:spacing w:after="0"/>
              <w:rPr>
                <w:sz w:val="11"/>
                <w:szCs w:val="11"/>
                <w:color w:val="auto"/>
              </w:rPr>
            </w:pPr>
          </w:p>
        </w:tc>
        <w:tc>
          <w:tcPr>
            <w:tcW w:w="1000" w:type="dxa"/>
            <w:vAlign w:val="bottom"/>
          </w:tcPr>
          <w:p>
            <w:pPr>
              <w:jc w:val="right"/>
              <w:ind w:right="860"/>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277</w:t>
            </w:r>
          </w:p>
        </w:tc>
        <w:tc>
          <w:tcPr>
            <w:tcW w:w="100" w:type="dxa"/>
            <w:vAlign w:val="bottom"/>
          </w:tcPr>
          <w:p>
            <w:pPr>
              <w:spacing w:after="0"/>
              <w:rPr>
                <w:sz w:val="11"/>
                <w:szCs w:val="11"/>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512</w:t>
            </w:r>
          </w:p>
        </w:tc>
        <w:tc>
          <w:tcPr>
            <w:tcW w:w="100" w:type="dxa"/>
            <w:vAlign w:val="bottom"/>
          </w:tcPr>
          <w:p>
            <w:pPr>
              <w:spacing w:after="0"/>
              <w:rPr>
                <w:sz w:val="11"/>
                <w:szCs w:val="11"/>
                <w:color w:val="auto"/>
              </w:rPr>
            </w:pPr>
          </w:p>
        </w:tc>
        <w:tc>
          <w:tcPr>
            <w:tcW w:w="640" w:type="dxa"/>
            <w:vAlign w:val="bottom"/>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565</w:t>
            </w:r>
          </w:p>
        </w:tc>
        <w:tc>
          <w:tcPr>
            <w:tcW w:w="0" w:type="dxa"/>
            <w:vAlign w:val="bottom"/>
          </w:tcPr>
          <w:p>
            <w:pPr>
              <w:spacing w:after="0"/>
              <w:rPr>
                <w:sz w:val="1"/>
                <w:szCs w:val="1"/>
                <w:color w:val="auto"/>
              </w:rPr>
            </w:pPr>
          </w:p>
        </w:tc>
      </w:tr>
      <w:tr>
        <w:trPr>
          <w:trHeight w:val="153"/>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15,945,275</w:t>
            </w:r>
          </w:p>
        </w:tc>
        <w:tc>
          <w:tcPr>
            <w:tcW w:w="8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13,964,150</w:t>
            </w:r>
          </w:p>
        </w:tc>
        <w:tc>
          <w:tcPr>
            <w:tcW w:w="100" w:type="dxa"/>
            <w:vAlign w:val="bottom"/>
          </w:tcPr>
          <w:p>
            <w:pPr>
              <w:spacing w:after="0"/>
              <w:rPr>
                <w:sz w:val="13"/>
                <w:szCs w:val="13"/>
                <w:color w:val="auto"/>
              </w:rPr>
            </w:pPr>
          </w:p>
        </w:tc>
        <w:tc>
          <w:tcPr>
            <w:tcW w:w="94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6"/>
              </w:rPr>
              <w:t>30,346,928</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25,910,967</w:t>
            </w:r>
          </w:p>
        </w:tc>
        <w:tc>
          <w:tcPr>
            <w:tcW w:w="0" w:type="dxa"/>
            <w:vAlign w:val="bottom"/>
          </w:tcPr>
          <w:p>
            <w:pPr>
              <w:spacing w:after="0"/>
              <w:rPr>
                <w:sz w:val="1"/>
                <w:szCs w:val="1"/>
                <w:color w:val="auto"/>
              </w:rPr>
            </w:pPr>
          </w:p>
        </w:tc>
      </w:tr>
      <w:tr>
        <w:trPr>
          <w:trHeight w:val="155"/>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100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165,271</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150,781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311,680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278,403</w:t>
            </w:r>
          </w:p>
        </w:tc>
        <w:tc>
          <w:tcPr>
            <w:tcW w:w="0" w:type="dxa"/>
            <w:vAlign w:val="bottom"/>
          </w:tcPr>
          <w:p>
            <w:pPr>
              <w:spacing w:after="0"/>
              <w:rPr>
                <w:sz w:val="1"/>
                <w:szCs w:val="1"/>
                <w:color w:val="auto"/>
              </w:rPr>
            </w:pPr>
          </w:p>
        </w:tc>
      </w:tr>
      <w:tr>
        <w:trPr>
          <w:trHeight w:val="873"/>
        </w:trPr>
        <w:tc>
          <w:tcPr>
            <w:tcW w:w="4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47" w:right="31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2022-08-09T06:33:32Z</dcterms:created>
  <dcterms:modified xsi:type="dcterms:W3CDTF">2022-08-09T06:33:32Z</dcterms:modified>
</cp:coreProperties>
</file>