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7"/>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077"/>
        <w:spacing w:after="0"/>
        <w:rPr>
          <w:sz w:val="20"/>
          <w:szCs w:val="20"/>
          <w:color w:val="auto"/>
        </w:rPr>
      </w:pPr>
      <w:r>
        <w:rPr>
          <w:rFonts w:ascii="Arial" w:cs="Arial" w:eastAsia="Arial" w:hAnsi="Arial"/>
          <w:sz w:val="22"/>
          <w:szCs w:val="22"/>
          <w:b w:val="1"/>
          <w:bCs w:val="1"/>
          <w:color w:val="auto"/>
        </w:rPr>
        <w:t>SECURITIES AND EXCHANGE COMMISSION</w:t>
      </w:r>
    </w:p>
    <w:p>
      <w:pPr>
        <w:ind w:left="4697"/>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37"/>
        <w:spacing w:after="0"/>
        <w:rPr>
          <w:sz w:val="20"/>
          <w:szCs w:val="20"/>
          <w:color w:val="auto"/>
        </w:rPr>
      </w:pPr>
      <w:r>
        <w:rPr>
          <w:rFonts w:ascii="Arial" w:cs="Arial" w:eastAsia="Arial" w:hAnsi="Arial"/>
          <w:sz w:val="18"/>
          <w:szCs w:val="18"/>
          <w:color w:val="auto"/>
        </w:rPr>
        <w:t>_________________</w:t>
      </w:r>
    </w:p>
    <w:p>
      <w:pPr>
        <w:spacing w:after="0" w:line="9" w:lineRule="exact"/>
        <w:rPr>
          <w:sz w:val="24"/>
          <w:szCs w:val="24"/>
          <w:color w:val="auto"/>
        </w:rPr>
      </w:pPr>
    </w:p>
    <w:p>
      <w:pPr>
        <w:jc w:val="center"/>
        <w:ind w:right="-1117"/>
        <w:spacing w:after="0"/>
        <w:rPr>
          <w:sz w:val="20"/>
          <w:szCs w:val="20"/>
          <w:color w:val="auto"/>
        </w:rPr>
      </w:pPr>
      <w:r>
        <w:rPr>
          <w:rFonts w:ascii="Arial" w:cs="Arial" w:eastAsia="Arial" w:hAnsi="Arial"/>
          <w:sz w:val="22"/>
          <w:szCs w:val="22"/>
          <w:b w:val="1"/>
          <w:bCs w:val="1"/>
          <w:color w:val="auto"/>
        </w:rPr>
        <w:t>SCHEDULE 14A</w:t>
      </w:r>
    </w:p>
    <w:p>
      <w:pPr>
        <w:spacing w:after="0" w:line="219" w:lineRule="exact"/>
        <w:rPr>
          <w:sz w:val="24"/>
          <w:szCs w:val="24"/>
          <w:color w:val="auto"/>
        </w:rPr>
      </w:pPr>
    </w:p>
    <w:p>
      <w:pPr>
        <w:jc w:val="center"/>
        <w:ind w:right="-1077"/>
        <w:spacing w:after="0"/>
        <w:rPr>
          <w:sz w:val="20"/>
          <w:szCs w:val="20"/>
          <w:color w:val="auto"/>
        </w:rPr>
      </w:pPr>
      <w:r>
        <w:rPr>
          <w:rFonts w:ascii="Arial" w:cs="Arial" w:eastAsia="Arial" w:hAnsi="Arial"/>
          <w:sz w:val="18"/>
          <w:szCs w:val="18"/>
          <w:color w:val="auto"/>
        </w:rPr>
        <w:t>PROXY STATEMENT PURSUANT TO SECTION 14(a) OF THE</w:t>
      </w:r>
    </w:p>
    <w:p>
      <w:pPr>
        <w:spacing w:after="0" w:line="23" w:lineRule="exact"/>
        <w:rPr>
          <w:sz w:val="24"/>
          <w:szCs w:val="24"/>
          <w:color w:val="auto"/>
        </w:rPr>
      </w:pPr>
    </w:p>
    <w:p>
      <w:pPr>
        <w:jc w:val="center"/>
        <w:ind w:right="-1077"/>
        <w:spacing w:after="0"/>
        <w:rPr>
          <w:sz w:val="20"/>
          <w:szCs w:val="20"/>
          <w:color w:val="auto"/>
        </w:rPr>
      </w:pPr>
      <w:r>
        <w:rPr>
          <w:rFonts w:ascii="Arial" w:cs="Arial" w:eastAsia="Arial" w:hAnsi="Arial"/>
          <w:sz w:val="18"/>
          <w:szCs w:val="18"/>
          <w:color w:val="auto"/>
        </w:rPr>
        <w:t>SECURITIES EXCHANGE ACT OF 1934</w:t>
      </w:r>
    </w:p>
    <w:p>
      <w:pPr>
        <w:spacing w:after="0" w:line="9" w:lineRule="exact"/>
        <w:rPr>
          <w:sz w:val="24"/>
          <w:szCs w:val="24"/>
          <w:color w:val="auto"/>
        </w:rPr>
      </w:pPr>
    </w:p>
    <w:p>
      <w:pPr>
        <w:ind w:left="4877"/>
        <w:spacing w:after="0"/>
        <w:rPr>
          <w:sz w:val="20"/>
          <w:szCs w:val="20"/>
          <w:color w:val="auto"/>
        </w:rPr>
      </w:pPr>
      <w:r>
        <w:rPr>
          <w:rFonts w:ascii="Arial" w:cs="Arial" w:eastAsia="Arial" w:hAnsi="Arial"/>
          <w:sz w:val="18"/>
          <w:szCs w:val="18"/>
          <w:color w:val="auto"/>
        </w:rPr>
        <w:t>________________</w:t>
      </w:r>
    </w:p>
    <w:p>
      <w:pPr>
        <w:spacing w:after="0" w:line="9" w:lineRule="exact"/>
        <w:rPr>
          <w:sz w:val="24"/>
          <w:szCs w:val="24"/>
          <w:color w:val="auto"/>
        </w:rPr>
      </w:pPr>
    </w:p>
    <w:p>
      <w:pPr>
        <w:ind w:left="4157"/>
        <w:spacing w:after="0"/>
        <w:rPr>
          <w:sz w:val="20"/>
          <w:szCs w:val="20"/>
          <w:color w:val="auto"/>
        </w:rPr>
      </w:pPr>
      <w:r>
        <w:rPr>
          <w:rFonts w:ascii="Arial" w:cs="Arial" w:eastAsia="Arial" w:hAnsi="Arial"/>
          <w:sz w:val="16"/>
          <w:szCs w:val="16"/>
          <w:color w:val="auto"/>
        </w:rPr>
        <w:t>Filed by the Registrant X</w:t>
      </w:r>
    </w:p>
    <w:p>
      <w:pPr>
        <w:spacing w:after="0" w:line="154" w:lineRule="exact"/>
        <w:rPr>
          <w:sz w:val="24"/>
          <w:szCs w:val="24"/>
          <w:color w:val="auto"/>
        </w:rPr>
      </w:pPr>
    </w:p>
    <w:p>
      <w:pPr>
        <w:jc w:val="center"/>
        <w:ind w:right="-1057"/>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24" w:lineRule="exact"/>
        <w:rPr>
          <w:sz w:val="24"/>
          <w:szCs w:val="24"/>
          <w:color w:val="auto"/>
        </w:rPr>
      </w:pPr>
    </w:p>
    <w:p>
      <w:pPr>
        <w:ind w:left="4677"/>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377" w:hanging="377"/>
        <w:spacing w:after="0"/>
        <w:tabs>
          <w:tab w:leader="none" w:pos="37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68" w:lineRule="exact"/>
        <w:rPr>
          <w:rFonts w:ascii="MS PGothic" w:cs="MS PGothic" w:eastAsia="MS PGothic" w:hAnsi="MS PGothic"/>
          <w:sz w:val="16"/>
          <w:szCs w:val="16"/>
          <w:color w:val="auto"/>
        </w:rPr>
      </w:pPr>
    </w:p>
    <w:p>
      <w:pPr>
        <w:ind w:left="17" w:right="4119" w:hanging="17"/>
        <w:spacing w:after="0" w:line="317" w:lineRule="auto"/>
        <w:tabs>
          <w:tab w:leader="none" w:pos="38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Confidential, For Use of the Commission Only (as permitted by Rule 14a-6(e)(2)) </w:t>
      </w:r>
      <w:r>
        <w:rPr>
          <w:rFonts w:ascii="Arial" w:cs="Arial" w:eastAsia="Arial" w:hAnsi="Arial"/>
          <w:sz w:val="16"/>
          <w:szCs w:val="16"/>
          <w:color w:val="auto"/>
        </w:rPr>
        <w:t>X Definitive Proxy Statement</w:t>
      </w:r>
    </w:p>
    <w:p>
      <w:pPr>
        <w:spacing w:after="0" w:line="31" w:lineRule="exact"/>
        <w:rPr>
          <w:rFonts w:ascii="MS PGothic" w:cs="MS PGothic" w:eastAsia="MS PGothic" w:hAnsi="MS PGothic"/>
          <w:sz w:val="16"/>
          <w:szCs w:val="16"/>
          <w:color w:val="auto"/>
        </w:rPr>
      </w:pPr>
    </w:p>
    <w:p>
      <w:pPr>
        <w:ind w:left="377" w:hanging="377"/>
        <w:spacing w:after="0"/>
        <w:tabs>
          <w:tab w:leader="none" w:pos="37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72" w:lineRule="exact"/>
        <w:rPr>
          <w:rFonts w:ascii="MS PGothic" w:cs="MS PGothic" w:eastAsia="MS PGothic" w:hAnsi="MS PGothic"/>
          <w:sz w:val="16"/>
          <w:szCs w:val="16"/>
          <w:color w:val="auto"/>
        </w:rPr>
      </w:pPr>
    </w:p>
    <w:p>
      <w:pPr>
        <w:ind w:left="377" w:hanging="377"/>
        <w:spacing w:after="0"/>
        <w:tabs>
          <w:tab w:leader="none" w:pos="37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Section 240.14a-12</w:t>
      </w:r>
    </w:p>
    <w:p>
      <w:pPr>
        <w:spacing w:after="0" w:line="330" w:lineRule="exact"/>
        <w:rPr>
          <w:sz w:val="24"/>
          <w:szCs w:val="24"/>
          <w:color w:val="auto"/>
        </w:rPr>
      </w:pPr>
    </w:p>
    <w:p>
      <w:pPr>
        <w:jc w:val="center"/>
        <w:ind w:right="-1077"/>
        <w:spacing w:after="0"/>
        <w:rPr>
          <w:sz w:val="20"/>
          <w:szCs w:val="20"/>
          <w:color w:val="auto"/>
        </w:rPr>
      </w:pPr>
      <w:r>
        <w:rPr>
          <w:rFonts w:ascii="Arial" w:cs="Arial" w:eastAsia="Arial" w:hAnsi="Arial"/>
          <w:sz w:val="25"/>
          <w:szCs w:val="25"/>
          <w:b w:val="1"/>
          <w:bCs w:val="1"/>
          <w:u w:val="single" w:color="auto"/>
          <w:color w:val="auto"/>
        </w:rPr>
        <w:t>PRIORITY TECHNOLOGY HOLDINGS, INC.</w:t>
      </w:r>
    </w:p>
    <w:p>
      <w:pPr>
        <w:spacing w:after="0" w:line="34" w:lineRule="exact"/>
        <w:rPr>
          <w:sz w:val="24"/>
          <w:szCs w:val="24"/>
          <w:color w:val="auto"/>
        </w:rPr>
      </w:pPr>
    </w:p>
    <w:p>
      <w:pPr>
        <w:jc w:val="center"/>
        <w:ind w:right="-1077"/>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Name of Registrant as Specified in Its Charter)</w:t>
      </w:r>
    </w:p>
    <w:p>
      <w:pPr>
        <w:spacing w:after="0" w:line="187" w:lineRule="exact"/>
        <w:rPr>
          <w:sz w:val="24"/>
          <w:szCs w:val="24"/>
          <w:color w:val="auto"/>
        </w:rPr>
      </w:pPr>
    </w:p>
    <w:p>
      <w:pPr>
        <w:ind w:left="3057"/>
        <w:spacing w:after="0"/>
        <w:rPr>
          <w:sz w:val="20"/>
          <w:szCs w:val="20"/>
          <w:color w:val="auto"/>
        </w:rPr>
      </w:pPr>
      <w:r>
        <w:rPr>
          <w:rFonts w:ascii="Arial" w:cs="Arial" w:eastAsia="Arial" w:hAnsi="Arial"/>
          <w:sz w:val="15"/>
          <w:szCs w:val="15"/>
          <w:color w:val="auto"/>
        </w:rPr>
        <w:t>______________________________________________________________</w:t>
      </w:r>
    </w:p>
    <w:p>
      <w:pPr>
        <w:spacing w:after="0" w:line="31" w:lineRule="exact"/>
        <w:rPr>
          <w:sz w:val="24"/>
          <w:szCs w:val="24"/>
          <w:color w:val="auto"/>
        </w:rPr>
      </w:pPr>
    </w:p>
    <w:p>
      <w:pPr>
        <w:jc w:val="center"/>
        <w:ind w:right="-1077"/>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21" w:lineRule="exact"/>
        <w:rPr>
          <w:sz w:val="24"/>
          <w:szCs w:val="24"/>
          <w:color w:val="auto"/>
        </w:rPr>
      </w:pPr>
    </w:p>
    <w:p>
      <w:pPr>
        <w:ind w:left="3897"/>
        <w:spacing w:after="0"/>
        <w:rPr>
          <w:sz w:val="20"/>
          <w:szCs w:val="20"/>
          <w:color w:val="auto"/>
        </w:rPr>
      </w:pPr>
      <w:r>
        <w:rPr>
          <w:rFonts w:ascii="Arial" w:cs="Arial" w:eastAsia="Arial" w:hAnsi="Arial"/>
          <w:sz w:val="16"/>
          <w:szCs w:val="16"/>
          <w:color w:val="auto"/>
        </w:rPr>
        <w:t>Payment of Filing Fee (Check the appropriate box):</w:t>
      </w:r>
    </w:p>
    <w:p>
      <w:pPr>
        <w:spacing w:after="0" w:line="181" w:lineRule="exact"/>
        <w:rPr>
          <w:sz w:val="24"/>
          <w:szCs w:val="24"/>
          <w:color w:val="auto"/>
        </w:rPr>
      </w:pPr>
    </w:p>
    <w:p>
      <w:pPr>
        <w:ind w:left="397" w:hanging="381"/>
        <w:spacing w:after="0"/>
        <w:tabs>
          <w:tab w:leader="none" w:pos="397" w:val="left"/>
        </w:tabs>
        <w:numPr>
          <w:ilvl w:val="0"/>
          <w:numId w:val="2"/>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289" w:lineRule="exact"/>
        <w:rPr>
          <w:sz w:val="24"/>
          <w:szCs w:val="24"/>
          <w:color w:val="auto"/>
        </w:rPr>
      </w:pPr>
    </w:p>
    <w:p>
      <w:pPr>
        <w:ind w:left="397" w:hanging="397"/>
        <w:spacing w:after="0"/>
        <w:tabs>
          <w:tab w:leader="none" w:pos="397"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302" w:lineRule="exact"/>
        <w:rPr>
          <w:rFonts w:ascii="MS PGothic" w:cs="MS PGothic" w:eastAsia="MS PGothic" w:hAnsi="MS PGothic"/>
          <w:sz w:val="16"/>
          <w:szCs w:val="16"/>
          <w:color w:val="auto"/>
        </w:rPr>
      </w:pPr>
    </w:p>
    <w:p>
      <w:pPr>
        <w:ind w:left="837" w:hanging="364"/>
        <w:spacing w:after="0"/>
        <w:tabs>
          <w:tab w:leader="none" w:pos="837"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15" w:lineRule="exact"/>
        <w:rPr>
          <w:rFonts w:ascii="Arial" w:cs="Arial" w:eastAsia="Arial" w:hAnsi="Arial"/>
          <w:sz w:val="16"/>
          <w:szCs w:val="16"/>
          <w:color w:val="auto"/>
        </w:rPr>
      </w:pPr>
    </w:p>
    <w:p>
      <w:pPr>
        <w:ind w:left="837" w:hanging="364"/>
        <w:spacing w:after="0"/>
        <w:tabs>
          <w:tab w:leader="none" w:pos="837"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15" w:lineRule="exact"/>
        <w:rPr>
          <w:rFonts w:ascii="Arial" w:cs="Arial" w:eastAsia="Arial" w:hAnsi="Arial"/>
          <w:sz w:val="16"/>
          <w:szCs w:val="16"/>
          <w:color w:val="auto"/>
        </w:rPr>
      </w:pPr>
    </w:p>
    <w:p>
      <w:pPr>
        <w:ind w:left="837" w:right="1799" w:hanging="364"/>
        <w:spacing w:after="0" w:line="381" w:lineRule="auto"/>
        <w:tabs>
          <w:tab w:leader="none" w:pos="837"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of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6"/>
          <w:szCs w:val="16"/>
          <w:color w:val="auto"/>
        </w:rPr>
      </w:pPr>
    </w:p>
    <w:p>
      <w:pPr>
        <w:ind w:left="837" w:hanging="364"/>
        <w:spacing w:after="0"/>
        <w:tabs>
          <w:tab w:leader="none" w:pos="837"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02" w:lineRule="exact"/>
        <w:rPr>
          <w:rFonts w:ascii="Arial" w:cs="Arial" w:eastAsia="Arial" w:hAnsi="Arial"/>
          <w:sz w:val="16"/>
          <w:szCs w:val="16"/>
          <w:color w:val="auto"/>
        </w:rPr>
      </w:pPr>
    </w:p>
    <w:p>
      <w:pPr>
        <w:ind w:left="837" w:hanging="364"/>
        <w:spacing w:after="0"/>
        <w:tabs>
          <w:tab w:leader="none" w:pos="837"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397" w:hanging="397"/>
        <w:spacing w:after="0"/>
        <w:tabs>
          <w:tab w:leader="none" w:pos="397"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88" w:lineRule="exact"/>
        <w:rPr>
          <w:rFonts w:ascii="MS PGothic" w:cs="MS PGothic" w:eastAsia="MS PGothic" w:hAnsi="MS PGothic"/>
          <w:sz w:val="16"/>
          <w:szCs w:val="16"/>
          <w:color w:val="auto"/>
        </w:rPr>
      </w:pPr>
    </w:p>
    <w:p>
      <w:pPr>
        <w:ind w:left="417" w:right="1959" w:hanging="417"/>
        <w:spacing w:after="0" w:line="366" w:lineRule="auto"/>
        <w:tabs>
          <w:tab w:leader="none" w:pos="403"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4" w:lineRule="exact"/>
        <w:rPr>
          <w:rFonts w:ascii="MS PGothic" w:cs="MS PGothic" w:eastAsia="MS PGothic" w:hAnsi="MS PGothic"/>
          <w:sz w:val="16"/>
          <w:szCs w:val="16"/>
          <w:color w:val="auto"/>
        </w:rPr>
      </w:pPr>
    </w:p>
    <w:p>
      <w:pPr>
        <w:ind w:left="837" w:hanging="364"/>
        <w:spacing w:after="0"/>
        <w:tabs>
          <w:tab w:leader="none" w:pos="837"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15" w:lineRule="exact"/>
        <w:rPr>
          <w:rFonts w:ascii="Arial" w:cs="Arial" w:eastAsia="Arial" w:hAnsi="Arial"/>
          <w:sz w:val="16"/>
          <w:szCs w:val="16"/>
          <w:color w:val="auto"/>
        </w:rPr>
      </w:pPr>
    </w:p>
    <w:p>
      <w:pPr>
        <w:ind w:left="837" w:hanging="364"/>
        <w:spacing w:after="0"/>
        <w:tabs>
          <w:tab w:leader="none" w:pos="837"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29" w:lineRule="exact"/>
        <w:rPr>
          <w:rFonts w:ascii="Arial" w:cs="Arial" w:eastAsia="Arial" w:hAnsi="Arial"/>
          <w:sz w:val="16"/>
          <w:szCs w:val="16"/>
          <w:color w:val="auto"/>
        </w:rPr>
      </w:pPr>
    </w:p>
    <w:p>
      <w:pPr>
        <w:ind w:left="837" w:hanging="364"/>
        <w:spacing w:after="0"/>
        <w:tabs>
          <w:tab w:leader="none" w:pos="837"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56" w:lineRule="exact"/>
        <w:rPr>
          <w:rFonts w:ascii="Arial" w:cs="Arial" w:eastAsia="Arial" w:hAnsi="Arial"/>
          <w:sz w:val="16"/>
          <w:szCs w:val="16"/>
          <w:color w:val="auto"/>
        </w:rPr>
      </w:pPr>
    </w:p>
    <w:p>
      <w:pPr>
        <w:ind w:left="837" w:hanging="364"/>
        <w:spacing w:after="0"/>
        <w:tabs>
          <w:tab w:leader="none" w:pos="837"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523240</wp:posOffset>
            </wp:positionH>
            <wp:positionV relativeFrom="paragraph">
              <wp:posOffset>189865</wp:posOffset>
            </wp:positionV>
            <wp:extent cx="66205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-135890</wp:posOffset>
            </wp:positionV>
            <wp:extent cx="66205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-478790</wp:posOffset>
            </wp:positionV>
            <wp:extent cx="6620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-804545</wp:posOffset>
            </wp:positionV>
            <wp:extent cx="6620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-2211070</wp:posOffset>
            </wp:positionV>
            <wp:extent cx="6620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-2553970</wp:posOffset>
            </wp:positionV>
            <wp:extent cx="6620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-2862580</wp:posOffset>
            </wp:positionV>
            <wp:extent cx="6620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-3351530</wp:posOffset>
            </wp:positionV>
            <wp:extent cx="66205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-3669030</wp:posOffset>
            </wp:positionV>
            <wp:extent cx="66205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ectPr>
          <w:pgSz w:w="11900" w:h="16838" w:orient="portrait"/>
          <w:cols w:equalWidth="0" w:num="1">
            <w:col w:w="10076"/>
          </w:cols>
          <w:pgMar w:left="383" w:top="47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2867660</wp:posOffset>
            </wp:positionH>
            <wp:positionV relativeFrom="page">
              <wp:posOffset>791845</wp:posOffset>
            </wp:positionV>
            <wp:extent cx="1826895" cy="685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82689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PROXY STATEMENT AND NOTICE OF</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2019 ANNUAL MEETING OF STOCKHOLDERS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Monday, June 24, 2019</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9:00 a.m. EDT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1156 Avenue of the Americas, New York, NY 10036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Priority Technology Holdings, Inc., a Delaware corporation, is a leading provider of merchant acquiring and commercial payment solutions, offering unique product capabilities to small and mid-sized businesses, enterprises and distribution partners (retail and wholesale independent sales organizations, financial institutions and independent software vendors) in the United States. Its common stock is listed on the Nasdaq Global Market under the symbol ''PRTH."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2867660</wp:posOffset>
            </wp:positionH>
            <wp:positionV relativeFrom="page">
              <wp:posOffset>1203960</wp:posOffset>
            </wp:positionV>
            <wp:extent cx="1826895"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2689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June 7,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and officers of Priority Technology Holdings Inc. join me in extending to you a cordial invitation to attend our 2019 Annual Meeting of Stockholders. The meeting will be held on Monday, June 24, 2019, at 9:00 a.m. Eastern Daylight Time, at our New York office at 1156 Avenue of the Americas, New York, NY 10036. At the annual meeting, stockholders will be asked to vote on two proposals set forth in the Notice of 2019 Annual Meeting of Stockholders and the proxy statement following this letter.</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Whether or not you plan to attend the annual meeting, it is important that your shares of stock are represented and voted regardless of the size of your holdings. We urge you to vote promptly and submit your proxy via the internet, by telephone or by signing, dating and returning the enclosed proxy card in the enclosed envelope. If you decide to attend the annual meeting, you will be able to vote in person, even if you have submitted your proxy previously.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have any questions concerning the annual meeting and you are the stockholder of record of your shares of stock, please contact our Investor Relations representative at ckettmann@lincolnchurchilladvisors.com or (773) 497-7575. If your shares of stock are held by a broker or other nominee (that is, in ''street name''), please contact your broker or other nominee for questions concerning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seeing you on June 24th.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Thomas C. Priore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Thomas C. Priore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1440" w:right="239" w:bottom="1440" w:gutter="0" w:footer="0" w:header="0"/>
        </w:sectPr>
      </w:pPr>
    </w:p>
    <w:bookmarkStart w:id="3" w:name="page4"/>
    <w:bookmarkEnd w:id="3"/>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2867660</wp:posOffset>
            </wp:positionH>
            <wp:positionV relativeFrom="page">
              <wp:posOffset>243205</wp:posOffset>
            </wp:positionV>
            <wp:extent cx="1826895" cy="685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26895" cy="6858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NOTICE OF 2019 ANNUAL MEETING OF STOCKHOLDERS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Notice is hereby given that the 2019 Annual Meeting of Stockholders (the "Annual Meeting") of Priority Technology Holdings, Inc. (the "Company") will be held at 9:00 a.m. EDT on June 24, 2019 at 1156 Avenue of the Americas, New York, NY 10036. At the Annual Meeting, the Company's stockholders will be asked to vote on the following proposals:</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five directors nominated by our board of directors and named in the proxy statement.</w:t>
      </w:r>
    </w:p>
    <w:p>
      <w:pPr>
        <w:spacing w:after="0" w:line="23" w:lineRule="exact"/>
        <w:rPr>
          <w:rFonts w:ascii="Arial" w:cs="Arial" w:eastAsia="Arial" w:hAnsi="Arial"/>
          <w:sz w:val="18"/>
          <w:szCs w:val="18"/>
          <w:color w:val="auto"/>
        </w:rPr>
      </w:pPr>
    </w:p>
    <w:p>
      <w:pPr>
        <w:ind w:left="660" w:right="5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reappointment of RSM US LLP (or "RSM") as the Company's independent registered public accounting firm for the year ending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each of the proposals listed above.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stockholders may also transact any other business that may properly come before the Annual Meeting or any adjournments or postponements thereof.</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Close of business on April 29, 2019.</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or about June 7, 2019, we intend to mail this proxy statement and accompanying proxy card and our Annual Report (as defined herein) to stockholders of record as of April 29, 2019. Only stockholders of record at the close of business on April 29, 2019 are entitled to receive notice of, and to vote at, the Annual Meeting or any adjournment or postponement thereof. If you do not attend the Annual Meeting, you may vote your shares of stock via the internet or by mail or telephone, as instructed in the proxy statement. Your vote is important.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Submitting your proxy does not affect your right to vote in person if you attend the Annual Meeting. Therefore, we urge you to submit your proxy as soon as possible, regardless of whether you expect to attend the Annual Meeting.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Christopher Prince</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Christopher Prince</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General Counsel and Corporate Secretary</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Alpharetta, Georgia</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June 7, 2019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MEETING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proxy materials, including this notice, the proxy statement (including an electronic proxy card for the Annual Meeting) and our Annual Report are available via the internet at </w:t>
      </w:r>
      <w:r>
        <w:rPr>
          <w:rFonts w:ascii="Arial" w:cs="Arial" w:eastAsia="Arial" w:hAnsi="Arial"/>
          <w:sz w:val="18"/>
          <w:szCs w:val="18"/>
          <w:b w:val="1"/>
          <w:bCs w:val="1"/>
          <w:color w:val="auto"/>
        </w:rPr>
        <w:t>http://materials.proxyvote.com/74275G</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1440"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29"/>
          <w:szCs w:val="29"/>
          <w:b w:val="1"/>
          <w:bCs w:val="1"/>
          <w:color w:val="auto"/>
        </w:rPr>
        <w:t>Proxy Statement</w:t>
      </w: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29"/>
          <w:szCs w:val="29"/>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p>
        </w:tc>
        <w:tc>
          <w:tcPr>
            <w:tcW w:w="1540" w:type="dxa"/>
            <w:vAlign w:val="bottom"/>
            <w:gridSpan w:val="4"/>
          </w:tcPr>
          <w:p>
            <w:pPr>
              <w:ind w:left="580"/>
              <w:spacing w:after="0"/>
              <w:rPr>
                <w:sz w:val="20"/>
                <w:szCs w:val="20"/>
                <w:color w:val="auto"/>
              </w:rPr>
            </w:pPr>
            <w:r>
              <w:rPr>
                <w:rFonts w:ascii="Arial" w:cs="Arial" w:eastAsia="Arial" w:hAnsi="Arial"/>
                <w:sz w:val="18"/>
                <w:szCs w:val="18"/>
                <w:b w:val="1"/>
                <w:bCs w:val="1"/>
                <w:color w:val="auto"/>
              </w:rPr>
              <w:t>Page</w:t>
            </w:r>
          </w:p>
        </w:tc>
      </w:tr>
      <w:tr>
        <w:trPr>
          <w:trHeight w:val="27"/>
        </w:trPr>
        <w:tc>
          <w:tcPr>
            <w:tcW w:w="87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12"/>
        </w:trPr>
        <w:tc>
          <w:tcPr>
            <w:tcW w:w="8760" w:type="dxa"/>
            <w:vAlign w:val="bottom"/>
          </w:tcPr>
          <w:p>
            <w:pPr>
              <w:spacing w:after="0"/>
              <w:rPr>
                <w:sz w:val="20"/>
                <w:szCs w:val="20"/>
                <w:color w:val="auto"/>
              </w:rPr>
            </w:pPr>
            <w:r>
              <w:rPr>
                <w:rFonts w:ascii="Arial" w:cs="Arial" w:eastAsia="Arial" w:hAnsi="Arial"/>
                <w:sz w:val="18"/>
                <w:szCs w:val="18"/>
                <w:color w:val="auto"/>
              </w:rPr>
              <w:t>General Information about the Proxy Materials and the Annual Meeting</w:t>
            </w:r>
          </w:p>
        </w:tc>
        <w:tc>
          <w:tcPr>
            <w:tcW w:w="14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r>
      <w:tr>
        <w:trPr>
          <w:trHeight w:val="250"/>
        </w:trPr>
        <w:tc>
          <w:tcPr>
            <w:tcW w:w="8760" w:type="dxa"/>
            <w:vAlign w:val="bottom"/>
          </w:tcPr>
          <w:p>
            <w:pPr>
              <w:spacing w:after="0"/>
              <w:rPr>
                <w:sz w:val="20"/>
                <w:szCs w:val="20"/>
                <w:color w:val="auto"/>
              </w:rPr>
            </w:pPr>
            <w:r>
              <w:rPr>
                <w:rFonts w:ascii="Arial" w:cs="Arial" w:eastAsia="Arial" w:hAnsi="Arial"/>
                <w:sz w:val="18"/>
                <w:szCs w:val="18"/>
                <w:color w:val="auto"/>
              </w:rPr>
              <w:t>Executive Officers and Board of Directors</w:t>
            </w:r>
          </w:p>
        </w:tc>
        <w:tc>
          <w:tcPr>
            <w:tcW w:w="14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8760" w:type="dxa"/>
            <w:vAlign w:val="bottom"/>
          </w:tcPr>
          <w:p>
            <w:pPr>
              <w:spacing w:after="0"/>
              <w:rPr>
                <w:sz w:val="20"/>
                <w:szCs w:val="20"/>
                <w:color w:val="auto"/>
              </w:rPr>
            </w:pPr>
            <w:r>
              <w:rPr>
                <w:rFonts w:ascii="Arial" w:cs="Arial" w:eastAsia="Arial" w:hAnsi="Arial"/>
                <w:sz w:val="18"/>
                <w:szCs w:val="18"/>
                <w:color w:val="auto"/>
              </w:rPr>
              <w:t>Corporate Governance</w:t>
            </w:r>
          </w:p>
        </w:tc>
        <w:tc>
          <w:tcPr>
            <w:tcW w:w="14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r>
      <w:tr>
        <w:trPr>
          <w:trHeight w:val="250"/>
        </w:trPr>
        <w:tc>
          <w:tcPr>
            <w:tcW w:w="8760" w:type="dxa"/>
            <w:vAlign w:val="bottom"/>
          </w:tcPr>
          <w:p>
            <w:pPr>
              <w:spacing w:after="0"/>
              <w:rPr>
                <w:sz w:val="20"/>
                <w:szCs w:val="20"/>
                <w:color w:val="auto"/>
              </w:rPr>
            </w:pPr>
            <w:r>
              <w:rPr>
                <w:rFonts w:ascii="Arial" w:cs="Arial" w:eastAsia="Arial" w:hAnsi="Arial"/>
                <w:sz w:val="18"/>
                <w:szCs w:val="18"/>
                <w:color w:val="auto"/>
              </w:rPr>
              <w:t>Report of the Audit Committee</w:t>
            </w:r>
          </w:p>
        </w:tc>
        <w:tc>
          <w:tcPr>
            <w:tcW w:w="152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c>
          <w:tcPr>
            <w:tcW w:w="20" w:type="dxa"/>
            <w:vAlign w:val="bottom"/>
          </w:tcPr>
          <w:p>
            <w:pPr>
              <w:spacing w:after="0"/>
              <w:rPr>
                <w:sz w:val="21"/>
                <w:szCs w:val="21"/>
                <w:color w:val="auto"/>
              </w:rPr>
            </w:pPr>
          </w:p>
        </w:tc>
      </w:tr>
      <w:tr>
        <w:trPr>
          <w:trHeight w:val="20"/>
        </w:trPr>
        <w:tc>
          <w:tcPr>
            <w:tcW w:w="8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760" w:type="dxa"/>
            <w:vAlign w:val="bottom"/>
          </w:tcPr>
          <w:p>
            <w:pPr>
              <w:spacing w:after="0"/>
              <w:rPr>
                <w:sz w:val="20"/>
                <w:szCs w:val="20"/>
                <w:color w:val="auto"/>
              </w:rPr>
            </w:pPr>
            <w:r>
              <w:rPr>
                <w:rFonts w:ascii="Arial" w:cs="Arial" w:eastAsia="Arial" w:hAnsi="Arial"/>
                <w:sz w:val="18"/>
                <w:szCs w:val="18"/>
                <w:color w:val="auto"/>
              </w:rPr>
              <w:t>Delinquent Section 16(a) Reports</w:t>
            </w:r>
          </w:p>
        </w:tc>
        <w:tc>
          <w:tcPr>
            <w:tcW w:w="152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13</w:t>
              </w:r>
            </w:hyperlink>
          </w:p>
        </w:tc>
        <w:tc>
          <w:tcPr>
            <w:tcW w:w="20" w:type="dxa"/>
            <w:vAlign w:val="bottom"/>
          </w:tcPr>
          <w:p>
            <w:pPr>
              <w:spacing w:after="0"/>
              <w:rPr>
                <w:sz w:val="21"/>
                <w:szCs w:val="21"/>
                <w:color w:val="auto"/>
              </w:rPr>
            </w:pPr>
          </w:p>
        </w:tc>
      </w:tr>
      <w:tr>
        <w:trPr>
          <w:trHeight w:val="20"/>
        </w:trPr>
        <w:tc>
          <w:tcPr>
            <w:tcW w:w="8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760" w:type="dxa"/>
            <w:vAlign w:val="bottom"/>
          </w:tcPr>
          <w:p>
            <w:pPr>
              <w:spacing w:after="0"/>
              <w:rPr>
                <w:sz w:val="20"/>
                <w:szCs w:val="20"/>
                <w:color w:val="auto"/>
              </w:rPr>
            </w:pPr>
            <w:r>
              <w:rPr>
                <w:rFonts w:ascii="Arial" w:cs="Arial" w:eastAsia="Arial" w:hAnsi="Arial"/>
                <w:sz w:val="18"/>
                <w:szCs w:val="18"/>
                <w:color w:val="auto"/>
              </w:rPr>
              <w:t>Compensation of Executive Officers</w:t>
            </w:r>
          </w:p>
        </w:tc>
        <w:tc>
          <w:tcPr>
            <w:tcW w:w="152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14</w:t>
              </w:r>
            </w:hyperlink>
          </w:p>
        </w:tc>
        <w:tc>
          <w:tcPr>
            <w:tcW w:w="20" w:type="dxa"/>
            <w:vAlign w:val="bottom"/>
          </w:tcPr>
          <w:p>
            <w:pPr>
              <w:spacing w:after="0"/>
              <w:rPr>
                <w:sz w:val="21"/>
                <w:szCs w:val="21"/>
                <w:color w:val="auto"/>
              </w:rPr>
            </w:pPr>
          </w:p>
        </w:tc>
      </w:tr>
      <w:tr>
        <w:trPr>
          <w:trHeight w:val="20"/>
        </w:trPr>
        <w:tc>
          <w:tcPr>
            <w:tcW w:w="8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760" w:type="dxa"/>
            <w:vAlign w:val="bottom"/>
          </w:tcPr>
          <w:p>
            <w:pPr>
              <w:spacing w:after="0"/>
              <w:rPr>
                <w:sz w:val="20"/>
                <w:szCs w:val="20"/>
                <w:color w:val="auto"/>
              </w:rPr>
            </w:pPr>
            <w:r>
              <w:rPr>
                <w:rFonts w:ascii="Arial" w:cs="Arial" w:eastAsia="Arial" w:hAnsi="Arial"/>
                <w:sz w:val="18"/>
                <w:szCs w:val="18"/>
                <w:color w:val="auto"/>
              </w:rPr>
              <w:t>Compensation of Directors</w:t>
            </w:r>
          </w:p>
        </w:tc>
        <w:tc>
          <w:tcPr>
            <w:tcW w:w="152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19</w:t>
              </w:r>
            </w:hyperlink>
          </w:p>
        </w:tc>
        <w:tc>
          <w:tcPr>
            <w:tcW w:w="20" w:type="dxa"/>
            <w:vAlign w:val="bottom"/>
          </w:tcPr>
          <w:p>
            <w:pPr>
              <w:spacing w:after="0"/>
              <w:rPr>
                <w:sz w:val="21"/>
                <w:szCs w:val="21"/>
                <w:color w:val="auto"/>
              </w:rPr>
            </w:pPr>
          </w:p>
        </w:tc>
      </w:tr>
      <w:tr>
        <w:trPr>
          <w:trHeight w:val="20"/>
        </w:trPr>
        <w:tc>
          <w:tcPr>
            <w:tcW w:w="8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760" w:type="dxa"/>
            <w:vAlign w:val="bottom"/>
          </w:tcPr>
          <w:p>
            <w:pPr>
              <w:spacing w:after="0"/>
              <w:rPr>
                <w:sz w:val="20"/>
                <w:szCs w:val="20"/>
                <w:color w:val="auto"/>
              </w:rPr>
            </w:pPr>
            <w:r>
              <w:rPr>
                <w:rFonts w:ascii="Arial" w:cs="Arial" w:eastAsia="Arial" w:hAnsi="Arial"/>
                <w:sz w:val="18"/>
                <w:szCs w:val="18"/>
                <w:color w:val="auto"/>
              </w:rPr>
              <w:t>Outstanding Equity Awards at 2018 Year End</w:t>
            </w:r>
          </w:p>
        </w:tc>
        <w:tc>
          <w:tcPr>
            <w:tcW w:w="152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20</w:t>
              </w:r>
            </w:hyperlink>
          </w:p>
        </w:tc>
        <w:tc>
          <w:tcPr>
            <w:tcW w:w="20" w:type="dxa"/>
            <w:vAlign w:val="bottom"/>
          </w:tcPr>
          <w:p>
            <w:pPr>
              <w:spacing w:after="0"/>
              <w:rPr>
                <w:sz w:val="21"/>
                <w:szCs w:val="21"/>
                <w:color w:val="auto"/>
              </w:rPr>
            </w:pPr>
          </w:p>
        </w:tc>
      </w:tr>
      <w:tr>
        <w:trPr>
          <w:trHeight w:val="20"/>
        </w:trPr>
        <w:tc>
          <w:tcPr>
            <w:tcW w:w="8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760" w:type="dxa"/>
            <w:vAlign w:val="bottom"/>
          </w:tcPr>
          <w:p>
            <w:pPr>
              <w:spacing w:after="0"/>
              <w:rPr>
                <w:sz w:val="20"/>
                <w:szCs w:val="20"/>
                <w:color w:val="auto"/>
              </w:rPr>
            </w:pPr>
            <w:r>
              <w:rPr>
                <w:rFonts w:ascii="Arial" w:cs="Arial" w:eastAsia="Arial" w:hAnsi="Arial"/>
                <w:sz w:val="18"/>
                <w:szCs w:val="18"/>
                <w:color w:val="auto"/>
              </w:rPr>
              <w:t>Security Ownership of Certain Beneficial Owners, Directors, and Executive Officers</w:t>
            </w:r>
          </w:p>
        </w:tc>
        <w:tc>
          <w:tcPr>
            <w:tcW w:w="152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21</w:t>
              </w:r>
            </w:hyperlink>
          </w:p>
        </w:tc>
        <w:tc>
          <w:tcPr>
            <w:tcW w:w="20" w:type="dxa"/>
            <w:vAlign w:val="bottom"/>
          </w:tcPr>
          <w:p>
            <w:pPr>
              <w:spacing w:after="0"/>
              <w:rPr>
                <w:sz w:val="21"/>
                <w:szCs w:val="21"/>
                <w:color w:val="auto"/>
              </w:rPr>
            </w:pPr>
          </w:p>
        </w:tc>
      </w:tr>
      <w:tr>
        <w:trPr>
          <w:trHeight w:val="20"/>
        </w:trPr>
        <w:tc>
          <w:tcPr>
            <w:tcW w:w="8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760" w:type="dxa"/>
            <w:vAlign w:val="bottom"/>
          </w:tcPr>
          <w:p>
            <w:pPr>
              <w:spacing w:after="0"/>
              <w:rPr>
                <w:sz w:val="20"/>
                <w:szCs w:val="20"/>
                <w:color w:val="auto"/>
              </w:rPr>
            </w:pPr>
            <w:r>
              <w:rPr>
                <w:rFonts w:ascii="Arial" w:cs="Arial" w:eastAsia="Arial" w:hAnsi="Arial"/>
                <w:sz w:val="18"/>
                <w:szCs w:val="18"/>
                <w:color w:val="auto"/>
              </w:rPr>
              <w:t>Transactions with Related Persons, Promoters, and Certain Control Persons</w:t>
            </w:r>
          </w:p>
        </w:tc>
        <w:tc>
          <w:tcPr>
            <w:tcW w:w="152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22</w:t>
              </w:r>
            </w:hyperlink>
          </w:p>
        </w:tc>
        <w:tc>
          <w:tcPr>
            <w:tcW w:w="20" w:type="dxa"/>
            <w:vAlign w:val="bottom"/>
          </w:tcPr>
          <w:p>
            <w:pPr>
              <w:spacing w:after="0"/>
              <w:rPr>
                <w:sz w:val="21"/>
                <w:szCs w:val="21"/>
                <w:color w:val="auto"/>
              </w:rPr>
            </w:pPr>
          </w:p>
        </w:tc>
      </w:tr>
      <w:tr>
        <w:trPr>
          <w:trHeight w:val="20"/>
        </w:trPr>
        <w:tc>
          <w:tcPr>
            <w:tcW w:w="8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760" w:type="dxa"/>
            <w:vAlign w:val="bottom"/>
          </w:tcPr>
          <w:p>
            <w:pPr>
              <w:spacing w:after="0"/>
              <w:rPr>
                <w:sz w:val="20"/>
                <w:szCs w:val="20"/>
                <w:color w:val="auto"/>
              </w:rPr>
            </w:pPr>
            <w:r>
              <w:rPr>
                <w:rFonts w:ascii="Arial" w:cs="Arial" w:eastAsia="Arial" w:hAnsi="Arial"/>
                <w:sz w:val="18"/>
                <w:szCs w:val="18"/>
                <w:color w:val="auto"/>
              </w:rPr>
              <w:t>Proposal Number One - Election of Directors</w:t>
            </w:r>
          </w:p>
        </w:tc>
        <w:tc>
          <w:tcPr>
            <w:tcW w:w="1520" w:type="dxa"/>
            <w:vAlign w:val="bottom"/>
            <w:gridSpan w:val="3"/>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23</w:t>
              </w:r>
            </w:hyperlink>
          </w:p>
        </w:tc>
        <w:tc>
          <w:tcPr>
            <w:tcW w:w="20" w:type="dxa"/>
            <w:vAlign w:val="bottom"/>
          </w:tcPr>
          <w:p>
            <w:pPr>
              <w:spacing w:after="0"/>
              <w:rPr>
                <w:sz w:val="21"/>
                <w:szCs w:val="21"/>
                <w:color w:val="auto"/>
              </w:rPr>
            </w:pPr>
          </w:p>
        </w:tc>
      </w:tr>
      <w:tr>
        <w:trPr>
          <w:trHeight w:val="20"/>
        </w:trPr>
        <w:tc>
          <w:tcPr>
            <w:tcW w:w="8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760" w:type="dxa"/>
            <w:vAlign w:val="bottom"/>
          </w:tcPr>
          <w:p>
            <w:pPr>
              <w:spacing w:after="0"/>
              <w:rPr>
                <w:sz w:val="20"/>
                <w:szCs w:val="20"/>
                <w:color w:val="auto"/>
              </w:rPr>
            </w:pPr>
            <w:r>
              <w:rPr>
                <w:rFonts w:ascii="Arial" w:cs="Arial" w:eastAsia="Arial" w:hAnsi="Arial"/>
                <w:sz w:val="18"/>
                <w:szCs w:val="18"/>
                <w:color w:val="auto"/>
              </w:rPr>
              <w:t>Proposal Number Two - Ratification of Independent Registered Public Accounting Firm</w:t>
            </w:r>
          </w:p>
        </w:tc>
        <w:tc>
          <w:tcPr>
            <w:tcW w:w="152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24</w:t>
              </w:r>
            </w:hyperlink>
          </w:p>
        </w:tc>
        <w:tc>
          <w:tcPr>
            <w:tcW w:w="20" w:type="dxa"/>
            <w:vAlign w:val="bottom"/>
          </w:tcPr>
          <w:p>
            <w:pPr>
              <w:spacing w:after="0"/>
              <w:rPr>
                <w:sz w:val="21"/>
                <w:szCs w:val="21"/>
                <w:color w:val="auto"/>
              </w:rPr>
            </w:pPr>
          </w:p>
        </w:tc>
      </w:tr>
      <w:tr>
        <w:trPr>
          <w:trHeight w:val="20"/>
        </w:trPr>
        <w:tc>
          <w:tcPr>
            <w:tcW w:w="8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760" w:type="dxa"/>
            <w:vAlign w:val="bottom"/>
          </w:tcPr>
          <w:p>
            <w:pPr>
              <w:spacing w:after="0"/>
              <w:rPr>
                <w:sz w:val="20"/>
                <w:szCs w:val="20"/>
                <w:color w:val="auto"/>
              </w:rPr>
            </w:pPr>
            <w:r>
              <w:rPr>
                <w:rFonts w:ascii="Arial" w:cs="Arial" w:eastAsia="Arial" w:hAnsi="Arial"/>
                <w:sz w:val="18"/>
                <w:szCs w:val="18"/>
                <w:color w:val="auto"/>
              </w:rPr>
              <w:t>Other Matters</w:t>
            </w:r>
          </w:p>
        </w:tc>
        <w:tc>
          <w:tcPr>
            <w:tcW w:w="152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25</w:t>
              </w:r>
            </w:hyperlink>
          </w:p>
        </w:tc>
        <w:tc>
          <w:tcPr>
            <w:tcW w:w="20" w:type="dxa"/>
            <w:vAlign w:val="bottom"/>
          </w:tcPr>
          <w:p>
            <w:pPr>
              <w:spacing w:after="0"/>
              <w:rPr>
                <w:sz w:val="21"/>
                <w:szCs w:val="21"/>
                <w:color w:val="auto"/>
              </w:rPr>
            </w:pPr>
          </w:p>
        </w:tc>
      </w:tr>
      <w:tr>
        <w:trPr>
          <w:trHeight w:val="20"/>
        </w:trPr>
        <w:tc>
          <w:tcPr>
            <w:tcW w:w="8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760" w:type="dxa"/>
            <w:vAlign w:val="bottom"/>
          </w:tcPr>
          <w:p>
            <w:pPr>
              <w:spacing w:after="0"/>
              <w:rPr>
                <w:sz w:val="20"/>
                <w:szCs w:val="20"/>
                <w:color w:val="auto"/>
              </w:rPr>
            </w:pPr>
            <w:r>
              <w:rPr>
                <w:rFonts w:ascii="Arial" w:cs="Arial" w:eastAsia="Arial" w:hAnsi="Arial"/>
                <w:sz w:val="18"/>
                <w:szCs w:val="18"/>
                <w:color w:val="auto"/>
              </w:rPr>
              <w:t>Proxy Card</w:t>
            </w:r>
          </w:p>
        </w:tc>
        <w:tc>
          <w:tcPr>
            <w:tcW w:w="152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26</w:t>
              </w:r>
            </w:hyperlink>
          </w:p>
        </w:tc>
        <w:tc>
          <w:tcPr>
            <w:tcW w:w="20" w:type="dxa"/>
            <w:vAlign w:val="bottom"/>
          </w:tcPr>
          <w:p>
            <w:pPr>
              <w:spacing w:after="0"/>
              <w:rPr>
                <w:sz w:val="21"/>
                <w:szCs w:val="21"/>
                <w:color w:val="auto"/>
              </w:rPr>
            </w:pPr>
          </w:p>
        </w:tc>
      </w:tr>
      <w:tr>
        <w:trPr>
          <w:trHeight w:val="20"/>
        </w:trPr>
        <w:tc>
          <w:tcPr>
            <w:tcW w:w="8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300"/>
          </w:cols>
          <w:pgMar w:left="820" w:top="351" w:right="7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169545</wp:posOffset>
            </wp:positionV>
            <wp:extent cx="1826895"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 ABOUT THE PROXY MATERIALS AND THE ANNUAL MEETING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this proxy statement?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of Directors (the "Board") of Priority Technology Holdings, Inc. ("we," "us," "our," "Priority," "PRTH," or the "Company") is soliciting proxies for our 2019 Annual Meeting of Stockholders on June 24, 2019 (the "Annual Meeting"). This proxy statement and accompanying proxy card are being mailed on or about June 7, 2019 to stockholders of record as of April 29, 2019, the record date (the "Record Date") for the Annual Meeting.</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You are receiving this proxy statement because you owned shares of the Company's common stock on the Record Date and are, therefore, entitled to vote at the Annual Meeting. By use of a proxy, you can vote regardless of whether you attend the Annual Meeting. This proxy statement provides information on the matters on which the Board would like you to vote so that you can make an informed decision.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am I voting 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Annual Meeting is for the Company's stockholders to vote on the following proposals: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five directors nominated by our Board and named in the proxy statement.</w:t>
      </w:r>
    </w:p>
    <w:p>
      <w:pPr>
        <w:spacing w:after="0" w:line="23" w:lineRule="exact"/>
        <w:rPr>
          <w:rFonts w:ascii="Arial" w:cs="Arial" w:eastAsia="Arial" w:hAnsi="Arial"/>
          <w:sz w:val="18"/>
          <w:szCs w:val="18"/>
          <w:color w:val="auto"/>
        </w:rPr>
      </w:pPr>
    </w:p>
    <w:p>
      <w:pPr>
        <w:ind w:left="660" w:right="5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reappointment of RSM US LLP (or "RSM") as the Company's independent registered public accounting firm for the year ending December 31, 2019.</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Who is asking for my vote and approximately how much will these solicitation activities cost?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soliciting your proxy on behalf of the Board. Solicitation of proxies is being made by the Company through the mail, in person and by telecommunications. The cost of this solicitation will be borne by the Company. In addition, management has retained Morrow Sodali, LLC, to assist in soliciting proxies for a fee of approximately $6,000, plus reasonable out-of-pocket expenses.</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Who can attend the Annual Meeting?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stockholders of record, or their duly appointed proxies, may attend the Annual Meeting. Beneficial holders who hold shares of common stock "in street name" may also attend provided they obtain the appropriate documents from their broker or other nominee and present them at the Annual Meeting. As of the Record Date, there were 67,034,980 shares of common stock issued and outstanding.</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my voting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common stock is entitled to one vote on each matter submitted to stockholders at the Annual Meeting.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is the difference between holding shares of common stock as a stockholder of record and as a beneficial owner "in street name"?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your shares of common stock are registered directly in your name with the Company's transfer agent, American Stock Transfer &amp; Trust Company, you are considered the stockholder of record for these shares of stock. As the stockholder of record, you have the right to grant your voting proxy directly to the persons listed on your proxy card or vote in person at the Annual Meeting.</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your shares of stock are held in a brokerage account or through another nominee, such as a trustee, you are considered the beneficial owner of shares of stock held "in street name." These proxy materials are being forwarded to you together with a voting instruction card. As a beneficial owner, you have the right to direct your broker or other nominee how to vote, and you are also invited to attend the Annual Meeting. Because you are a beneficial owner and not the stockholder of record, you may not vote your shares of stock in person at the Annual Meeting unless you obtain a proxy from the broker or other nominee that holds your shares of stock. Your broker or other nominee should have provided directions for you to instruct the broker, trustee, or nominee on how to vote your shares of stock.</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broker non-vote?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you are a beneficial owner whose shares of stock are held "in street name" and you do not provide voting instructions to your broker, your shares of stock will not be voted on any proposal as to which the broker does not have discretionary authority to vote. This is called a "broker non-vote." Your broker has discretionary authority to vote only on Proposal Number Two (ratification of auditor appointment). Therefore, your broker will not have discretion to vote on any other proposal unless you specifically instruct your broker how to vote your shares of stock by returning your completed and signed voting instruction card.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quorum is the minimum number of shares of stock required to be present to transact business at the Annual Meeting. Pursuant to the Company's bylaws, the presence at the Annual Meeting, in person, by proxy, or by remote communication, of the holders of at least a majority of the shares of stock entitled to be voted will constitute a quorum. Broker non-votes and abstentions will be counted as shares of stock that are present at the meeting for purposes of determining a quorum. If a quorum is not present, the meeting will be adjourned until a quorum is obtained.</w:t>
      </w:r>
    </w:p>
    <w:p>
      <w:pPr>
        <w:spacing w:after="0" w:line="38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What are my choices when casting a vote with respect to the election of the five nominated directors, and what vote is needed to elect the director nominees?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voting on the election of the director nominees (Proposal Number One), stockholders may:</w:t>
      </w:r>
    </w:p>
    <w:p>
      <w:pPr>
        <w:spacing w:after="0" w:line="225" w:lineRule="exact"/>
        <w:rPr>
          <w:sz w:val="20"/>
          <w:szCs w:val="20"/>
          <w:color w:val="auto"/>
        </w:rPr>
      </w:pPr>
    </w:p>
    <w:p>
      <w:pPr>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vote for any of the nominees;</w:t>
      </w:r>
    </w:p>
    <w:p>
      <w:pPr>
        <w:spacing w:after="0" w:line="23" w:lineRule="exact"/>
        <w:rPr>
          <w:rFonts w:ascii="Arial" w:cs="Arial" w:eastAsia="Arial" w:hAnsi="Arial"/>
          <w:sz w:val="18"/>
          <w:szCs w:val="18"/>
          <w:color w:val="auto"/>
        </w:rPr>
      </w:pPr>
    </w:p>
    <w:p>
      <w:pPr>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vote against any of the nominees; or</w:t>
      </w:r>
    </w:p>
    <w:p>
      <w:pPr>
        <w:spacing w:after="0" w:line="9" w:lineRule="exact"/>
        <w:rPr>
          <w:rFonts w:ascii="Arial" w:cs="Arial" w:eastAsia="Arial" w:hAnsi="Arial"/>
          <w:sz w:val="18"/>
          <w:szCs w:val="18"/>
          <w:color w:val="auto"/>
        </w:rPr>
      </w:pPr>
    </w:p>
    <w:p>
      <w:pPr>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abstain from voting on any of the nominees.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our bylaws, a nominee must receive the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200" w:lineRule="exact"/>
        <w:rPr>
          <w:sz w:val="20"/>
          <w:szCs w:val="20"/>
          <w:color w:val="auto"/>
        </w:rPr>
      </w:pPr>
    </w:p>
    <w:p>
      <w:pPr>
        <w:spacing w:after="0" w:line="2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What are my choices when voting on the ratification of the appointment of RSM as the Company's independent registered public accounting firm for the year ending December 31, 2019, and what vote is needed to approve this proposal?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voting on the ratification of RSM (Proposal Number Two), stockholders may:</w:t>
      </w:r>
    </w:p>
    <w:p>
      <w:pPr>
        <w:spacing w:after="0" w:line="225"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to ratify RSM's appointment;</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against ratifying RSM's appointment; or</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abstain from voting on ratifying RSM's appointment.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approval of Proposal Number Two requires the affirmative vote of a majority of the votes properly cast at our Annual Meeting. Abstentions are not considered votes cast and thus will not affect the outcome of this proposal. A broker or other nominee will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generally have discretionary authority to vote on this proposal because it is considered a routine matter, and, therefore, we do not expect broker non-votes with respect to this proposal.</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a vote: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five nominated directors (Proposal Number One);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RSM (Proposal Number Two).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you may vote in one of four ways.</w:t>
      </w:r>
    </w:p>
    <w:p>
      <w:pPr>
        <w:spacing w:after="0" w:line="225" w:lineRule="exact"/>
        <w:rPr>
          <w:sz w:val="20"/>
          <w:szCs w:val="20"/>
          <w:color w:val="auto"/>
        </w:rPr>
      </w:pPr>
    </w:p>
    <w:p>
      <w:pPr>
        <w:ind w:left="660" w:right="1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First, you may vote over the internet by completing the voting instructions form found at www.proxyvote.com. You will need your proxy card when voting over the internet.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Second, you may vote by touch-tone telephone by calling 1-800-690-6903.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 you may vote by mail by signing, dating, and mailing your proxy card in the enclosed envelope.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Fourth, you may vote in person at the Annual Meeting.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your shares of stock are held in a brokerage account or by another nominee, these proxy materials are being forwarded to you together with a voting instruction card from your broker or nominee. Follow the instructions on the voting instruction card in order to vote your shares of stock by proxy or in person.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Yes. Even after you have submitted your proxy card, you may change or revoke your vote at any time before your proxy votes your shares of stock by submitting written notice of revocation to Mr. Prince, the Company's General Counsel and Secretary, at the Company's address set forth in the 2019 Notice of Annual Meeting, or by submitting another proxy card bearing a later date. Alternatively, if you have voted over the internet or by telephone, you may change your vote by calling 1-800-690-6903 and following the instructions. Attendance at the Annual Meeting will not constitute a revocation of a previously provided proxy unless you affirmatively indicate at the Annual Meeting that you intend to vote your shares of stock in person by completing and delivering a written ballot.</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you hold your shares of stock through a broker or other custodian and would like to change your voting instructions, please review the directions provided to you by that broker or custodian.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I vote confidentially?</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Yes. Our policy is to keep your individual votes confidential, except as appropriate to meet legal requirements, to allow for the tabulation and certification of votes, or to facilitate proxy solicitation.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count the votes?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Christopher Prince, our General Counsel and Corporate Secretary, will count the votes and act as the inspector of election for the Annual Meeting.</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the voting results of the Annual Meeting?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announce preliminary voting results at the Annual Meeting and publish final results in our current report on Form 8-K within four business days after the Annual Meeting.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"householding" of the Annual Meeting materials?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U.S. Securities and Exchange Commission (the "SEC") has adopted rules that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potentially provides extra convenience for stockholders and cost savings for companies. The Company and some brokers "household" proxy materials, delivering a single proxy statement and annual report to multiple stockholders sharing an address unless contrary instructions have been received from the affected stockholders.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of stock are held in a brokerage account, or the Company if you hold shares of stock registered directly in your name. You can notify the Company by sending a written request to Mr. Prince at the Company's address set forth in the 2019 Notice of Annual Meeting or by calling us at (404) 952-2192.</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obtain a copy of the Company's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copy of our 2018 Annual Report on Form 10-K (the "Annual Report") accompanies this proxy statement and is also available at http://www.prth.com.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Stockholders may also obtain a free copy of our Annual Report by sending a request in writing to Mr. Prince at the Company's address set forth in the 2019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Notice of Annual Meeting or by calling us at (404) 952-2192.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help answer my questions?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you have any questions about the Annual Meeting or how to submit or revoke your proxy, or to request an invitation to the Annual Meeting, contact Mr. Prince at the Company's address set forth in the 2019 Notice of Annual Meeting or by calling us at (404) 952-2192.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AND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with respect to our executive officers and directors, as of the date of this proxy statement:</w:t>
      </w:r>
    </w:p>
    <w:p>
      <w:pPr>
        <w:spacing w:after="0" w:line="167" w:lineRule="exact"/>
        <w:rPr>
          <w:sz w:val="20"/>
          <w:szCs w:val="20"/>
          <w:color w:val="auto"/>
        </w:rPr>
      </w:pPr>
    </w:p>
    <w:tbl>
      <w:tblPr>
        <w:tblLayout w:type="fixed"/>
        <w:tblInd w:w="1180" w:type="dxa"/>
        <w:tblCellMar>
          <w:top w:w="0" w:type="dxa"/>
          <w:left w:w="0" w:type="dxa"/>
          <w:bottom w:w="0" w:type="dxa"/>
          <w:right w:w="0" w:type="dxa"/>
        </w:tblCellMar>
      </w:tblPr>
      <w:tr>
        <w:trPr>
          <w:trHeight w:val="234"/>
        </w:trPr>
        <w:tc>
          <w:tcPr>
            <w:tcW w:w="22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180" w:type="dxa"/>
            <w:vAlign w:val="bottom"/>
          </w:tcPr>
          <w:p>
            <w:pPr>
              <w:ind w:left="700"/>
              <w:spacing w:after="0"/>
              <w:rPr>
                <w:sz w:val="20"/>
                <w:szCs w:val="20"/>
                <w:color w:val="auto"/>
              </w:rPr>
            </w:pPr>
            <w:r>
              <w:rPr>
                <w:rFonts w:ascii="Arial" w:cs="Arial" w:eastAsia="Arial" w:hAnsi="Arial"/>
                <w:sz w:val="18"/>
                <w:szCs w:val="18"/>
                <w:b w:val="1"/>
                <w:bCs w:val="1"/>
                <w:color w:val="auto"/>
              </w:rPr>
              <w:t>Age</w:t>
            </w:r>
          </w:p>
        </w:tc>
        <w:tc>
          <w:tcPr>
            <w:tcW w:w="5640" w:type="dxa"/>
            <w:vAlign w:val="bottom"/>
          </w:tcPr>
          <w:p>
            <w:pPr>
              <w:ind w:left="20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r>
      <w:tr>
        <w:trPr>
          <w:trHeight w:val="237"/>
        </w:trPr>
        <w:tc>
          <w:tcPr>
            <w:tcW w:w="2240" w:type="dxa"/>
            <w:vAlign w:val="bottom"/>
          </w:tcPr>
          <w:p>
            <w:pPr>
              <w:ind w:left="40"/>
              <w:spacing w:after="0"/>
              <w:rPr>
                <w:sz w:val="20"/>
                <w:szCs w:val="20"/>
                <w:color w:val="auto"/>
              </w:rPr>
            </w:pPr>
            <w:r>
              <w:rPr>
                <w:rFonts w:ascii="Arial" w:cs="Arial" w:eastAsia="Arial" w:hAnsi="Arial"/>
                <w:sz w:val="18"/>
                <w:szCs w:val="18"/>
                <w:color w:val="auto"/>
              </w:rPr>
              <w:t>Thomas Priore</w:t>
            </w:r>
          </w:p>
        </w:tc>
        <w:tc>
          <w:tcPr>
            <w:tcW w:w="1180" w:type="dxa"/>
            <w:vAlign w:val="bottom"/>
          </w:tcPr>
          <w:p>
            <w:pPr>
              <w:ind w:left="700"/>
              <w:spacing w:after="0"/>
              <w:rPr>
                <w:sz w:val="20"/>
                <w:szCs w:val="20"/>
                <w:color w:val="auto"/>
              </w:rPr>
            </w:pPr>
            <w:r>
              <w:rPr>
                <w:rFonts w:ascii="Arial" w:cs="Arial" w:eastAsia="Arial" w:hAnsi="Arial"/>
                <w:sz w:val="18"/>
                <w:szCs w:val="18"/>
                <w:color w:val="auto"/>
              </w:rPr>
              <w:t>50</w:t>
            </w:r>
          </w:p>
        </w:tc>
        <w:tc>
          <w:tcPr>
            <w:tcW w:w="5640" w:type="dxa"/>
            <w:vAlign w:val="bottom"/>
          </w:tcPr>
          <w:p>
            <w:pPr>
              <w:ind w:left="200"/>
              <w:spacing w:after="0"/>
              <w:rPr>
                <w:sz w:val="20"/>
                <w:szCs w:val="20"/>
                <w:color w:val="auto"/>
              </w:rPr>
            </w:pPr>
            <w:r>
              <w:rPr>
                <w:rFonts w:ascii="Arial" w:cs="Arial" w:eastAsia="Arial" w:hAnsi="Arial"/>
                <w:sz w:val="18"/>
                <w:szCs w:val="18"/>
                <w:color w:val="auto"/>
              </w:rPr>
              <w:t>President, Chief Executive Officer and Chairman</w:t>
            </w: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John Priore</w:t>
            </w:r>
          </w:p>
        </w:tc>
        <w:tc>
          <w:tcPr>
            <w:tcW w:w="1180" w:type="dxa"/>
            <w:vAlign w:val="bottom"/>
          </w:tcPr>
          <w:p>
            <w:pPr>
              <w:ind w:left="700"/>
              <w:spacing w:after="0"/>
              <w:rPr>
                <w:sz w:val="20"/>
                <w:szCs w:val="20"/>
                <w:color w:val="auto"/>
              </w:rPr>
            </w:pPr>
            <w:r>
              <w:rPr>
                <w:rFonts w:ascii="Arial" w:cs="Arial" w:eastAsia="Arial" w:hAnsi="Arial"/>
                <w:sz w:val="18"/>
                <w:szCs w:val="18"/>
                <w:color w:val="auto"/>
              </w:rPr>
              <w:t>55</w:t>
            </w:r>
          </w:p>
        </w:tc>
        <w:tc>
          <w:tcPr>
            <w:tcW w:w="5640" w:type="dxa"/>
            <w:vAlign w:val="bottom"/>
          </w:tcPr>
          <w:p>
            <w:pPr>
              <w:ind w:left="200"/>
              <w:spacing w:after="0"/>
              <w:rPr>
                <w:sz w:val="20"/>
                <w:szCs w:val="20"/>
                <w:color w:val="auto"/>
              </w:rPr>
            </w:pPr>
            <w:r>
              <w:rPr>
                <w:rFonts w:ascii="Arial" w:cs="Arial" w:eastAsia="Arial" w:hAnsi="Arial"/>
                <w:sz w:val="18"/>
                <w:szCs w:val="18"/>
                <w:color w:val="auto"/>
              </w:rPr>
              <w:t>Vice-Chairman</w:t>
            </w: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Michael Vollkommer</w:t>
            </w:r>
          </w:p>
        </w:tc>
        <w:tc>
          <w:tcPr>
            <w:tcW w:w="1180" w:type="dxa"/>
            <w:vAlign w:val="bottom"/>
          </w:tcPr>
          <w:p>
            <w:pPr>
              <w:ind w:left="700"/>
              <w:spacing w:after="0"/>
              <w:rPr>
                <w:sz w:val="20"/>
                <w:szCs w:val="20"/>
                <w:color w:val="auto"/>
              </w:rPr>
            </w:pPr>
            <w:r>
              <w:rPr>
                <w:rFonts w:ascii="Arial" w:cs="Arial" w:eastAsia="Arial" w:hAnsi="Arial"/>
                <w:sz w:val="18"/>
                <w:szCs w:val="18"/>
                <w:color w:val="auto"/>
              </w:rPr>
              <w:t>60</w:t>
            </w:r>
          </w:p>
        </w:tc>
        <w:tc>
          <w:tcPr>
            <w:tcW w:w="5640" w:type="dxa"/>
            <w:vAlign w:val="bottom"/>
          </w:tcPr>
          <w:p>
            <w:pPr>
              <w:ind w:left="200"/>
              <w:spacing w:after="0"/>
              <w:rPr>
                <w:sz w:val="20"/>
                <w:szCs w:val="20"/>
                <w:color w:val="auto"/>
              </w:rPr>
            </w:pPr>
            <w:r>
              <w:rPr>
                <w:rFonts w:ascii="Arial" w:cs="Arial" w:eastAsia="Arial" w:hAnsi="Arial"/>
                <w:sz w:val="18"/>
                <w:szCs w:val="18"/>
                <w:color w:val="auto"/>
              </w:rPr>
              <w:t>Chief Financial Officer</w:t>
            </w: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Sean Kiewiet</w:t>
            </w:r>
          </w:p>
        </w:tc>
        <w:tc>
          <w:tcPr>
            <w:tcW w:w="1180" w:type="dxa"/>
            <w:vAlign w:val="bottom"/>
          </w:tcPr>
          <w:p>
            <w:pPr>
              <w:ind w:left="700"/>
              <w:spacing w:after="0"/>
              <w:rPr>
                <w:sz w:val="20"/>
                <w:szCs w:val="20"/>
                <w:color w:val="auto"/>
              </w:rPr>
            </w:pPr>
            <w:r>
              <w:rPr>
                <w:rFonts w:ascii="Arial" w:cs="Arial" w:eastAsia="Arial" w:hAnsi="Arial"/>
                <w:sz w:val="18"/>
                <w:szCs w:val="18"/>
                <w:color w:val="auto"/>
              </w:rPr>
              <w:t>47</w:t>
            </w:r>
          </w:p>
        </w:tc>
        <w:tc>
          <w:tcPr>
            <w:tcW w:w="5640" w:type="dxa"/>
            <w:vAlign w:val="bottom"/>
          </w:tcPr>
          <w:p>
            <w:pPr>
              <w:ind w:left="200"/>
              <w:spacing w:after="0"/>
              <w:rPr>
                <w:sz w:val="20"/>
                <w:szCs w:val="20"/>
                <w:color w:val="auto"/>
              </w:rPr>
            </w:pPr>
            <w:r>
              <w:rPr>
                <w:rFonts w:ascii="Arial" w:cs="Arial" w:eastAsia="Arial" w:hAnsi="Arial"/>
                <w:sz w:val="18"/>
                <w:szCs w:val="18"/>
                <w:color w:val="auto"/>
              </w:rPr>
              <w:t>Chief Technology Officer</w:t>
            </w: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Timothy Schneible</w:t>
            </w:r>
          </w:p>
        </w:tc>
        <w:tc>
          <w:tcPr>
            <w:tcW w:w="1180" w:type="dxa"/>
            <w:vAlign w:val="bottom"/>
          </w:tcPr>
          <w:p>
            <w:pPr>
              <w:ind w:left="700"/>
              <w:spacing w:after="0"/>
              <w:rPr>
                <w:sz w:val="20"/>
                <w:szCs w:val="20"/>
                <w:color w:val="auto"/>
              </w:rPr>
            </w:pPr>
            <w:r>
              <w:rPr>
                <w:rFonts w:ascii="Arial" w:cs="Arial" w:eastAsia="Arial" w:hAnsi="Arial"/>
                <w:sz w:val="18"/>
                <w:szCs w:val="18"/>
                <w:color w:val="auto"/>
              </w:rPr>
              <w:t>45</w:t>
            </w:r>
          </w:p>
        </w:tc>
        <w:tc>
          <w:tcPr>
            <w:tcW w:w="5640" w:type="dxa"/>
            <w:vAlign w:val="bottom"/>
          </w:tcPr>
          <w:p>
            <w:pPr>
              <w:ind w:left="200"/>
              <w:spacing w:after="0"/>
              <w:rPr>
                <w:sz w:val="20"/>
                <w:szCs w:val="20"/>
                <w:color w:val="auto"/>
              </w:rPr>
            </w:pPr>
            <w:r>
              <w:rPr>
                <w:rFonts w:ascii="Arial" w:cs="Arial" w:eastAsia="Arial" w:hAnsi="Arial"/>
                <w:sz w:val="18"/>
                <w:szCs w:val="18"/>
                <w:color w:val="auto"/>
              </w:rPr>
              <w:t>Chief Operating Officer</w:t>
            </w: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Cindy O'Neill</w:t>
            </w:r>
          </w:p>
        </w:tc>
        <w:tc>
          <w:tcPr>
            <w:tcW w:w="1180" w:type="dxa"/>
            <w:vAlign w:val="bottom"/>
          </w:tcPr>
          <w:p>
            <w:pPr>
              <w:ind w:left="700"/>
              <w:spacing w:after="0"/>
              <w:rPr>
                <w:sz w:val="20"/>
                <w:szCs w:val="20"/>
                <w:color w:val="auto"/>
              </w:rPr>
            </w:pPr>
            <w:r>
              <w:rPr>
                <w:rFonts w:ascii="Arial" w:cs="Arial" w:eastAsia="Arial" w:hAnsi="Arial"/>
                <w:sz w:val="18"/>
                <w:szCs w:val="18"/>
                <w:color w:val="auto"/>
              </w:rPr>
              <w:t>51</w:t>
            </w:r>
          </w:p>
        </w:tc>
        <w:tc>
          <w:tcPr>
            <w:tcW w:w="5640" w:type="dxa"/>
            <w:vAlign w:val="bottom"/>
          </w:tcPr>
          <w:p>
            <w:pPr>
              <w:ind w:left="200"/>
              <w:spacing w:after="0"/>
              <w:rPr>
                <w:sz w:val="20"/>
                <w:szCs w:val="20"/>
                <w:color w:val="auto"/>
              </w:rPr>
            </w:pPr>
            <w:r>
              <w:rPr>
                <w:rFonts w:ascii="Arial" w:cs="Arial" w:eastAsia="Arial" w:hAnsi="Arial"/>
                <w:sz w:val="18"/>
                <w:szCs w:val="18"/>
                <w:color w:val="auto"/>
              </w:rPr>
              <w:t>President of Commercial Payments</w:t>
            </w: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David McMiller</w:t>
            </w:r>
          </w:p>
        </w:tc>
        <w:tc>
          <w:tcPr>
            <w:tcW w:w="1180" w:type="dxa"/>
            <w:vAlign w:val="bottom"/>
          </w:tcPr>
          <w:p>
            <w:pPr>
              <w:ind w:left="700"/>
              <w:spacing w:after="0"/>
              <w:rPr>
                <w:sz w:val="20"/>
                <w:szCs w:val="20"/>
                <w:color w:val="auto"/>
              </w:rPr>
            </w:pPr>
            <w:r>
              <w:rPr>
                <w:rFonts w:ascii="Arial" w:cs="Arial" w:eastAsia="Arial" w:hAnsi="Arial"/>
                <w:sz w:val="18"/>
                <w:szCs w:val="18"/>
                <w:color w:val="auto"/>
              </w:rPr>
              <w:t>64</w:t>
            </w:r>
          </w:p>
        </w:tc>
        <w:tc>
          <w:tcPr>
            <w:tcW w:w="5640" w:type="dxa"/>
            <w:vAlign w:val="bottom"/>
          </w:tcPr>
          <w:p>
            <w:pPr>
              <w:ind w:left="200"/>
              <w:spacing w:after="0"/>
              <w:rPr>
                <w:sz w:val="20"/>
                <w:szCs w:val="20"/>
                <w:color w:val="auto"/>
              </w:rPr>
            </w:pPr>
            <w:r>
              <w:rPr>
                <w:rFonts w:ascii="Arial" w:cs="Arial" w:eastAsia="Arial" w:hAnsi="Arial"/>
                <w:sz w:val="18"/>
                <w:szCs w:val="18"/>
                <w:color w:val="auto"/>
              </w:rPr>
              <w:t>President of Commercial Business Services</w:t>
            </w: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Afshin Yazdian</w:t>
            </w:r>
          </w:p>
        </w:tc>
        <w:tc>
          <w:tcPr>
            <w:tcW w:w="1180" w:type="dxa"/>
            <w:vAlign w:val="bottom"/>
          </w:tcPr>
          <w:p>
            <w:pPr>
              <w:ind w:left="700"/>
              <w:spacing w:after="0"/>
              <w:rPr>
                <w:sz w:val="20"/>
                <w:szCs w:val="20"/>
                <w:color w:val="auto"/>
              </w:rPr>
            </w:pPr>
            <w:r>
              <w:rPr>
                <w:rFonts w:ascii="Arial" w:cs="Arial" w:eastAsia="Arial" w:hAnsi="Arial"/>
                <w:sz w:val="18"/>
                <w:szCs w:val="18"/>
                <w:color w:val="auto"/>
              </w:rPr>
              <w:t>46</w:t>
            </w:r>
          </w:p>
        </w:tc>
        <w:tc>
          <w:tcPr>
            <w:tcW w:w="5640" w:type="dxa"/>
            <w:vAlign w:val="bottom"/>
          </w:tcPr>
          <w:p>
            <w:pPr>
              <w:ind w:left="200"/>
              <w:spacing w:after="0"/>
              <w:rPr>
                <w:sz w:val="20"/>
                <w:szCs w:val="20"/>
                <w:color w:val="auto"/>
              </w:rPr>
            </w:pPr>
            <w:r>
              <w:rPr>
                <w:rFonts w:ascii="Arial" w:cs="Arial" w:eastAsia="Arial" w:hAnsi="Arial"/>
                <w:sz w:val="18"/>
                <w:szCs w:val="18"/>
                <w:color w:val="auto"/>
              </w:rPr>
              <w:t>President of Core Acquiring</w:t>
            </w: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Christopher Prince</w:t>
            </w:r>
          </w:p>
        </w:tc>
        <w:tc>
          <w:tcPr>
            <w:tcW w:w="1180" w:type="dxa"/>
            <w:vAlign w:val="bottom"/>
          </w:tcPr>
          <w:p>
            <w:pPr>
              <w:ind w:left="700"/>
              <w:spacing w:after="0"/>
              <w:rPr>
                <w:sz w:val="20"/>
                <w:szCs w:val="20"/>
                <w:color w:val="auto"/>
              </w:rPr>
            </w:pPr>
            <w:r>
              <w:rPr>
                <w:rFonts w:ascii="Arial" w:cs="Arial" w:eastAsia="Arial" w:hAnsi="Arial"/>
                <w:sz w:val="18"/>
                <w:szCs w:val="18"/>
                <w:color w:val="auto"/>
              </w:rPr>
              <w:t>45</w:t>
            </w:r>
          </w:p>
        </w:tc>
        <w:tc>
          <w:tcPr>
            <w:tcW w:w="5640" w:type="dxa"/>
            <w:vAlign w:val="bottom"/>
          </w:tcPr>
          <w:p>
            <w:pPr>
              <w:ind w:left="200"/>
              <w:spacing w:after="0"/>
              <w:rPr>
                <w:sz w:val="20"/>
                <w:szCs w:val="20"/>
                <w:color w:val="auto"/>
              </w:rPr>
            </w:pPr>
            <w:r>
              <w:rPr>
                <w:rFonts w:ascii="Arial" w:cs="Arial" w:eastAsia="Arial" w:hAnsi="Arial"/>
                <w:sz w:val="18"/>
                <w:szCs w:val="18"/>
                <w:color w:val="auto"/>
              </w:rPr>
              <w:t>General Counsel</w:t>
            </w: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William Gahan</w:t>
            </w:r>
          </w:p>
        </w:tc>
        <w:tc>
          <w:tcPr>
            <w:tcW w:w="1180" w:type="dxa"/>
            <w:vAlign w:val="bottom"/>
          </w:tcPr>
          <w:p>
            <w:pPr>
              <w:ind w:left="700"/>
              <w:spacing w:after="0"/>
              <w:rPr>
                <w:sz w:val="20"/>
                <w:szCs w:val="20"/>
                <w:color w:val="auto"/>
              </w:rPr>
            </w:pPr>
            <w:r>
              <w:rPr>
                <w:rFonts w:ascii="Arial" w:cs="Arial" w:eastAsia="Arial" w:hAnsi="Arial"/>
                <w:sz w:val="18"/>
                <w:szCs w:val="18"/>
                <w:color w:val="auto"/>
              </w:rPr>
              <w:t>53</w:t>
            </w:r>
          </w:p>
        </w:tc>
        <w:tc>
          <w:tcPr>
            <w:tcW w:w="564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Matthew Kearney</w:t>
            </w:r>
          </w:p>
        </w:tc>
        <w:tc>
          <w:tcPr>
            <w:tcW w:w="1180" w:type="dxa"/>
            <w:vAlign w:val="bottom"/>
          </w:tcPr>
          <w:p>
            <w:pPr>
              <w:ind w:left="700"/>
              <w:spacing w:after="0"/>
              <w:rPr>
                <w:sz w:val="20"/>
                <w:szCs w:val="20"/>
                <w:color w:val="auto"/>
              </w:rPr>
            </w:pPr>
            <w:r>
              <w:rPr>
                <w:rFonts w:ascii="Arial" w:cs="Arial" w:eastAsia="Arial" w:hAnsi="Arial"/>
                <w:sz w:val="18"/>
                <w:szCs w:val="18"/>
                <w:color w:val="auto"/>
              </w:rPr>
              <w:t>58</w:t>
            </w:r>
          </w:p>
        </w:tc>
        <w:tc>
          <w:tcPr>
            <w:tcW w:w="564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Michael K. Passilla</w:t>
            </w:r>
          </w:p>
        </w:tc>
        <w:tc>
          <w:tcPr>
            <w:tcW w:w="1180" w:type="dxa"/>
            <w:vAlign w:val="bottom"/>
          </w:tcPr>
          <w:p>
            <w:pPr>
              <w:ind w:left="700"/>
              <w:spacing w:after="0"/>
              <w:rPr>
                <w:sz w:val="20"/>
                <w:szCs w:val="20"/>
                <w:color w:val="auto"/>
              </w:rPr>
            </w:pPr>
            <w:r>
              <w:rPr>
                <w:rFonts w:ascii="Arial" w:cs="Arial" w:eastAsia="Arial" w:hAnsi="Arial"/>
                <w:sz w:val="18"/>
                <w:szCs w:val="18"/>
                <w:color w:val="auto"/>
              </w:rPr>
              <w:t>52</w:t>
            </w:r>
          </w:p>
        </w:tc>
        <w:tc>
          <w:tcPr>
            <w:tcW w:w="5640" w:type="dxa"/>
            <w:vAlign w:val="bottom"/>
          </w:tcPr>
          <w:p>
            <w:pPr>
              <w:ind w:left="20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Thomas Priore </w:t>
      </w:r>
      <w:r>
        <w:rPr>
          <w:rFonts w:ascii="Arial" w:cs="Arial" w:eastAsia="Arial" w:hAnsi="Arial"/>
          <w:sz w:val="17"/>
          <w:szCs w:val="17"/>
          <w:color w:val="auto"/>
        </w:rPr>
        <w:t>has served as President, Chief Executive Officer and Chairman since December 2018 and as Executive Chairman and founding member of</w:t>
      </w:r>
      <w:r>
        <w:rPr>
          <w:rFonts w:ascii="Arial" w:cs="Arial" w:eastAsia="Arial" w:hAnsi="Arial"/>
          <w:sz w:val="17"/>
          <w:szCs w:val="17"/>
          <w:b w:val="1"/>
          <w:bCs w:val="1"/>
          <w:color w:val="auto"/>
        </w:rPr>
        <w:t xml:space="preserve"> </w:t>
      </w:r>
      <w:r>
        <w:rPr>
          <w:rFonts w:ascii="Arial" w:cs="Arial" w:eastAsia="Arial" w:hAnsi="Arial"/>
          <w:sz w:val="17"/>
          <w:szCs w:val="17"/>
          <w:color w:val="auto"/>
        </w:rPr>
        <w:t>Priority from August 2005 through November 2018. Under Mr. Priore's strategic direction, Priority has emerged from a start-up organization to become the 13th largest merchant acquirer in the U.S. and a leading provider of commercial payment solutions to major global institutions.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 Thomas Priore is the brother of John Priore, Priority's Vice-Chairman.</w:t>
      </w:r>
    </w:p>
    <w:p>
      <w:pPr>
        <w:spacing w:after="0" w:line="17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John Priore </w:t>
      </w:r>
      <w:r>
        <w:rPr>
          <w:rFonts w:ascii="Arial" w:cs="Arial" w:eastAsia="Arial" w:hAnsi="Arial"/>
          <w:sz w:val="16"/>
          <w:szCs w:val="16"/>
          <w:color w:val="auto"/>
        </w:rPr>
        <w:t>is the co-founder of Priority and has served as Vice-Chairman of Priority since December 2018. Prior to that, John Priore served as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Priority since August 2005. He has over twenty-five years of experience in the payments industry. Prior to founding Priority, John Priore was the Executive Vice President of Financial Systems at Ingenico, and also served in a variety of positions at other firms, including NOVA, First Data and American Express. Mr. Priore is a member of the Technology Association of Georgia (TAG), a legacy member of the Alpharetta Technology Commission and currently serves on the board of directors for the Electronic Transactions Association. John Priore's commitment to the industry has helped propel Priority to be a leader in payments technology. John Priore is the brother of Thomas Priore, Priority's President, Chief Executive Officer and Chairman.</w:t>
      </w:r>
    </w:p>
    <w:p>
      <w:pPr>
        <w:spacing w:after="0" w:line="15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Michael Vollkommer </w:t>
      </w:r>
      <w:r>
        <w:rPr>
          <w:rFonts w:ascii="Arial" w:cs="Arial" w:eastAsia="Arial" w:hAnsi="Arial"/>
          <w:sz w:val="17"/>
          <w:szCs w:val="17"/>
          <w:color w:val="auto"/>
        </w:rPr>
        <w:t>has served as Chief Financial Officer of Priority since December 2018. Mr. Vollkommer is a CPA who has over 30 years of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in a variety of industries, serving in executive-level positions within several global corporations. Prior to joining Priority, Mr. Vollkommer most recently served as the Chief Financial Officer of Vesta Corporation, an international provider of comprehensive fraud and payment solutions for online commerce, from October 2013 to October 2015, and before that was the Chief Financial Officer of Mueller Water Products from May 2007 to July 2008. From 2001 to 2006, Mr. Vollkommer was Executive Vice President and Chief Financial Officer of Certegy Inc., a public payment services company that was spun off from Equifax in 2001 and merged with certain divisions of Fidelity National Financial in 2006 to create FIS.</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Sean Kiewiet </w:t>
      </w:r>
      <w:r>
        <w:rPr>
          <w:rFonts w:ascii="Arial" w:cs="Arial" w:eastAsia="Arial" w:hAnsi="Arial"/>
          <w:sz w:val="18"/>
          <w:szCs w:val="18"/>
          <w:color w:val="auto"/>
        </w:rPr>
        <w:t>co-founded Priority after serving as the Director of Technology for Cornerstone Payment Systems. Mr. Kiewiet has served as Chief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Priority since August 2005. Mr. Kiewiet previously worked in software development and architecture for Hypercom and Syntellect. Mr. Kiewiet's technology development background drives his vision for Priority to develop high-performing teams that deliberately target technologies at areas where the industry has been complacent and customers have been under-served.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Timothy Schneible </w:t>
      </w:r>
      <w:r>
        <w:rPr>
          <w:rFonts w:ascii="Arial" w:cs="Arial" w:eastAsia="Arial" w:hAnsi="Arial"/>
          <w:sz w:val="18"/>
          <w:szCs w:val="18"/>
          <w:color w:val="auto"/>
        </w:rPr>
        <w:t>has served as Priority's Chief Operating Officer since October 2018. Prior to joining Priority, Mr. Schneible spent 18 years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operational and leadership positions in risk management, fraud and credit operations, call center management, and executive officer roles in payment operations for organizations including Bank One Corp., Barclaycard U.S., Worldpay, Inc., and Merchant e-Solutions, Inc. Between March 2015 and October 2018, Mr. Schneible served as Executive Vice President of Operations at Merchant e-Solutions, Inc. He previously served as a Senior Vice President at WorldPay, Inc. since June 2010.</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Cindy O'Neill </w:t>
      </w:r>
      <w:r>
        <w:rPr>
          <w:rFonts w:ascii="Arial" w:cs="Arial" w:eastAsia="Arial" w:hAnsi="Arial"/>
          <w:sz w:val="17"/>
          <w:szCs w:val="17"/>
          <w:color w:val="auto"/>
        </w:rPr>
        <w:t>has served as Priority's President of Commercial Payments since March 2017. From July 2016 to March 2017, Ms. O'Neill worked as a</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including providing consulting services to Priority starting in November 2016. Ms. O'Neill previously served as the Executive Vice President and General Manager at Electronic Funds Source from June 2015 to July 2016, leading the growth of its Commercial Payments business through its 2016 sale to Wright Express. From February 2015 to June 2015, Ms. O'Neill served as Managing Director, Group Head of Cash Management Product, at Bank of the West. From June 2010 to February 2015, Ms. O'Neill served as the Head of Global Product Management and Region Head of U.S. Commercial Business at Visa. Prior to assuming those positions, Ms. O'Neill spent 17 years in treasury management, holding leadership positions at Wells Fargo (February 2007 to June 2010) and Bank of America (October 1994 to February 2007).</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David McMiller </w:t>
      </w:r>
      <w:r>
        <w:rPr>
          <w:rFonts w:ascii="Arial" w:cs="Arial" w:eastAsia="Arial" w:hAnsi="Arial"/>
          <w:sz w:val="18"/>
          <w:szCs w:val="18"/>
          <w:color w:val="auto"/>
        </w:rPr>
        <w:t>has served as Priority's President of Commercial Business Services since January 2015. Mr. McMiller previously served as VP of</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and Franchise at Priority since October 2008. Mr. McMiller brings over thirty-five years of executive development experience after serving as the Executive Vice President for NOVA and development roles for Uptons and Kohl's.</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Afshin Yazdian </w:t>
      </w:r>
      <w:r>
        <w:rPr>
          <w:rFonts w:ascii="Arial" w:cs="Arial" w:eastAsia="Arial" w:hAnsi="Arial"/>
          <w:sz w:val="16"/>
          <w:szCs w:val="16"/>
          <w:color w:val="auto"/>
        </w:rPr>
        <w:t>has served as Priority's President of Core Acquiring since May 2014. Mr. Yazdian was previously President &amp; CEO of Cynergy Data from</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2013 to May 2014 and joined Priority through the merger with Cynergy Data. Prior to that, Mr. Yazdian served as President of TouchSuite from April 2012 to October 2013 and EVP &amp; General Counsel of iPayment, Inc. from its founding in January 2001 to December 2011. Mr. Yazdian brings over sixteen years of payments experience to Priority's management team, with a background in acquisition and integration strategies and operations.</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Christopher Prince </w:t>
      </w:r>
      <w:r>
        <w:rPr>
          <w:rFonts w:ascii="Arial" w:cs="Arial" w:eastAsia="Arial" w:hAnsi="Arial"/>
          <w:sz w:val="18"/>
          <w:szCs w:val="18"/>
          <w:color w:val="auto"/>
        </w:rPr>
        <w:t>has served as Priority's General Counsel since August 2010. Prior to joining Priority, Mr. Prince was Counsel at the international law</w:t>
      </w:r>
      <w:r>
        <w:rPr>
          <w:rFonts w:ascii="Arial" w:cs="Arial" w:eastAsia="Arial" w:hAnsi="Arial"/>
          <w:sz w:val="18"/>
          <w:szCs w:val="18"/>
          <w:b w:val="1"/>
          <w:bCs w:val="1"/>
          <w:color w:val="auto"/>
        </w:rPr>
        <w:t xml:space="preserve"> </w:t>
      </w:r>
      <w:r>
        <w:rPr>
          <w:rFonts w:ascii="Arial" w:cs="Arial" w:eastAsia="Arial" w:hAnsi="Arial"/>
          <w:sz w:val="18"/>
          <w:szCs w:val="18"/>
          <w:color w:val="auto"/>
        </w:rPr>
        <w:t>firm of King &amp; Spalding LLP, where he was a member of the Corporate, Technology and Global Transactions practice groups, focusing on M&amp;A, joint venture and strategic alliances for domestic and international licensing of intellectual property and technology.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William Gahan </w:t>
      </w:r>
      <w:r>
        <w:rPr>
          <w:rFonts w:ascii="Arial" w:cs="Arial" w:eastAsia="Arial" w:hAnsi="Arial"/>
          <w:sz w:val="16"/>
          <w:szCs w:val="16"/>
          <w:color w:val="auto"/>
        </w:rPr>
        <w:t>has served as a director of Priority since July 25, 2018. Mr. Gahan is a risk management specialist focused on institutional fixed income asset</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and debt capital markets. Most recently, from 2011 until 2017, Mr. Gahan was Managing Director at Benefit Street Partners, a credit-focused alternative asset management firm with approximately $25 billion in assets under management where he managed a strategic credit investment operation. Prior to his role at Benefit Street Partners, Mr. Gahan operated a proprietary credit trading portfolio at Greenwich Capital after a career in debt capital markets with Merrill Lynch, Kidder Peabody and Paine Webber. Mr. Gahan received a Bachelor of Arts from the University of Virginia in 1988.</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Matthew Kearney </w:t>
      </w:r>
      <w:r>
        <w:rPr>
          <w:rFonts w:ascii="Arial" w:cs="Arial" w:eastAsia="Arial" w:hAnsi="Arial"/>
          <w:sz w:val="17"/>
          <w:szCs w:val="17"/>
          <w:color w:val="auto"/>
        </w:rPr>
        <w:t>has served as a director of Priority since July 25, 2018. Mr. Kearney has been an Operating Partner at Rockbridge Growth Equity, LLC</w:t>
      </w:r>
      <w:r>
        <w:rPr>
          <w:rFonts w:ascii="Arial" w:cs="Arial" w:eastAsia="Arial" w:hAnsi="Arial"/>
          <w:sz w:val="17"/>
          <w:szCs w:val="17"/>
          <w:b w:val="1"/>
          <w:bCs w:val="1"/>
          <w:color w:val="auto"/>
        </w:rPr>
        <w:t xml:space="preserve"> </w:t>
      </w:r>
      <w:r>
        <w:rPr>
          <w:rFonts w:ascii="Arial" w:cs="Arial" w:eastAsia="Arial" w:hAnsi="Arial"/>
          <w:sz w:val="17"/>
          <w:szCs w:val="17"/>
          <w:color w:val="auto"/>
        </w:rPr>
        <w:t>since March 2015. Mr. Kearney is responsible for driving a range of strategic and operational improvement and initiatives across the firm while also overseeing Rockbridge's media portfolio and advising on new media investments. During his time at Rockbridge, Mr. Kearney has overseen the successful sale of Triad Retail Media to WPP and the merger of the Rockbridge and Verifone petro media businesses to form "GSTV." Mr. Kearney now serves as the Chairman of GSTV. Prior to joining Rockbridge, Mr. Kearney served as Executive Chairman of Carlyle Talent Holdings, a Carlyle Group backed special payments company serving the advertising industry, from March 2013 to March 2015. Mr. Kearney also serves as an advisor to the board of directors of Telenor Group, the Norwegian multinational telecommunications company (OSE: TEL) and had served as an advisor to the board of directors of M I Acquisitions, Inc. Mr. Kearney previously served as CEO of Screenvision, a cinema advertising and media distribution company. Mr. Kearney holds a B.S. degree in Aeronautical Engineering from the University of Manchester and an MBA from London Business School.</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Michael K. Passilla </w:t>
      </w:r>
      <w:r>
        <w:rPr>
          <w:rFonts w:ascii="Arial" w:cs="Arial" w:eastAsia="Arial" w:hAnsi="Arial"/>
          <w:sz w:val="18"/>
          <w:szCs w:val="18"/>
          <w:color w:val="auto"/>
        </w:rPr>
        <w:t>has served as a director of Priority since June 4, 2019. Mr. Passilla served as Vice Chairman for JP Morgan Chase &amp; Company from July</w:t>
      </w:r>
      <w:r>
        <w:rPr>
          <w:rFonts w:ascii="Arial" w:cs="Arial" w:eastAsia="Arial" w:hAnsi="Arial"/>
          <w:sz w:val="18"/>
          <w:szCs w:val="18"/>
          <w:b w:val="1"/>
          <w:bCs w:val="1"/>
          <w:color w:val="auto"/>
        </w:rPr>
        <w:t xml:space="preserve"> </w:t>
      </w:r>
      <w:r>
        <w:rPr>
          <w:rFonts w:ascii="Arial" w:cs="Arial" w:eastAsia="Arial" w:hAnsi="Arial"/>
          <w:sz w:val="18"/>
          <w:szCs w:val="18"/>
          <w:color w:val="auto"/>
        </w:rPr>
        <w:t>2016 until his retirement in June 2018, after serving as Chief Executive Officer of Chase Merchant Services from May 2013 to June 2016. He previously served as Chief Executive Officer of Evalon - US Bank, Inc. from August 2010 to April 2013, after serving as Executive Vice President of Global Business Development since August 2007. Mr. Passilla received a Bachelor of Business Administration from the University of Notre Dame in 1989 and an MBA from Northwestern University in 1995.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Thomas Priore, our President, Chief Executive Officer and Chairman, and John Priore, our Vice-Chairman, are brothers.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2015, approximately three years after reaching a civil settlement with regulators on the matter, and without admitting or denying the allegations against him, Thomas Priore consented to the entry of an order by the SEC against him (the "SEC Order") relating to his prior involvement as the majority owner, President and Chief Investment Officer of a registered investment adviser, ICP Asset Management, LLC. Under the SEC Order, Mr. Priore agreed to be barred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the Company, or his service as President, Chief Executive Officer or Chairman. During such time that the SEC bar remains in effect, the combined company will be required to monitor if any future offerings of our stock might be considered an offering of "penny stock" which would be prohibited under the bar.</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Other than the above, to our knowledge, during the past ten years, none of our directors, executive officers, promoters, control persons, or nominees has been:</w:t>
      </w:r>
    </w:p>
    <w:p>
      <w:pPr>
        <w:spacing w:after="0" w:line="248" w:lineRule="exact"/>
        <w:rPr>
          <w:sz w:val="20"/>
          <w:szCs w:val="20"/>
          <w:color w:val="auto"/>
        </w:rPr>
      </w:pPr>
    </w:p>
    <w:p>
      <w:pPr>
        <w:ind w:firstLine="198"/>
        <w:spacing w:after="0" w:line="277" w:lineRule="auto"/>
        <w:tabs>
          <w:tab w:leader="none" w:pos="44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subject of any bankruptcy petition filed by or against any business of which such person was a general partner or executive officer either at the time of the bankruptcy or within two years prior to that time;</w:t>
      </w:r>
    </w:p>
    <w:p>
      <w:pPr>
        <w:spacing w:after="0" w:line="170" w:lineRule="exact"/>
        <w:rPr>
          <w:rFonts w:ascii="Arial" w:cs="Arial" w:eastAsia="Arial" w:hAnsi="Arial"/>
          <w:sz w:val="18"/>
          <w:szCs w:val="18"/>
          <w:color w:val="auto"/>
        </w:rPr>
      </w:pPr>
    </w:p>
    <w:p>
      <w:pPr>
        <w:ind w:left="440" w:hanging="25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convicted in a criminal proceeding or is subject to a pending criminal proceeding (excluding traffic violations and other minor offenses);</w:t>
      </w:r>
    </w:p>
    <w:p>
      <w:pPr>
        <w:spacing w:after="0" w:line="225" w:lineRule="exact"/>
        <w:rPr>
          <w:rFonts w:ascii="Arial" w:cs="Arial" w:eastAsia="Arial" w:hAnsi="Arial"/>
          <w:sz w:val="18"/>
          <w:szCs w:val="18"/>
          <w:color w:val="auto"/>
        </w:rPr>
      </w:pPr>
    </w:p>
    <w:p>
      <w:pPr>
        <w:jc w:val="both"/>
        <w:ind w:firstLine="237"/>
        <w:spacing w:after="0" w:line="264" w:lineRule="auto"/>
        <w:tabs>
          <w:tab w:leader="none" w:pos="520" w:val="left"/>
        </w:tabs>
        <w:numPr>
          <w:ilvl w:val="2"/>
          <w:numId w:val="9"/>
        </w:numPr>
        <w:rPr>
          <w:rFonts w:ascii="Arial" w:cs="Arial" w:eastAsia="Arial" w:hAnsi="Arial"/>
          <w:sz w:val="18"/>
          <w:szCs w:val="18"/>
          <w:color w:val="auto"/>
        </w:rPr>
      </w:pPr>
      <w:r>
        <w:rPr>
          <w:rFonts w:ascii="Arial" w:cs="Arial" w:eastAsia="Arial" w:hAnsi="Arial"/>
          <w:sz w:val="18"/>
          <w:szCs w:val="18"/>
          <w:color w:val="auto"/>
        </w:rPr>
        <w:t>subject to any order, judgment, or decree, not subsequently reversed, suspended or vacated, of any court of competent jurisdiction or any Federal or State authority, permanently or temporarily enjoining, barring, suspending or otherwise limiting his involvement in any type of business, securities or banking activities;</w:t>
      </w:r>
    </w:p>
    <w:p>
      <w:pPr>
        <w:spacing w:after="0" w:line="181" w:lineRule="exact"/>
        <w:rPr>
          <w:rFonts w:ascii="Arial" w:cs="Arial" w:eastAsia="Arial" w:hAnsi="Arial"/>
          <w:sz w:val="18"/>
          <w:szCs w:val="18"/>
          <w:color w:val="auto"/>
        </w:rPr>
      </w:pPr>
    </w:p>
    <w:p>
      <w:pPr>
        <w:ind w:right="20" w:firstLine="191"/>
        <w:spacing w:after="0" w:line="277" w:lineRule="auto"/>
        <w:tabs>
          <w:tab w:leader="none" w:pos="43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found by a court of competent jurisdiction (in a civil action), the SEC or the Commodity Futures Trading Commission to have violated a federal or state securities or commodities law;</w:t>
      </w:r>
    </w:p>
    <w:p>
      <w:pPr>
        <w:spacing w:after="0" w:line="170" w:lineRule="exact"/>
        <w:rPr>
          <w:rFonts w:ascii="Arial" w:cs="Arial" w:eastAsia="Arial" w:hAnsi="Arial"/>
          <w:sz w:val="18"/>
          <w:szCs w:val="18"/>
          <w:color w:val="auto"/>
        </w:rPr>
      </w:pPr>
    </w:p>
    <w:p>
      <w:pPr>
        <w:jc w:val="both"/>
        <w:ind w:firstLine="202"/>
        <w:spacing w:after="0" w:line="257" w:lineRule="auto"/>
        <w:tabs>
          <w:tab w:leader="none" w:pos="45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subject of, or a party to, any Federal or State judicial or administrative order, judgment, decree, or finding, not subsequently reversed, suspended or vacated, relating to an alleged violation of (a) any Federal or State securities or commodities law or regulation; (b)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(c) any law or regulation prohibiting mail or wire fraud or fraud in connection with any business entity; or</w:t>
      </w:r>
    </w:p>
    <w:p>
      <w:pPr>
        <w:spacing w:after="0" w:line="188" w:lineRule="exact"/>
        <w:rPr>
          <w:rFonts w:ascii="Arial" w:cs="Arial" w:eastAsia="Arial" w:hAnsi="Arial"/>
          <w:sz w:val="18"/>
          <w:szCs w:val="18"/>
          <w:color w:val="auto"/>
        </w:rPr>
      </w:pPr>
    </w:p>
    <w:p>
      <w:pPr>
        <w:jc w:val="both"/>
        <w:ind w:firstLine="219"/>
        <w:spacing w:after="0" w:line="259" w:lineRule="auto"/>
        <w:tabs>
          <w:tab w:leader="none" w:pos="48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subject of, or a party to, any sanction or order, not subsequently reversed, suspended or vacated, of any self-regulatory organization (as defined in Section 3(a)(26) of the Securities Exchange Act of 1934, as amended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adopted a Code of Ethics that applies to all of our employees, officers and directors. This includes our principal executive officer, principal financial officer, and principal accounting officer or controller, or persons performing similar functions. The full text of the Code of Ethics is posted on our website at </w:t>
      </w:r>
      <w:r>
        <w:rPr>
          <w:rFonts w:ascii="Arial" w:cs="Arial" w:eastAsia="Arial" w:hAnsi="Arial"/>
          <w:sz w:val="18"/>
          <w:szCs w:val="18"/>
          <w:i w:val="1"/>
          <w:iCs w:val="1"/>
          <w:color w:val="auto"/>
        </w:rPr>
        <w:t>www.prth.com</w:t>
      </w:r>
      <w:r>
        <w:rPr>
          <w:rFonts w:ascii="Arial" w:cs="Arial" w:eastAsia="Arial" w:hAnsi="Arial"/>
          <w:sz w:val="18"/>
          <w:szCs w:val="18"/>
          <w:color w:val="auto"/>
        </w:rPr>
        <w:t>. We intend to disclose on our website any future amendments of the Code of Ethics or waivers that exempt any principal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financial officer, principal accounting officer or controller, persons performing similar functions, or our directors from provisions in the Code of Ethics.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Controlled Company Status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Thomas Priore continues to control a majority of the voting power of our outstanding common stock. As a result, we are a "controlled company" within the meaning of the corporate governance standards of the Nasdaq Stock Market LLC ("NASDAQ"). Under these rules, a company of which more than 50% of the voting power is held by an individual, group or another company is a "controlled company" and may elect not to comply with certain corporate governance requirements, including:</w:t>
      </w:r>
    </w:p>
    <w:p>
      <w:pPr>
        <w:spacing w:after="0" w:line="1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 that a majority of our Board consist of independent directors;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 that we have a Nominating and Governance Committee that is composed entirely of independent directors with a written charter addressing the Committee purpose and responsibilities; and</w:t>
      </w:r>
    </w:p>
    <w:p>
      <w:pPr>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and intend to continue to utilize these exemptions. As a result, we do not currently have a majority of independent directors and our Compensation Committee and Nominating and Governance Committee do not consist entirely of independent directors. Accordingly, you will not have the same protections afforded to stockholders of companies that are subject to all of the corporate governance requirements of NASDAQ. In the event that we cease to be a "controlled company" and our shares continue to be listed on the Nasdaq Global Market, we will be required to comply with these provisions within the applicable transition periods.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Currently, the positions of Chief Executive Officer and Chairman of the Board are held by one individual, Thomas Priore. Although no formal policy currently exists, the Board has determined that, at present, Mr. Priore is able to devote his time to both the daily execution of the Company's business strategies and to the long-term strategic direction of the Company.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oversees the risk management activities designed and implemented by our management. Our Board executes its oversight responsibility both directly and through its committees. Our Board also considers specific risk topics, including risks associated with our strategic initiatives, business plans and capital structure. Our management, including our executive officers, is primarily responsible for managing the risks associated with operation and business of the company and will provide appropriate updates to the Board and the Audit Committee. Our Board delegates to the Audit Committee oversight of its risk management process, and our other committees also consider risk as they perform their respective committee responsibilities. All committees report to the Board as appropriate, including when a matter rises to the level of material or enterprise risk.</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 our securities trading policy, all covered persons, including all executive officers and directors, are prohibited from purchasing Company securities on margin or pledging Company securities as collateral. We granted an exception to Thomas Priore, our President, Chief Executive Officer and Chairman, allowing him to pledge 47,732,899 shares of our common stock held by him pursuant to a letter of credit. In the event of a default under the letter of credit, the secured parties may foreclose upon any and all shares of common stock pledged to them. As of the Record Date, borrowings of $1,146,000 were outstanding under the letter of credit.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Directors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our common stock being listed on the Nasdaq Global Market, Priority adheres to the rules of such exchange in determining whether a director is independent. A director is not independent unless the Board affirmatively determines that he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she does not have a relationship which, in the opinion of the Board, would interfere with the exercise of independent judgment in carrying out the responsibilities of a director in accordance with the NASDAQ corporate governance rules for listed companies. The Board has determined that Messrs. Gahan, Kearney and Passilla are independent directors. Our independent directors have regularly scheduled meetings at which only independent directors are present.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Nominating and Governance Committee considers persons identified by its members, management, stockholders, investment bankers and others. The guidelines for selecting nominees, which the Nominating and Governance Committee will take in to consideration, include, but are not limited to, provide that persons to be nominated:</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and bring a range of skills, diverse perspectives and backgrounds to its deliberations; and</w:t>
      </w: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should have the highest ethical standards, a strong sense of professionalism and intense dedication to serving the interest of stockholders.</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Nominating and Governance Committee considers a number of qualifications relating to management and leadership experience, background and integrity and professionalism in evaluating a person's candidacy for membership on the Board. The Nominating and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Governance Committee does not distinguish among nominees recommended by stockholders and other persons.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and Interested Party Communications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Priority's Board does not provide a process for stockholders or other interested parties to send communications to the Board because management believed that it was premature to develop such processes given the limited liquidity of common stock at that time. However, management may establish a process for stockholder and interested party communications in the future.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Directors' Liability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certificate of incorporation and bylaws will indemnify our directors to the fullest extent permitted by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Meetings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and Audit Committee each met three times during 2018. The Compensation Committee and the Nominating and Governance Committee did not meet during 2018. All of our then directors attended all three of the Board meetings during 2018 and all of our then members of the Audit Committee attended all three meetings of that committee during 2018.</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Regarding Attendance at Annual Meetings of Stockholders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director of the Company is expected to be present at annual meetings of stockholders, absent exigent circumstances that prevents their attendance. Where a director is unable to attend an annual meeting in person but is able to do so by electronic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conferencing, the Company will arrange for the director's participation by means where the director can hear, and be heard, by those present at the meeting.</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 sessions of non-management directors are held regularly throughout the year.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Committees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has the following standing committees: Audit Committee, Compensation Committee, and Nominating and Governance Committee. The charters for each committee are available in the investor relations section for our website at www.prth.com or in print by contacting Mr. Prince at the Company's address. The Board may also establish other committees to assist in the discharge of its responsibilities.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identifies the committee members and committee chairperson (as indicated by a "C") as of the date of this proxy statement:</w:t>
      </w:r>
    </w:p>
    <w:p>
      <w:pPr>
        <w:spacing w:after="0" w:line="3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1"/>
              </w:rPr>
              <w:t>Nominating and</w:t>
            </w:r>
          </w:p>
        </w:tc>
      </w:tr>
      <w:tr>
        <w:trPr>
          <w:trHeight w:val="234"/>
        </w:trPr>
        <w:tc>
          <w:tcPr>
            <w:tcW w:w="6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Audit</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Compensation</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0"/>
              </w:rPr>
              <w:t>Corporate Governance</w:t>
            </w:r>
          </w:p>
        </w:tc>
      </w:tr>
      <w:tr>
        <w:trPr>
          <w:trHeight w:val="27"/>
        </w:trPr>
        <w:tc>
          <w:tcPr>
            <w:tcW w:w="6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Thomas Priore</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C</w:t>
            </w:r>
          </w:p>
        </w:tc>
      </w:tr>
      <w:tr>
        <w:trPr>
          <w:trHeight w:val="270"/>
        </w:trPr>
        <w:tc>
          <w:tcPr>
            <w:tcW w:w="60" w:type="dxa"/>
            <w:vAlign w:val="bottom"/>
          </w:tcPr>
          <w:p>
            <w:pPr>
              <w:spacing w:after="0"/>
              <w:rPr>
                <w:sz w:val="23"/>
                <w:szCs w:val="23"/>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John Priore</w:t>
            </w: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70"/>
        </w:trPr>
        <w:tc>
          <w:tcPr>
            <w:tcW w:w="60" w:type="dxa"/>
            <w:vAlign w:val="bottom"/>
          </w:tcPr>
          <w:p>
            <w:pPr>
              <w:spacing w:after="0"/>
              <w:rPr>
                <w:sz w:val="23"/>
                <w:szCs w:val="23"/>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Matthew Kearney *</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w:t>
            </w:r>
          </w:p>
        </w:tc>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William Gahan *</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70"/>
        </w:trPr>
        <w:tc>
          <w:tcPr>
            <w:tcW w:w="60" w:type="dxa"/>
            <w:vAlign w:val="bottom"/>
          </w:tcPr>
          <w:p>
            <w:pPr>
              <w:spacing w:after="0"/>
              <w:rPr>
                <w:sz w:val="23"/>
                <w:szCs w:val="23"/>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Michael K. Passilla *</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459"/>
        </w:trPr>
        <w:tc>
          <w:tcPr>
            <w:tcW w:w="3840" w:type="dxa"/>
            <w:vAlign w:val="bottom"/>
            <w:gridSpan w:val="3"/>
          </w:tcPr>
          <w:p>
            <w:pPr>
              <w:spacing w:after="0"/>
              <w:rPr>
                <w:sz w:val="20"/>
                <w:szCs w:val="20"/>
                <w:color w:val="auto"/>
              </w:rPr>
            </w:pPr>
            <w:r>
              <w:rPr>
                <w:rFonts w:ascii="Arial" w:cs="Arial" w:eastAsia="Arial" w:hAnsi="Arial"/>
                <w:sz w:val="18"/>
                <w:szCs w:val="18"/>
                <w:color w:val="auto"/>
              </w:rPr>
              <w:t>* Independent director</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has established an Audit Committee comprised of independent directors. The Audit Committee consists of William Gahan, Matthew Kearney and Michael K. Passilla, with Mr. Kearney as the chairman of the Audit Committee. Each member of the Audit Committee is independent under NASDAQ listing standards. The Audit Committee has a written charter. The purpose of the Audit Committee is, among other things, to appoint, retain, set compensation of, and supervise our independent accountants, review the results and scope of the audit and other accounting related services and review our accounting practices and systems of internal accounting and disclosure controls.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is and at all times will be composed exclusively of "independent directors," as defined for Audit Committee members under NASDAQ listing standards and the rules and regulations of the SEC, who are "financially literate." "Financially literate" generally means being able to read and understand fundamental financial statements, including a company's balance sheet, income statement and cash flow statement. In addition, Priority is required to certify to the exchange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Mr. Kearney serves as the financial expert on the Audit Committee.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has established a Compensation Committee consisting of Thomas Priore, John Priore and William Gahan, with Thomas Priore as the chairman of the Compensation Committee. The Compensation Committee has a written charter. The purpose of the Compensation Committee is to review and approve compensation paid to our officers and directors and to administer incentive compensation plans, including authority to make and modify awards under such plans.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Nominating and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has established a Nominating and Governance Committee comprised of Thomas Priore, John Priore and William Gahan, with Thomas Priore as the chairman of the Nominating and Governance Committee. Each member of the Nominating and Governance Committee is independent under NASDAQ listing standards. The Nominating and Governance Committee has a written charter. The Nominating and Governance Committee is responsible for overseeing the selection of persons to be nominated to serve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3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operates pursuant to a charter that is reviewed annually by the Audit Committee. Additionally, a brief description of the primary responsibilities of the Audit Committee is included in this proxy statement under "Corporate Governance-Board Committees-Audit Committee." Under the Audit Committee charter, management is responsible for the preparation, presentation and integrity of the Company's financial statements, the application of accounting and financial reporting principles and our internal controls and procedures designed to assure compliance with accounting standards and applicable laws and regulations. RSM, our independent registered public accounting firm, is responsible for auditing our financial statements and expressing an opinion as to their conformity with accounting principles generally accepted in the United States of America.</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performance of its oversight function, the Audit Committee reviewed and discussed the audited financial statements with management and RSM. The Audit Committee also discussed with RSM the matters required to be discussed by applicable requirements of the Public Company Accounting Oversight Board and the Securities and Exchange Commission. In addition, the Audit Committee received the written disclosures and the letters from RSM required by applicable requirements of the Public Company Accounting Oversight Board regarding RSM's communications with the Audit Committee concerning independence, and discussed with RSM their independence.</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upon the review and discussions described in the preceding paragraph, the Audit Committee recommended to the Board that the audited financial statements of the Company be included in its Annual Report on Form 10-K for the year ended December 31, 2018, filed with the SEC.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Company's Board of Directors: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Matthew Kearney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Gahan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K. Passilla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3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Section 16(a) of the Securities Exchange Act of 1934, as amended, requires the Company's directors, executive officers and stockholders who own more than 10% of the Company's stock to file forms with the SEC to report their ownership of the Company's stock and any changes in ownership. The Company assists its directors and executive officers by identifying reportable transactions of which it is aware and preparing and filing their forms on their behalf. All persons required to file forms with the SEC must also send copies of the forms to the Company. We have reviewed all forms provided to us. Based on that review and on written information given to use by our executive officers and directors, we believe that all Section 16(a) filings during the past fiscal year were filed on a timely basis and that all directors, executive officers and 10% beneficial owners have fully complied with such requirements during the past fiscal year except for the following: one report covering one transaction filed by Marc Manuel (Form 4), one report covering one transaction filed by Michael Vollkommer (Form 4) and one report covering one transaction filed by Timothy Schneible (Form 4).</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Priority has opted to comply with the executive compensation disclosure rules applicable to "emerging growth companies" and "smaller reporting companies" as such terms are under the rules promulgated under the Securities Act of 1933, as amended. These rules require compensation disclosure for Priority's principal executive officer and its two most highly compensated executive officers other than its principal executive officer. These officers are referred to as the "Named Executive Officers" or "NEOs."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NEOs for Priority's year ended December 31, 2018 were:</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Thomas Priore, its Executive Chairman in 2017 and, as of December 1, 2018, its President, Chief Executive Officer and Chairman;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John Priore, its President and Chief Executive Officer in 2017 and, as of December 1, 2018, its Vice-Chairman;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Afshin Yazdian, its President of Core Acquiring;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Michael Vollkommer, its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Priority's years ended December 31, 2017 and 2018 for the Named Executive Officers:</w:t>
      </w:r>
    </w:p>
    <w:p>
      <w:pPr>
        <w:spacing w:after="0" w:line="98"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15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7"/>
              </w:rPr>
              <w:t>Change in Pension</w:t>
            </w:r>
          </w:p>
        </w:tc>
        <w:tc>
          <w:tcPr>
            <w:tcW w:w="1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35"/>
        </w:trPr>
        <w:tc>
          <w:tcPr>
            <w:tcW w:w="15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Non-Equity</w:t>
            </w:r>
          </w:p>
        </w:tc>
        <w:tc>
          <w:tcPr>
            <w:tcW w:w="12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Value and Deferred</w:t>
            </w:r>
          </w:p>
        </w:tc>
        <w:tc>
          <w:tcPr>
            <w:tcW w:w="1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5"/>
        </w:trPr>
        <w:tc>
          <w:tcPr>
            <w:tcW w:w="15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b w:val="1"/>
                <w:bCs w:val="1"/>
                <w:color w:val="auto"/>
              </w:rPr>
              <w:t>Name and Principal</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420"/>
              <w:spacing w:after="0" w:line="135" w:lineRule="exact"/>
              <w:rPr>
                <w:sz w:val="20"/>
                <w:szCs w:val="20"/>
                <w:color w:val="auto"/>
              </w:rPr>
            </w:pPr>
            <w:r>
              <w:rPr>
                <w:rFonts w:ascii="Arial" w:cs="Arial" w:eastAsia="Arial" w:hAnsi="Arial"/>
                <w:sz w:val="13"/>
                <w:szCs w:val="13"/>
                <w:b w:val="1"/>
                <w:bCs w:val="1"/>
                <w:color w:val="auto"/>
                <w:w w:val="84"/>
              </w:rPr>
              <w:t>Stock</w:t>
            </w:r>
          </w:p>
        </w:tc>
        <w:tc>
          <w:tcPr>
            <w:tcW w:w="7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Option</w:t>
            </w:r>
          </w:p>
        </w:tc>
        <w:tc>
          <w:tcPr>
            <w:tcW w:w="12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Incentive</w:t>
            </w:r>
          </w:p>
        </w:tc>
        <w:tc>
          <w:tcPr>
            <w:tcW w:w="12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1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94"/>
              </w:rPr>
              <w:t>All Other</w:t>
            </w: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74"/>
        </w:trPr>
        <w:tc>
          <w:tcPr>
            <w:tcW w:w="1520" w:type="dxa"/>
            <w:vAlign w:val="bottom"/>
            <w:shd w:val="clear" w:color="auto" w:fill="CCEEFF"/>
          </w:tcPr>
          <w:p>
            <w:pPr>
              <w:ind w:left="580"/>
              <w:spacing w:after="0"/>
              <w:rPr>
                <w:sz w:val="20"/>
                <w:szCs w:val="20"/>
                <w:color w:val="auto"/>
              </w:rPr>
            </w:pPr>
            <w:r>
              <w:rPr>
                <w:rFonts w:ascii="Arial" w:cs="Arial" w:eastAsia="Arial" w:hAnsi="Arial"/>
                <w:sz w:val="13"/>
                <w:szCs w:val="13"/>
                <w:b w:val="1"/>
                <w:bCs w:val="1"/>
                <w:color w:val="auto"/>
              </w:rPr>
              <w:t>Position</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Year</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Salary $</w:t>
            </w:r>
          </w:p>
        </w:tc>
        <w:tc>
          <w:tcPr>
            <w:tcW w:w="4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5"/>
              </w:rPr>
              <w:t>Bonus $</w:t>
            </w:r>
          </w:p>
        </w:tc>
        <w:tc>
          <w:tcPr>
            <w:tcW w:w="1040" w:type="dxa"/>
            <w:vAlign w:val="bottom"/>
            <w:gridSpan w:val="2"/>
            <w:shd w:val="clear" w:color="auto" w:fill="CCEEFF"/>
          </w:tcPr>
          <w:p>
            <w:pPr>
              <w:jc w:val="center"/>
              <w:ind w:right="420"/>
              <w:spacing w:after="0"/>
              <w:rPr>
                <w:sz w:val="20"/>
                <w:szCs w:val="20"/>
                <w:color w:val="auto"/>
              </w:rPr>
            </w:pPr>
            <w:r>
              <w:rPr>
                <w:rFonts w:ascii="Arial" w:cs="Arial" w:eastAsia="Arial" w:hAnsi="Arial"/>
                <w:sz w:val="13"/>
                <w:szCs w:val="13"/>
                <w:b w:val="1"/>
                <w:bCs w:val="1"/>
                <w:color w:val="auto"/>
                <w:w w:val="86"/>
              </w:rPr>
              <w:t>Awards $</w:t>
            </w:r>
          </w:p>
        </w:tc>
        <w:tc>
          <w:tcPr>
            <w:tcW w:w="7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6"/>
              </w:rPr>
              <w:t>Awards $</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4"/>
              </w:rPr>
              <w:t>Compensation $</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7"/>
              </w:rPr>
              <w:t>Earnings $</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4"/>
              </w:rPr>
              <w:t>Compensation $</w:t>
            </w: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Total $</w:t>
            </w:r>
          </w:p>
        </w:tc>
      </w:tr>
      <w:tr>
        <w:trPr>
          <w:trHeight w:val="176"/>
        </w:trPr>
        <w:tc>
          <w:tcPr>
            <w:tcW w:w="15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70"/>
        </w:trPr>
        <w:tc>
          <w:tcPr>
            <w:tcW w:w="1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Thomas Priore</w:t>
            </w:r>
          </w:p>
        </w:tc>
        <w:tc>
          <w:tcPr>
            <w:tcW w:w="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2018</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500,000</w:t>
            </w:r>
          </w:p>
        </w:tc>
        <w:tc>
          <w:tcPr>
            <w:tcW w:w="440" w:type="dxa"/>
            <w:vAlign w:val="bottom"/>
            <w:shd w:val="clear" w:color="auto" w:fill="CCEEFF"/>
          </w:tcPr>
          <w:p>
            <w:pPr>
              <w:spacing w:after="0"/>
              <w:rPr>
                <w:sz w:val="23"/>
                <w:szCs w:val="2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400,000</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center"/>
              <w:ind w:right="400"/>
              <w:spacing w:after="0"/>
              <w:rPr>
                <w:sz w:val="20"/>
                <w:szCs w:val="20"/>
                <w:color w:val="auto"/>
              </w:rPr>
            </w:pPr>
            <w:r>
              <w:rPr>
                <w:rFonts w:ascii="Arial" w:cs="Arial" w:eastAsia="Arial" w:hAnsi="Arial"/>
                <w:sz w:val="13"/>
                <w:szCs w:val="13"/>
                <w:color w:val="auto"/>
                <w:w w:val="91"/>
              </w:rPr>
              <w:t>—</w:t>
            </w: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900,000</w:t>
            </w:r>
          </w:p>
        </w:tc>
      </w:tr>
      <w:tr>
        <w:trPr>
          <w:trHeight w:val="262"/>
        </w:trPr>
        <w:tc>
          <w:tcPr>
            <w:tcW w:w="1520" w:type="dxa"/>
            <w:vAlign w:val="bottom"/>
          </w:tcPr>
          <w:p>
            <w:pPr>
              <w:ind w:left="160"/>
              <w:spacing w:after="0"/>
              <w:rPr>
                <w:sz w:val="20"/>
                <w:szCs w:val="20"/>
                <w:color w:val="auto"/>
              </w:rPr>
            </w:pPr>
            <w:r>
              <w:rPr>
                <w:rFonts w:ascii="Arial" w:cs="Arial" w:eastAsia="Arial" w:hAnsi="Arial"/>
                <w:sz w:val="13"/>
                <w:szCs w:val="13"/>
                <w:i w:val="1"/>
                <w:iCs w:val="1"/>
                <w:color w:val="auto"/>
              </w:rPr>
              <w:t>Executive Chairman *</w:t>
            </w:r>
          </w:p>
        </w:tc>
        <w:tc>
          <w:tcPr>
            <w:tcW w:w="520" w:type="dxa"/>
            <w:vAlign w:val="bottom"/>
          </w:tcPr>
          <w:p>
            <w:pPr>
              <w:ind w:left="180"/>
              <w:spacing w:after="0"/>
              <w:rPr>
                <w:sz w:val="20"/>
                <w:szCs w:val="20"/>
                <w:color w:val="auto"/>
              </w:rPr>
            </w:pPr>
            <w:r>
              <w:rPr>
                <w:rFonts w:ascii="Arial" w:cs="Arial" w:eastAsia="Arial" w:hAnsi="Arial"/>
                <w:sz w:val="13"/>
                <w:szCs w:val="13"/>
                <w:color w:val="auto"/>
              </w:rPr>
              <w:t>2017</w:t>
            </w:r>
          </w:p>
        </w:tc>
        <w:tc>
          <w:tcPr>
            <w:tcW w:w="12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500,000</w:t>
            </w:r>
          </w:p>
        </w:tc>
        <w:tc>
          <w:tcPr>
            <w:tcW w:w="4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9"/>
              </w:rPr>
              <w:t>250,000</w:t>
            </w:r>
          </w:p>
        </w:tc>
        <w:tc>
          <w:tcPr>
            <w:tcW w:w="120" w:type="dxa"/>
            <w:vAlign w:val="bottom"/>
          </w:tcPr>
          <w:p>
            <w:pPr>
              <w:spacing w:after="0"/>
              <w:rPr>
                <w:sz w:val="22"/>
                <w:szCs w:val="22"/>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color w:val="auto"/>
                <w:w w:val="91"/>
              </w:rPr>
              <w:t>—</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1140" w:type="dxa"/>
            <w:vAlign w:val="bottom"/>
          </w:tcPr>
          <w:p>
            <w:pPr>
              <w:jc w:val="center"/>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750,000</w:t>
            </w:r>
          </w:p>
        </w:tc>
      </w:tr>
      <w:tr>
        <w:trPr>
          <w:trHeight w:val="238"/>
        </w:trPr>
        <w:tc>
          <w:tcPr>
            <w:tcW w:w="1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62"/>
        </w:trPr>
        <w:tc>
          <w:tcPr>
            <w:tcW w:w="1520" w:type="dxa"/>
            <w:vAlign w:val="bottom"/>
          </w:tcPr>
          <w:p>
            <w:pPr>
              <w:ind w:left="40"/>
              <w:spacing w:after="0"/>
              <w:rPr>
                <w:sz w:val="20"/>
                <w:szCs w:val="20"/>
                <w:color w:val="auto"/>
              </w:rPr>
            </w:pPr>
            <w:r>
              <w:rPr>
                <w:rFonts w:ascii="Arial" w:cs="Arial" w:eastAsia="Arial" w:hAnsi="Arial"/>
                <w:sz w:val="13"/>
                <w:szCs w:val="13"/>
                <w:color w:val="auto"/>
              </w:rPr>
              <w:t>John Priore</w:t>
            </w:r>
          </w:p>
        </w:tc>
        <w:tc>
          <w:tcPr>
            <w:tcW w:w="520" w:type="dxa"/>
            <w:vAlign w:val="bottom"/>
          </w:tcPr>
          <w:p>
            <w:pPr>
              <w:ind w:left="180"/>
              <w:spacing w:after="0"/>
              <w:rPr>
                <w:sz w:val="20"/>
                <w:szCs w:val="20"/>
                <w:color w:val="auto"/>
              </w:rPr>
            </w:pPr>
            <w:r>
              <w:rPr>
                <w:rFonts w:ascii="Arial" w:cs="Arial" w:eastAsia="Arial" w:hAnsi="Arial"/>
                <w:sz w:val="13"/>
                <w:szCs w:val="13"/>
                <w:color w:val="auto"/>
              </w:rPr>
              <w:t>2018</w:t>
            </w:r>
          </w:p>
        </w:tc>
        <w:tc>
          <w:tcPr>
            <w:tcW w:w="12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513,583</w:t>
            </w:r>
          </w:p>
        </w:tc>
        <w:tc>
          <w:tcPr>
            <w:tcW w:w="440" w:type="dxa"/>
            <w:vAlign w:val="bottom"/>
          </w:tcPr>
          <w:p>
            <w:pPr>
              <w:jc w:val="right"/>
              <w:ind w:right="197"/>
              <w:spacing w:after="0"/>
              <w:rPr>
                <w:sz w:val="20"/>
                <w:szCs w:val="20"/>
                <w:color w:val="auto"/>
              </w:rPr>
            </w:pPr>
            <w:r>
              <w:rPr>
                <w:rFonts w:ascii="Arial" w:cs="Arial" w:eastAsia="Arial" w:hAnsi="Arial"/>
                <w:sz w:val="13"/>
                <w:szCs w:val="13"/>
                <w:color w:val="auto"/>
              </w:rPr>
              <w:t>(1)</w:t>
            </w:r>
          </w:p>
        </w:tc>
        <w:tc>
          <w:tcPr>
            <w:tcW w:w="7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color w:val="auto"/>
                <w:w w:val="91"/>
              </w:rPr>
              <w:t>—</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50,000</w:t>
            </w:r>
          </w:p>
        </w:tc>
        <w:tc>
          <w:tcPr>
            <w:tcW w:w="100" w:type="dxa"/>
            <w:vAlign w:val="bottom"/>
          </w:tcPr>
          <w:p>
            <w:pPr>
              <w:spacing w:after="0"/>
              <w:rPr>
                <w:sz w:val="22"/>
                <w:szCs w:val="22"/>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22,143</w:t>
            </w:r>
          </w:p>
        </w:tc>
        <w:tc>
          <w:tcPr>
            <w:tcW w:w="420" w:type="dxa"/>
            <w:vAlign w:val="bottom"/>
          </w:tcPr>
          <w:p>
            <w:pPr>
              <w:jc w:val="right"/>
              <w:ind w:right="177"/>
              <w:spacing w:after="0"/>
              <w:rPr>
                <w:sz w:val="20"/>
                <w:szCs w:val="20"/>
                <w:color w:val="auto"/>
              </w:rPr>
            </w:pPr>
            <w:r>
              <w:rPr>
                <w:rFonts w:ascii="Arial" w:cs="Arial" w:eastAsia="Arial" w:hAnsi="Arial"/>
                <w:sz w:val="13"/>
                <w:szCs w:val="13"/>
                <w:color w:val="auto"/>
              </w:rPr>
              <w:t>(2)</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585,726</w:t>
            </w:r>
          </w:p>
        </w:tc>
      </w:tr>
      <w:tr>
        <w:trPr>
          <w:trHeight w:val="278"/>
        </w:trPr>
        <w:tc>
          <w:tcPr>
            <w:tcW w:w="1520" w:type="dxa"/>
            <w:vAlign w:val="bottom"/>
            <w:shd w:val="clear" w:color="auto" w:fill="CCEEFF"/>
          </w:tcPr>
          <w:p>
            <w:pPr>
              <w:ind w:left="160"/>
              <w:spacing w:after="0"/>
              <w:rPr>
                <w:sz w:val="20"/>
                <w:szCs w:val="20"/>
                <w:color w:val="auto"/>
              </w:rPr>
            </w:pPr>
            <w:r>
              <w:rPr>
                <w:rFonts w:ascii="Arial" w:cs="Arial" w:eastAsia="Arial" w:hAnsi="Arial"/>
                <w:sz w:val="13"/>
                <w:szCs w:val="13"/>
                <w:i w:val="1"/>
                <w:iCs w:val="1"/>
                <w:color w:val="auto"/>
              </w:rPr>
              <w:t>President and CEO **</w:t>
            </w:r>
          </w:p>
        </w:tc>
        <w:tc>
          <w:tcPr>
            <w:tcW w:w="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2017</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467,200</w:t>
            </w:r>
          </w:p>
        </w:tc>
        <w:tc>
          <w:tcPr>
            <w:tcW w:w="4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1040" w:type="dxa"/>
            <w:vAlign w:val="bottom"/>
            <w:gridSpan w:val="2"/>
            <w:shd w:val="clear" w:color="auto" w:fill="CCEEFF"/>
          </w:tcPr>
          <w:p>
            <w:pPr>
              <w:jc w:val="center"/>
              <w:ind w:right="400"/>
              <w:spacing w:after="0"/>
              <w:rPr>
                <w:sz w:val="20"/>
                <w:szCs w:val="20"/>
                <w:color w:val="auto"/>
              </w:rPr>
            </w:pPr>
            <w:r>
              <w:rPr>
                <w:rFonts w:ascii="Arial" w:cs="Arial" w:eastAsia="Arial" w:hAnsi="Arial"/>
                <w:sz w:val="13"/>
                <w:szCs w:val="13"/>
                <w:color w:val="auto"/>
                <w:w w:val="91"/>
              </w:rPr>
              <w:t>—</w:t>
            </w: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350,000</w:t>
            </w: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20,533</w:t>
            </w:r>
          </w:p>
        </w:tc>
        <w:tc>
          <w:tcPr>
            <w:tcW w:w="4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(3)</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837,733</w:t>
            </w:r>
          </w:p>
        </w:tc>
      </w:tr>
      <w:tr>
        <w:trPr>
          <w:trHeight w:val="216"/>
        </w:trPr>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70"/>
        </w:trPr>
        <w:tc>
          <w:tcPr>
            <w:tcW w:w="1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Afshin Yazdian</w:t>
            </w:r>
          </w:p>
        </w:tc>
        <w:tc>
          <w:tcPr>
            <w:tcW w:w="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2018</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400,000</w:t>
            </w:r>
          </w:p>
        </w:tc>
        <w:tc>
          <w:tcPr>
            <w:tcW w:w="4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1040" w:type="dxa"/>
            <w:vAlign w:val="bottom"/>
            <w:gridSpan w:val="2"/>
            <w:shd w:val="clear" w:color="auto" w:fill="CCEEFF"/>
          </w:tcPr>
          <w:p>
            <w:pPr>
              <w:jc w:val="center"/>
              <w:ind w:right="400"/>
              <w:spacing w:after="0"/>
              <w:rPr>
                <w:sz w:val="20"/>
                <w:szCs w:val="20"/>
                <w:color w:val="auto"/>
              </w:rPr>
            </w:pPr>
            <w:r>
              <w:rPr>
                <w:rFonts w:ascii="Arial" w:cs="Arial" w:eastAsia="Arial" w:hAnsi="Arial"/>
                <w:sz w:val="13"/>
                <w:szCs w:val="13"/>
                <w:color w:val="auto"/>
                <w:w w:val="91"/>
              </w:rPr>
              <w:t>—</w:t>
            </w: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180,000</w:t>
            </w:r>
          </w:p>
        </w:tc>
        <w:tc>
          <w:tcPr>
            <w:tcW w:w="1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21,713</w:t>
            </w:r>
          </w:p>
        </w:tc>
        <w:tc>
          <w:tcPr>
            <w:tcW w:w="4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(4)</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601,713</w:t>
            </w:r>
          </w:p>
        </w:tc>
      </w:tr>
      <w:tr>
        <w:trPr>
          <w:trHeight w:val="148"/>
        </w:trPr>
        <w:tc>
          <w:tcPr>
            <w:tcW w:w="1520" w:type="dxa"/>
            <w:vAlign w:val="bottom"/>
          </w:tcPr>
          <w:p>
            <w:pPr>
              <w:ind w:left="160"/>
              <w:spacing w:after="0" w:line="148" w:lineRule="exact"/>
              <w:rPr>
                <w:sz w:val="20"/>
                <w:szCs w:val="20"/>
                <w:color w:val="auto"/>
              </w:rPr>
            </w:pPr>
            <w:r>
              <w:rPr>
                <w:rFonts w:ascii="Arial" w:cs="Arial" w:eastAsia="Arial" w:hAnsi="Arial"/>
                <w:sz w:val="13"/>
                <w:szCs w:val="13"/>
                <w:i w:val="1"/>
                <w:iCs w:val="1"/>
                <w:color w:val="auto"/>
              </w:rPr>
              <w:t>President of Core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8"/>
        </w:trPr>
        <w:tc>
          <w:tcPr>
            <w:tcW w:w="1520" w:type="dxa"/>
            <w:vAlign w:val="bottom"/>
          </w:tcPr>
          <w:p>
            <w:pPr>
              <w:ind w:left="160"/>
              <w:spacing w:after="0"/>
              <w:rPr>
                <w:sz w:val="20"/>
                <w:szCs w:val="20"/>
                <w:color w:val="auto"/>
              </w:rPr>
            </w:pPr>
            <w:r>
              <w:rPr>
                <w:rFonts w:ascii="Arial" w:cs="Arial" w:eastAsia="Arial" w:hAnsi="Arial"/>
                <w:sz w:val="13"/>
                <w:szCs w:val="13"/>
                <w:i w:val="1"/>
                <w:iCs w:val="1"/>
                <w:color w:val="auto"/>
              </w:rPr>
              <w:t>Acquiring</w:t>
            </w:r>
          </w:p>
        </w:tc>
        <w:tc>
          <w:tcPr>
            <w:tcW w:w="520" w:type="dxa"/>
            <w:vAlign w:val="bottom"/>
          </w:tcPr>
          <w:p>
            <w:pPr>
              <w:ind w:left="180"/>
              <w:spacing w:after="0"/>
              <w:rPr>
                <w:sz w:val="20"/>
                <w:szCs w:val="20"/>
                <w:color w:val="auto"/>
              </w:rPr>
            </w:pPr>
            <w:r>
              <w:rPr>
                <w:rFonts w:ascii="Arial" w:cs="Arial" w:eastAsia="Arial" w:hAnsi="Arial"/>
                <w:sz w:val="13"/>
                <w:szCs w:val="13"/>
                <w:color w:val="auto"/>
              </w:rPr>
              <w:t>2017</w:t>
            </w:r>
          </w:p>
        </w:tc>
        <w:tc>
          <w:tcPr>
            <w:tcW w:w="12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381,923</w:t>
            </w:r>
          </w:p>
        </w:tc>
        <w:tc>
          <w:tcPr>
            <w:tcW w:w="44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color w:val="auto"/>
                <w:w w:val="91"/>
              </w:rPr>
              <w:t>—</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232,500</w:t>
            </w:r>
          </w:p>
        </w:tc>
        <w:tc>
          <w:tcPr>
            <w:tcW w:w="1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20,730</w:t>
            </w:r>
          </w:p>
        </w:tc>
        <w:tc>
          <w:tcPr>
            <w:tcW w:w="420" w:type="dxa"/>
            <w:vAlign w:val="bottom"/>
          </w:tcPr>
          <w:p>
            <w:pPr>
              <w:jc w:val="right"/>
              <w:ind w:right="177"/>
              <w:spacing w:after="0"/>
              <w:rPr>
                <w:sz w:val="20"/>
                <w:szCs w:val="20"/>
                <w:color w:val="auto"/>
              </w:rPr>
            </w:pPr>
            <w:r>
              <w:rPr>
                <w:rFonts w:ascii="Arial" w:cs="Arial" w:eastAsia="Arial" w:hAnsi="Arial"/>
                <w:sz w:val="13"/>
                <w:szCs w:val="13"/>
                <w:color w:val="auto"/>
              </w:rPr>
              <w:t>(5)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635,153</w:t>
            </w:r>
          </w:p>
        </w:tc>
      </w:tr>
      <w:tr>
        <w:trPr>
          <w:trHeight w:val="197"/>
        </w:trPr>
        <w:tc>
          <w:tcPr>
            <w:tcW w:w="1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62"/>
        </w:trPr>
        <w:tc>
          <w:tcPr>
            <w:tcW w:w="1520" w:type="dxa"/>
            <w:vAlign w:val="bottom"/>
          </w:tcPr>
          <w:p>
            <w:pPr>
              <w:ind w:left="40"/>
              <w:spacing w:after="0"/>
              <w:rPr>
                <w:sz w:val="20"/>
                <w:szCs w:val="20"/>
                <w:color w:val="auto"/>
              </w:rPr>
            </w:pPr>
            <w:r>
              <w:rPr>
                <w:rFonts w:ascii="Arial" w:cs="Arial" w:eastAsia="Arial" w:hAnsi="Arial"/>
                <w:sz w:val="13"/>
                <w:szCs w:val="13"/>
                <w:color w:val="auto"/>
              </w:rPr>
              <w:t>Michael Vollkommer</w:t>
            </w:r>
          </w:p>
        </w:tc>
        <w:tc>
          <w:tcPr>
            <w:tcW w:w="520" w:type="dxa"/>
            <w:vAlign w:val="bottom"/>
          </w:tcPr>
          <w:p>
            <w:pPr>
              <w:ind w:left="180"/>
              <w:spacing w:after="0"/>
              <w:rPr>
                <w:sz w:val="20"/>
                <w:szCs w:val="20"/>
                <w:color w:val="auto"/>
              </w:rPr>
            </w:pPr>
            <w:r>
              <w:rPr>
                <w:rFonts w:ascii="Arial" w:cs="Arial" w:eastAsia="Arial" w:hAnsi="Arial"/>
                <w:sz w:val="13"/>
                <w:szCs w:val="13"/>
                <w:color w:val="auto"/>
              </w:rPr>
              <w:t>2018</w:t>
            </w:r>
          </w:p>
        </w:tc>
        <w:tc>
          <w:tcPr>
            <w:tcW w:w="12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16,346</w:t>
            </w:r>
          </w:p>
        </w:tc>
        <w:tc>
          <w:tcPr>
            <w:tcW w:w="440" w:type="dxa"/>
            <w:vAlign w:val="bottom"/>
          </w:tcPr>
          <w:p>
            <w:pPr>
              <w:spacing w:after="0"/>
              <w:rPr>
                <w:sz w:val="22"/>
                <w:szCs w:val="22"/>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750,000  (6)</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1140" w:type="dxa"/>
            <w:vAlign w:val="bottom"/>
          </w:tcPr>
          <w:p>
            <w:pPr>
              <w:jc w:val="center"/>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750,000</w:t>
            </w:r>
          </w:p>
        </w:tc>
      </w:tr>
      <w:tr>
        <w:trPr>
          <w:trHeight w:val="278"/>
        </w:trPr>
        <w:tc>
          <w:tcPr>
            <w:tcW w:w="1520" w:type="dxa"/>
            <w:vAlign w:val="bottom"/>
            <w:shd w:val="clear" w:color="auto" w:fill="CCEEFF"/>
          </w:tcPr>
          <w:p>
            <w:pPr>
              <w:ind w:left="160"/>
              <w:spacing w:after="0"/>
              <w:rPr>
                <w:sz w:val="20"/>
                <w:szCs w:val="20"/>
                <w:color w:val="auto"/>
              </w:rPr>
            </w:pPr>
            <w:r>
              <w:rPr>
                <w:rFonts w:ascii="Arial" w:cs="Arial" w:eastAsia="Arial" w:hAnsi="Arial"/>
                <w:sz w:val="13"/>
                <w:szCs w:val="13"/>
                <w:i w:val="1"/>
                <w:iCs w:val="1"/>
                <w:color w:val="auto"/>
              </w:rPr>
              <w:t>Chief Financial Officer</w:t>
            </w:r>
          </w:p>
        </w:tc>
        <w:tc>
          <w:tcPr>
            <w:tcW w:w="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2017</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0</w:t>
            </w:r>
          </w:p>
        </w:tc>
        <w:tc>
          <w:tcPr>
            <w:tcW w:w="4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1040" w:type="dxa"/>
            <w:vAlign w:val="bottom"/>
            <w:gridSpan w:val="2"/>
            <w:shd w:val="clear" w:color="auto" w:fill="CCEEFF"/>
          </w:tcPr>
          <w:p>
            <w:pPr>
              <w:jc w:val="center"/>
              <w:ind w:right="400"/>
              <w:spacing w:after="0"/>
              <w:rPr>
                <w:sz w:val="20"/>
                <w:szCs w:val="20"/>
                <w:color w:val="auto"/>
              </w:rPr>
            </w:pPr>
            <w:r>
              <w:rPr>
                <w:rFonts w:ascii="Arial" w:cs="Arial" w:eastAsia="Arial" w:hAnsi="Arial"/>
                <w:sz w:val="13"/>
                <w:szCs w:val="13"/>
                <w:color w:val="auto"/>
                <w:w w:val="91"/>
              </w:rPr>
              <w:t>—</w:t>
            </w: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r>
    </w:tbl>
    <w:p>
      <w:pPr>
        <w:spacing w:after="0" w:line="206" w:lineRule="exact"/>
        <w:rPr>
          <w:sz w:val="20"/>
          <w:szCs w:val="20"/>
          <w:color w:val="auto"/>
        </w:rPr>
      </w:pPr>
    </w:p>
    <w:p>
      <w:pPr>
        <w:ind w:left="660" w:right="3580" w:hanging="4"/>
        <w:spacing w:after="0" w:line="310" w:lineRule="auto"/>
        <w:tabs>
          <w:tab w:leader="none" w:pos="782" w:val="left"/>
        </w:tabs>
        <w:numPr>
          <w:ilvl w:val="0"/>
          <w:numId w:val="13"/>
        </w:numPr>
        <w:rPr>
          <w:rFonts w:ascii="Arial" w:cs="Arial" w:eastAsia="Arial" w:hAnsi="Arial"/>
          <w:sz w:val="15"/>
          <w:szCs w:val="15"/>
          <w:color w:val="auto"/>
        </w:rPr>
      </w:pPr>
      <w:r>
        <w:rPr>
          <w:rFonts w:ascii="Arial" w:cs="Arial" w:eastAsia="Arial" w:hAnsi="Arial"/>
          <w:sz w:val="15"/>
          <w:szCs w:val="15"/>
          <w:color w:val="auto"/>
        </w:rPr>
        <w:t>Executive Chairman in 2017 and, as of December 1, 2018, President, Chief Executive Officer and Chairman. ** President and Chief Executive Officer in 2017 and, as of December 1, 2018, Vice-Chairman.</w:t>
      </w:r>
    </w:p>
    <w:p>
      <w:pPr>
        <w:spacing w:after="0" w:line="149" w:lineRule="exact"/>
        <w:rPr>
          <w:sz w:val="20"/>
          <w:szCs w:val="20"/>
          <w:color w:val="auto"/>
        </w:rPr>
      </w:pPr>
    </w:p>
    <w:p>
      <w:pPr>
        <w:ind w:left="880" w:hanging="224"/>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Salary includes $20,833 in director fees paid to Mr. John Priore in his capacity as Vice-Chairman.</w:t>
      </w:r>
    </w:p>
    <w:p>
      <w:pPr>
        <w:spacing w:after="0" w:line="19" w:lineRule="exact"/>
        <w:rPr>
          <w:rFonts w:ascii="Arial" w:cs="Arial" w:eastAsia="Arial" w:hAnsi="Arial"/>
          <w:sz w:val="16"/>
          <w:szCs w:val="16"/>
          <w:color w:val="auto"/>
        </w:rPr>
      </w:pPr>
    </w:p>
    <w:p>
      <w:pPr>
        <w:ind w:left="660" w:hanging="4"/>
        <w:spacing w:after="0" w:line="246" w:lineRule="auto"/>
        <w:tabs>
          <w:tab w:leader="none" w:pos="8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(i) Priority's payment of Mr. John Priore's health insurance premiums in the amount of $9,653 and (ii) a 401(k) plan matching contribution in the amount of $11,000.</w:t>
      </w:r>
    </w:p>
    <w:p>
      <w:pPr>
        <w:ind w:left="660" w:hanging="4"/>
        <w:spacing w:after="0" w:line="246" w:lineRule="auto"/>
        <w:tabs>
          <w:tab w:leader="none" w:pos="8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(i) Priority's payment of Mr. John Priore's health insurance premiums in the amount of $9,933 and (ii) a 401(k) plan matching contribution in the amount of $10,600.</w:t>
      </w:r>
    </w:p>
    <w:p>
      <w:pPr>
        <w:ind w:left="660" w:hanging="4"/>
        <w:spacing w:after="0" w:line="246" w:lineRule="auto"/>
        <w:tabs>
          <w:tab w:leader="none" w:pos="8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(i) Priority's payment of Mr. Yazdian's health insurance premiums in the amount of $10,137 and (ii) a 401(k) plan matching contribution in the amount of $11,000.</w:t>
      </w:r>
    </w:p>
    <w:p>
      <w:pPr>
        <w:ind w:left="660" w:hanging="4"/>
        <w:spacing w:after="0" w:line="246" w:lineRule="auto"/>
        <w:tabs>
          <w:tab w:leader="none" w:pos="8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(i) Priority's payment of Mr. Yazdian's health insurance premiums in the amount of $10,130 and (ii) a 401(k) plan matching contribution in the amount of $10,600.</w:t>
      </w:r>
    </w:p>
    <w:p>
      <w:pPr>
        <w:jc w:val="both"/>
        <w:ind w:left="660" w:hanging="4"/>
        <w:spacing w:after="0" w:line="250" w:lineRule="auto"/>
        <w:tabs>
          <w:tab w:leader="none" w:pos="8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Pursuant to the terms of an employment agreement and an equity award agreement executed in December 2018 between the Company and Mr. Vollkommer, the Board granted restricted stock units for 107,143 shares of the Company's common stock with a grant-date fair value of $750,000. At vesting of the award, the Company has not guaranteed that the vested award will have any specific monetary value, nor may Mr. Vollkommer or the Company elect settlement in any deliverable other than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Thomas Priore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Thomas Priore is party to a director agreement among the Priority Payment Systems Holdings LLC and Pipeline Cynergy Holdings, LLC (together referred to as the "Employers") and Priority, dated May 21, 2014 (which we refer to as the "Thomas Priore Director Agreement"). In 2017 and through November 30, 2018, he served as Executive Chairman of Priority as an independent contractor. Effective December 1, 2018, he also became our President and Chief Executive Officer. He is eligible to receive a monthly fee in the amount of $41,667 and a discretionary annual fee in an amount up to $400,000. Payment of the monthly fee is subject to applicable restrictions under the debt and equity financing agreements of the Employers. In the event any such restrictions prohibit payment of the monthly fee such amount will accrue interest at a rate of 6% per annum until such amount is permitted to be paid. The Thomas Priore Director Agreement may be terminated at any time by mutual written agreement of the parties or by any party for cause in the event the other party materially breaches its duties and obligations or is in default of any obligation. Upon any termination of the Thomas Priore Director Agreement, Mr. Thomas Priore will remain eligible to continue to receive the monthly fee and the annual fee for so long as he and his affiliates own at least 10% of the outstanding common equity interests of Priority on a fully diluted basis.</w:t>
      </w: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John Priore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Until November 30, 2018, Mr. John Priore served as our President and Chief Executive Officer. Effective as of December 1, 2018, Mr. John Priore was appointed as our Vice-Chairman.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John Priore has been a party to an employment agreement among the Employers, and Priority, dated May 21, 2014 (which we refer to as the "John Priore Employment Agreement"). In connection with the change in Mr. John Priore's position with us, Mr. John Priore entered into an amendment to the John Priore Employment Agreement, dated November 13, 2018 (which we refer to as the "Priore Amendment") as well as a new Director Agreement with the Company, dated December 1, 2018 (which we refer to as the "John Priore Director Agreement").</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John Priore Director Agreement and the John Priore Employment Agreement, as amended by the Priore Amendment, Mr. John Priore will receive a monthly fee of $20,833.34 ($250,000 per year) as Vice-Chairman. He is also eligible to receive a performance fee of up to $12,500 per quarter (up to $50,000 per year) and an additional annual fee of up to $50,000, each in the discretion of our Board. Payment of the monthly fee is subject to applicable restrictions under the debt and equity financing agreements of the Company and its subsidiaries. If such restrictions prohibit payment of the monthly fee such amount will accrue interest at a rate of 6% per annum until such amount is permitted to be paid. The John Priore Director Agreement may be terminated at any time by mutual written agreement of the parties or by any party for cause in the event the other party materially breaches its duties and obligations or is in default of any obligation. If Mr. John Priore ceases to be a director of the Company for any reason other than a reason that would constitute a removal for Cause (as provided under the John Priore Employment Agreement) prior to November 30, 2020, Mr. John Priore will receive a lump sum equal to the monthly fee that he would have been entitled to receive through November 30, 2020, subject to his compliance with restrictive covenants included in the John Priore Employment Agreement.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John Priore Employment Agreement, as amended by the Priore Amendment, with respect to equity securities of the Company held by Mr. John Priore, in any year following a termination of Mr. John Priore's service, either (1) the Company may repurchase up to $2.0 million of equity securities of the Company held by Mr. John Priore unless Mr. John Priore beneficially owns less than 5% of the Company's outstanding equity, or (2) Mr. John Priore may require the Company purchase up to $2.0 million of equity securities of the Company held by him unless Mr. John Priore beneficially owns less than 5% of the Company's outstanding equity or the Company files a resale registration statement allowing him to sell at least $2.0 million of equity securities on NASDAQ.</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John Priore Employment Agreement, Mr. John Priore had received an annual base salary ($467,200 per year in 2017 and $492,750 per year in 2018) and was eligible for an annual bonus prior to Mr. John Priore's appointment as our Vice-Chairman on December 1, 2018. Mr. John Priore's annual bonus had a target payment of at least 70% of his base salary based on the achievement of performance criteria, which could be increased to 100% of his base salary in the discretion of our Board if such performance criteria are achieved. For 2017, the performance criteria for Mr. John Priore's annual bonus was achievement of a total company recurring operating margin greater than or equal to $56,265,000. The actual amount achieved was $59,206,617, resulting in a bonus in the amount of $327,040, and our Board exercised its discretion to increase the total amount of Mr. John Priore's 2017 annual bonus to $350,000.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John Priore Employment Agreement also provided that, in the event of Mr. John Priore's termination of employment by the Employers without Cause or if he resigned for Good Reason, then subject to his execution of a release and compliance with restrictive covenants set forth in the John Priore Employment Agreement, he would have been entitled to:</w:t>
      </w:r>
    </w:p>
    <w:p>
      <w:pPr>
        <w:spacing w:after="0" w:line="181" w:lineRule="exact"/>
        <w:rPr>
          <w:sz w:val="20"/>
          <w:szCs w:val="20"/>
          <w:color w:val="auto"/>
        </w:rPr>
      </w:pPr>
    </w:p>
    <w:p>
      <w:pPr>
        <w:ind w:left="660" w:right="2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severance payments equal to the sum of 24 months of his base salary plus 35% of his base salary (increased to 75% if such termination occurs within 6 months prior to a change in control of Priority), payable for a period of 24 months;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reimbursement of the cost of continuation coverage of health and dental coverage for a period of 24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John Priore Employment Agreement, "Cause" generally means Mr. John Priore's:</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material breach of the John Priore Employment Agreement;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fraud;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negligence, willful misconduct, or material dishonesty;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follow the reasonable direction of any individual or board to which he reports;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final conviction of a felony or crime involving moral turpitude.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John Priore Employment Agreement, "Good Reason" generally means: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material reduction in his then current authority, title, duties, or responsibilities;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material reduction in his then current base salary or benefits that he was entitled to on May 21,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requirement that he report to any person or entity other than our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material breach of the John Priore Employment Agreement by the Employers;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material change in geographic location at which he must perform services for the Employers;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Employers, with the actual knowledge of our Board, provide processing services with respect to adult entertainment merchant accounts; or</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successor's failure to assume the John Priore Employment Agreement in writing.</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Afshin Yazdian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Yazdian is party to an employment agreement among the Employers and Priority, dated May 21, 2014 (which we refer to as the "Yazdian Employment Agreement"). The Yazdian Employment Agreement provides for a term that will expire on October 16, 2018, and thereafter automatically renew for additional one-year periods unless either party provides written notice at least 90 days prior to the end of the then term.</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Yazdian Employment Agreement, Mr. Yazdian receives an annual base salary (currently $410,010 per year) and the Employers pay 100% of all insurance premiums for Mr. Yazdian, his spouse and eligible children under the Employers' employee benefit plans. Mr. Yazdian is eligible to receive an annual bonus targeted at 50% of his base salary based on the achievement of performance criteria, which may be increased up to a maximum of 65% of his base salary at the discretion of our Board if such performance criteria are achieved. For 2017, the performance criteria for Mr. Yazdian's annual bonus was achievement of a core acquiring recurring operating margin greater than or equal to $51,893,293. The actual amount achieved was $56,927,930, resulting in a bonus in the amount of $204,995, and our Board exercised its discretion to increase the total amount of Mr. Yazdian's 2017 annual bonus to $232,500.</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Yazdian Employment Agreement, in the event of his termination of employment by the Employers without Cause or due to a notice by the Employers of non-renewal of the Yazdian Employment Agreement, or by Mr. Yazdian for Good Reason, subject to his execution of a release, he will be entitled to:</w:t>
      </w:r>
    </w:p>
    <w:p>
      <w:pPr>
        <w:spacing w:after="0" w:line="18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severance payments equal to 12 months of his base salary payable for a period of 12 months;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pro-rata portion of any earned but unpaid annual bonus for the year of termination;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reimbursement of the cost of continuation coverage of health coverage for a period of 12 months.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event of a termination of Mr. Yazdian's employment due to his death or disability, subject to his execution of a release, Mr. Yazdian will be entitled to a pro-rata portion of any earned but unpaid annual bonus for the year of termination.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Yazdian Employment Agreement, "Cause" generally means Mr. Yazdian's: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commission of or being charged with the commission of a felony, or any crime involving theft, fraud, dishonesty or moral turpitude;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gross negligence or any intentional act of fraud or misconduct;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material breach of the Yazdian Employment Agreement, or any other agreement with the Employers;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breach of fiduciary duties owed to the Employers;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willful and continued disregard of the lawful and reasonable directives of our Board clearly communicated to him.</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purposes of the Yazdian Employment Agreement, "Good Reason" generally means: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reduction in his base salary, or 50% bonus target below those existing on May 21, 2014;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change in his title or reporting responsibilities such that he no longer reports to our Board or the chief executive officer of the Employers;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requirement that he relocate outside of the Nashville, Tennessee metropolitan area or such other location reasonably determined by Mr. Yazdian;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material breach of the Yazdian Employment Agreement by the Employers;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successor's failure to assume and agree to perform the obligations in the Yazdian Employment Agreement.</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Michael Vollkommer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Mr. Michael Vollkommer was appointed as our Chief Financial Officer, effective as of December 3, 2018. On December 21, 2018, Priority and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Vollkommer entered into an Executive Employment Agreement (the "Vollkommer Employment Agreement") dated as of December 20, 2018.</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Vollkommer Employment Agreement, Mr. Vollkommer's receives an annual base salary ($425,000 in 2018) and, commencing in 2019, is eligible for an annual discretionary bonus ranging from 25%-50% of Mr. Vollkommer's annual base salary. Mr. Vollkommer also received a restricted stock unit award in December 2018 with a grant-date fair value $750,000, subject to a two-year service vesting schedule. Mr. Vollkommer is also eligible to receive an annual award of restricted stock units with a value of up to $750,000 on each of the first four anniversary dates of his hiring as our Chief Financial Officer, each of which would be subject to a two-year service vesting schedule.</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Mr. Vollkommer is terminated for any reason other than Cause or if Mr. Vollkommer terminates his employment for Good Reason, then subject to his execution of a release, he would be entitled to continued payment of his base salary for a period of six months following the date of his 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Vollkommer Employment Agreement, "Cause" generally means Mr. Vollkommer's:</w:t>
      </w:r>
    </w:p>
    <w:p>
      <w:pPr>
        <w:spacing w:after="0" w:line="225" w:lineRule="exact"/>
        <w:rPr>
          <w:sz w:val="20"/>
          <w:szCs w:val="20"/>
          <w:color w:val="auto"/>
        </w:rPr>
      </w:pPr>
    </w:p>
    <w:p>
      <w:pPr>
        <w:ind w:left="660" w:right="720" w:hanging="328"/>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arbitrary, unreasonable or willful failure to perform, in any material respect, the duties and responsibilities required under the Vollkommer Employment Agreement and assigned by the Executive Chairman from time to time (including, without limitation, continuous constructive collaboration with the Executive Chairman and other members of the management team);</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negligence or willful misconduct in the performance of Mr. Vollkommer's duties under the Vollkommer Employment Agreement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commission of an act constituting fraud, embezzlement, breach of any fiduciary duty owed to Priority or its stockholders or other material dishonesty with respect to Priority;</w:t>
      </w:r>
    </w:p>
    <w:p>
      <w:pPr>
        <w:ind w:left="660" w:right="24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conviction of, or the filing of a plea of nolo contendere or its equivalent, with respect to a felony or any other crime involving dishonesty or moral turpitude; or</w:t>
      </w:r>
    </w:p>
    <w:p>
      <w:pPr>
        <w:ind w:left="660" w:right="20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substance abuse (for the purposes of the Vollkommer Employment Agreement substance abuse is the use of alcohol or illegal substances including misuse of otherwise legally obtained medications that otherwise interferes with Mr. Vollkommer's ability to perform the functions of the position) that is materially injurious to Priority (whether from a monetary perspective or otherwise); or</w:t>
      </w:r>
    </w:p>
    <w:p>
      <w:pPr>
        <w:spacing w:after="0" w:line="1" w:lineRule="exact"/>
        <w:rPr>
          <w:rFonts w:ascii="Arial" w:cs="Arial" w:eastAsia="Arial" w:hAnsi="Arial"/>
          <w:sz w:val="18"/>
          <w:szCs w:val="18"/>
          <w:color w:val="auto"/>
        </w:rPr>
      </w:pPr>
    </w:p>
    <w:p>
      <w:pPr>
        <w:ind w:left="660" w:right="42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material breach of Mr. Vollkommer's obligations under the Vollkommer Employment Agreement or Employee Confidentiality, Assignment of Inventions, and Non-Solicitation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Vollkommer Employment Agreement, "Good Reason" generally means:</w:t>
      </w:r>
    </w:p>
    <w:p>
      <w:pPr>
        <w:spacing w:after="0" w:line="225" w:lineRule="exact"/>
        <w:rPr>
          <w:sz w:val="20"/>
          <w:szCs w:val="20"/>
          <w:color w:val="auto"/>
        </w:rPr>
      </w:pPr>
    </w:p>
    <w:p>
      <w:pPr>
        <w:ind w:left="660" w:right="2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Priority reduces Mr. Vollkommer's base salary or benefits (other than in connection with a proportional reduction of the base salaries or benefits in excess of twenty percent (20%) of all executive employees of Priority);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Priority materially breaches any of compensation provisions in the Vollkommer Employment Agreement, or otherwise requires Mr. Vollkommer to report to a senior executive other than the Chairman of the Board or the Chief Executive Officer.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Priority maintains a tax-qualified 401(k) defined contribution plan available to substantially all of our employees. The 401(k) plan is available on the same terms to all of its U.S. employees, including Mr. Yazdian and Mr. Vollkommer and, prior to becoming an independent contractor on December 1, 2018, Mr. John Priore. Prior to December 1, 2018, Mr. Thomas Priore served Priority as an independent contractor and was therefore not eligible to participate in the 401(k) plan. Each participant may elect to make a voluntary contribution of an amount between 0% to 100% of his or her eligible compensation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DIRECTORS</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the compensation received by Mr. Thomas Priore and Mr. John Priore as previously described herein, no director of Priority received compensation for his or her services to Priority for the year ended December 31, 2017. The following table presents summary information regarding the total compensation for Priority's year ended December 31, 2018 for our non-employee directors:</w:t>
      </w:r>
    </w:p>
    <w:p>
      <w:pPr>
        <w:spacing w:after="0" w:line="32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5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center"/>
              <w:ind w:left="28"/>
              <w:spacing w:after="0"/>
              <w:rPr>
                <w:sz w:val="20"/>
                <w:szCs w:val="20"/>
                <w:color w:val="auto"/>
              </w:rPr>
            </w:pPr>
            <w:r>
              <w:rPr>
                <w:rFonts w:ascii="Arial" w:cs="Arial" w:eastAsia="Arial" w:hAnsi="Arial"/>
                <w:sz w:val="14"/>
                <w:szCs w:val="14"/>
                <w:b w:val="1"/>
                <w:bCs w:val="1"/>
                <w:color w:val="auto"/>
                <w:w w:val="91"/>
              </w:rPr>
              <w:t>Fees Earned</w:t>
            </w:r>
          </w:p>
        </w:tc>
        <w:tc>
          <w:tcPr>
            <w:tcW w:w="8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Change in Pension</w:t>
            </w:r>
          </w:p>
        </w:tc>
        <w:tc>
          <w:tcPr>
            <w:tcW w:w="1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380" w:type="dxa"/>
            <w:vAlign w:val="bottom"/>
            <w:vMerge w:val="continue"/>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2"/>
              </w:rPr>
              <w:t>Value and Non-</w:t>
            </w: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vMerge w:val="restart"/>
            <w:shd w:val="clear" w:color="auto" w:fill="CCEEFF"/>
          </w:tcPr>
          <w:p>
            <w:pPr>
              <w:ind w:left="260"/>
              <w:spacing w:after="0"/>
              <w:rPr>
                <w:sz w:val="20"/>
                <w:szCs w:val="20"/>
                <w:color w:val="auto"/>
              </w:rPr>
            </w:pPr>
            <w:r>
              <w:rPr>
                <w:rFonts w:ascii="Arial" w:cs="Arial" w:eastAsia="Arial" w:hAnsi="Arial"/>
                <w:sz w:val="14"/>
                <w:szCs w:val="14"/>
                <w:b w:val="1"/>
                <w:bCs w:val="1"/>
                <w:color w:val="auto"/>
              </w:rPr>
              <w:t>Name of Director</w:t>
            </w:r>
          </w:p>
        </w:tc>
        <w:tc>
          <w:tcPr>
            <w:tcW w:w="110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or Paid in</w:t>
            </w:r>
          </w:p>
        </w:tc>
        <w:tc>
          <w:tcPr>
            <w:tcW w:w="860" w:type="dxa"/>
            <w:vAlign w:val="bottom"/>
            <w:vMerge w:val="continue"/>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5"/>
              </w:rPr>
              <w:t>qualified Deferred</w:t>
            </w:r>
          </w:p>
        </w:tc>
        <w:tc>
          <w:tcPr>
            <w:tcW w:w="1440" w:type="dxa"/>
            <w:vAlign w:val="bottom"/>
            <w:vMerge w:val="continue"/>
            <w:shd w:val="clear" w:color="auto" w:fill="CCEEFF"/>
          </w:tcPr>
          <w:p>
            <w:pPr>
              <w:spacing w:after="0"/>
              <w:rPr>
                <w:sz w:val="12"/>
                <w:szCs w:val="12"/>
                <w:color w:val="auto"/>
              </w:rPr>
            </w:pPr>
          </w:p>
        </w:tc>
        <w:tc>
          <w:tcPr>
            <w:tcW w:w="88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8"/>
        </w:trPr>
        <w:tc>
          <w:tcPr>
            <w:tcW w:w="1540" w:type="dxa"/>
            <w:vAlign w:val="bottom"/>
            <w:vMerge w:val="continue"/>
            <w:shd w:val="clear" w:color="auto" w:fill="CCEEFF"/>
          </w:tcPr>
          <w:p>
            <w:pPr>
              <w:spacing w:after="0"/>
              <w:rPr>
                <w:sz w:val="17"/>
                <w:szCs w:val="17"/>
                <w:color w:val="auto"/>
              </w:rPr>
            </w:pPr>
          </w:p>
        </w:tc>
        <w:tc>
          <w:tcPr>
            <w:tcW w:w="1100" w:type="dxa"/>
            <w:vAlign w:val="bottom"/>
            <w:shd w:val="clear" w:color="auto" w:fill="CCEEFF"/>
          </w:tcPr>
          <w:p>
            <w:pPr>
              <w:jc w:val="center"/>
              <w:ind w:left="8"/>
              <w:spacing w:after="0"/>
              <w:rPr>
                <w:sz w:val="20"/>
                <w:szCs w:val="20"/>
                <w:color w:val="auto"/>
              </w:rPr>
            </w:pPr>
            <w:r>
              <w:rPr>
                <w:rFonts w:ascii="Arial" w:cs="Arial" w:eastAsia="Arial" w:hAnsi="Arial"/>
                <w:sz w:val="14"/>
                <w:szCs w:val="14"/>
                <w:b w:val="1"/>
                <w:bCs w:val="1"/>
                <w:color w:val="auto"/>
                <w:w w:val="91"/>
              </w:rPr>
              <w:t>Cash $</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Awards $</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Awards $</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Compensation $</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Compensation $</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Compensation $</w:t>
            </w: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 Manuel</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21,625</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21,625</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William Gahan</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21,625</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21,625</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Matthew Kearney</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32,987</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Director Compensation Table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19, 2018, we entered into agreements with each of our independent directors - Marc Manuel, William Gahan, and Matthew Kearney - pursuant to which, commencing as of July 25, 2018, they receive cash compensation of $50,000 per year, payable in monthly installments. Payment of each installment of the annual fee is subject to applicable restrictions under the debt and equity financing agreements of the Company and its subsidiaries. In the event any such restrictions prohibit payment of an installment of the annual fee such amount will accrue interest at a rate of 6% per annum until such amount is permitted to be paid. In addition, pursuant to Mr. Kearney's agreement, Mr. Kearney will receive an additional $25,000 per year, payable in monthly cash installments, for serving as chair of our Audit Committee. Each of our independent directors are also reimbursed for reasonable and documented out-of-pocket expenses incurred by them in the performance of their duties.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2018 YEAR END</w:t>
      </w:r>
    </w:p>
    <w:p>
      <w:pPr>
        <w:spacing w:after="0" w:line="200" w:lineRule="exact"/>
        <w:rPr>
          <w:sz w:val="20"/>
          <w:szCs w:val="20"/>
          <w:color w:val="auto"/>
        </w:rPr>
      </w:pPr>
    </w:p>
    <w:p>
      <w:pPr>
        <w:spacing w:after="0" w:line="24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following table provides information regarding unexercised stock options, stock that has not yet vested, and equity incentive plan awards for each NEO outstanding as of the end of 2018. Each outstanding award is represented by a separate row that indicates the number of securities underlying the award.</w:t>
      </w:r>
    </w:p>
    <w:p>
      <w:pPr>
        <w:spacing w:after="0" w:line="273" w:lineRule="exact"/>
        <w:rPr>
          <w:sz w:val="20"/>
          <w:szCs w:val="20"/>
          <w:color w:val="auto"/>
        </w:rPr>
      </w:pPr>
    </w:p>
    <w:tbl>
      <w:tblPr>
        <w:tblLayout w:type="fixed"/>
        <w:tblInd w:w="360" w:type="dxa"/>
        <w:tblCellMar>
          <w:top w:w="0" w:type="dxa"/>
          <w:left w:w="0" w:type="dxa"/>
          <w:bottom w:w="0" w:type="dxa"/>
          <w:right w:w="0" w:type="dxa"/>
        </w:tblCellMar>
      </w:tblPr>
      <w:tr>
        <w:trPr>
          <w:trHeight w:val="264"/>
        </w:trPr>
        <w:tc>
          <w:tcPr>
            <w:tcW w:w="184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580" w:type="dxa"/>
            <w:vAlign w:val="bottom"/>
            <w:tcBorders>
              <w:bottom w:val="single" w:sz="8" w:color="auto"/>
            </w:tcBorders>
            <w:gridSpan w:val="4"/>
            <w:shd w:val="clear" w:color="auto" w:fill="CCEEFF"/>
          </w:tcPr>
          <w:p>
            <w:pPr>
              <w:ind w:left="1080"/>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94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Stock Awards</w:t>
            </w: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Equity</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Equity Incentive</w:t>
            </w:r>
          </w:p>
        </w:tc>
        <w:tc>
          <w:tcPr>
            <w:tcW w:w="3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3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Unearned</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Number of Unearned</w:t>
            </w:r>
          </w:p>
        </w:tc>
        <w:tc>
          <w:tcPr>
            <w:tcW w:w="3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of Stock,</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08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of Stock,</w:t>
            </w:r>
          </w:p>
        </w:tc>
        <w:tc>
          <w:tcPr>
            <w:tcW w:w="3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40" w:type="dxa"/>
            <w:vAlign w:val="bottom"/>
            <w:gridSpan w:val="2"/>
            <w:vMerge w:val="continue"/>
          </w:tcPr>
          <w:p>
            <w:pPr>
              <w:spacing w:after="0"/>
              <w:rPr>
                <w:sz w:val="12"/>
                <w:szCs w:val="12"/>
                <w:color w:val="auto"/>
              </w:rPr>
            </w:pPr>
          </w:p>
        </w:tc>
        <w:tc>
          <w:tcPr>
            <w:tcW w:w="1080" w:type="dxa"/>
            <w:vAlign w:val="bottom"/>
            <w:tcBorders>
              <w:right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Units, or Other</w:t>
            </w:r>
          </w:p>
        </w:tc>
        <w:tc>
          <w:tcPr>
            <w:tcW w:w="3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0" w:type="dxa"/>
            <w:vAlign w:val="bottom"/>
          </w:tcPr>
          <w:p>
            <w:pPr>
              <w:spacing w:after="0"/>
              <w:rPr>
                <w:sz w:val="1"/>
                <w:szCs w:val="1"/>
                <w:color w:val="auto"/>
              </w:rPr>
            </w:pPr>
          </w:p>
        </w:tc>
      </w:tr>
      <w:tr>
        <w:trPr>
          <w:trHeight w:val="149"/>
        </w:trPr>
        <w:tc>
          <w:tcPr>
            <w:tcW w:w="1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Options</w:t>
            </w: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Unearned</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tcBorders>
              <w:right w:val="single" w:sz="8" w:color="auto"/>
            </w:tcBorders>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3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Not Yet Vested ($)</w:t>
            </w:r>
          </w:p>
        </w:tc>
        <w:tc>
          <w:tcPr>
            <w:tcW w:w="0" w:type="dxa"/>
            <w:vAlign w:val="bottom"/>
          </w:tcPr>
          <w:p>
            <w:pPr>
              <w:spacing w:after="0"/>
              <w:rPr>
                <w:sz w:val="1"/>
                <w:szCs w:val="1"/>
                <w:color w:val="auto"/>
              </w:rPr>
            </w:pPr>
          </w:p>
        </w:tc>
      </w:tr>
      <w:tr>
        <w:trPr>
          <w:trHeight w:val="192"/>
        </w:trPr>
        <w:tc>
          <w:tcPr>
            <w:tcW w:w="1840" w:type="dxa"/>
            <w:vAlign w:val="bottom"/>
            <w:vMerge w:val="continue"/>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(Exercisable) (#)</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(Unexercisable) (#)</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 (#)</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Price ($)</w:t>
            </w:r>
          </w:p>
        </w:tc>
        <w:tc>
          <w:tcPr>
            <w:tcW w:w="10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Not Yet Vested (#)</w:t>
            </w:r>
          </w:p>
        </w:tc>
        <w:tc>
          <w:tcPr>
            <w:tcW w:w="3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0" w:type="dxa"/>
            <w:vAlign w:val="bottom"/>
          </w:tcPr>
          <w:p>
            <w:pPr>
              <w:spacing w:after="0"/>
              <w:rPr>
                <w:sz w:val="1"/>
                <w:szCs w:val="1"/>
                <w:color w:val="auto"/>
              </w:rPr>
            </w:pPr>
          </w:p>
        </w:tc>
      </w:tr>
      <w:tr>
        <w:trPr>
          <w:trHeight w:val="162"/>
        </w:trPr>
        <w:tc>
          <w:tcPr>
            <w:tcW w:w="184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840" w:type="dxa"/>
            <w:vAlign w:val="bottom"/>
          </w:tcPr>
          <w:p>
            <w:pPr>
              <w:ind w:left="20"/>
              <w:spacing w:after="0"/>
              <w:rPr>
                <w:sz w:val="20"/>
                <w:szCs w:val="20"/>
                <w:color w:val="auto"/>
              </w:rPr>
            </w:pPr>
            <w:r>
              <w:rPr>
                <w:rFonts w:ascii="Arial" w:cs="Arial" w:eastAsia="Arial" w:hAnsi="Arial"/>
                <w:sz w:val="14"/>
                <w:szCs w:val="14"/>
                <w:color w:val="auto"/>
              </w:rPr>
              <w:t>Thomas Priore</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6"/>
        </w:trPr>
        <w:tc>
          <w:tcPr>
            <w:tcW w:w="18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40" w:type="dxa"/>
            <w:vAlign w:val="bottom"/>
          </w:tcPr>
          <w:p>
            <w:pPr>
              <w:ind w:left="20"/>
              <w:spacing w:after="0"/>
              <w:rPr>
                <w:sz w:val="20"/>
                <w:szCs w:val="20"/>
                <w:color w:val="auto"/>
              </w:rPr>
            </w:pPr>
            <w:r>
              <w:rPr>
                <w:rFonts w:ascii="Arial" w:cs="Arial" w:eastAsia="Arial" w:hAnsi="Arial"/>
                <w:sz w:val="14"/>
                <w:szCs w:val="14"/>
                <w:color w:val="auto"/>
              </w:rPr>
              <w:t>John Priore</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8"/>
        </w:trPr>
        <w:tc>
          <w:tcPr>
            <w:tcW w:w="18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840" w:type="dxa"/>
            <w:vAlign w:val="bottom"/>
          </w:tcPr>
          <w:p>
            <w:pPr>
              <w:ind w:left="20"/>
              <w:spacing w:after="0"/>
              <w:rPr>
                <w:sz w:val="20"/>
                <w:szCs w:val="20"/>
                <w:color w:val="auto"/>
              </w:rPr>
            </w:pPr>
            <w:r>
              <w:rPr>
                <w:rFonts w:ascii="Arial" w:cs="Arial" w:eastAsia="Arial" w:hAnsi="Arial"/>
                <w:sz w:val="14"/>
                <w:szCs w:val="14"/>
                <w:color w:val="auto"/>
              </w:rPr>
              <w:t>Afshin Yazdian</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2"/>
                <w:szCs w:val="22"/>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323,237</w:t>
            </w:r>
          </w:p>
        </w:tc>
        <w:tc>
          <w:tcPr>
            <w:tcW w:w="320" w:type="dxa"/>
            <w:vAlign w:val="bottom"/>
          </w:tcPr>
          <w:p>
            <w:pPr>
              <w:jc w:val="center"/>
              <w:ind w:right="8"/>
              <w:spacing w:after="0"/>
              <w:rPr>
                <w:sz w:val="20"/>
                <w:szCs w:val="20"/>
                <w:color w:val="auto"/>
              </w:rPr>
            </w:pPr>
            <w:r>
              <w:rPr>
                <w:rFonts w:ascii="Arial" w:cs="Arial" w:eastAsia="Arial" w:hAnsi="Arial"/>
                <w:sz w:val="14"/>
                <w:szCs w:val="14"/>
                <w:color w:val="auto"/>
                <w:w w:val="93"/>
              </w:rPr>
              <w:t>(b)</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2,585,896</w:t>
            </w:r>
          </w:p>
        </w:tc>
        <w:tc>
          <w:tcPr>
            <w:tcW w:w="0" w:type="dxa"/>
            <w:vAlign w:val="bottom"/>
          </w:tcPr>
          <w:p>
            <w:pPr>
              <w:spacing w:after="0"/>
              <w:rPr>
                <w:sz w:val="1"/>
                <w:szCs w:val="1"/>
                <w:color w:val="auto"/>
              </w:rPr>
            </w:pPr>
          </w:p>
        </w:tc>
      </w:tr>
      <w:tr>
        <w:trPr>
          <w:trHeight w:val="141"/>
        </w:trPr>
        <w:tc>
          <w:tcPr>
            <w:tcW w:w="18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840" w:type="dxa"/>
            <w:vAlign w:val="bottom"/>
          </w:tcPr>
          <w:p>
            <w:pPr>
              <w:ind w:left="20"/>
              <w:spacing w:after="0"/>
              <w:rPr>
                <w:sz w:val="20"/>
                <w:szCs w:val="20"/>
                <w:color w:val="auto"/>
              </w:rPr>
            </w:pPr>
            <w:r>
              <w:rPr>
                <w:rFonts w:ascii="Arial" w:cs="Arial" w:eastAsia="Arial" w:hAnsi="Arial"/>
                <w:sz w:val="14"/>
                <w:szCs w:val="14"/>
                <w:color w:val="auto"/>
              </w:rPr>
              <w:t>Michael Vollkommer</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107,143</w:t>
            </w:r>
          </w:p>
        </w:tc>
        <w:tc>
          <w:tcPr>
            <w:tcW w:w="320" w:type="dxa"/>
            <w:vAlign w:val="bottom"/>
          </w:tcPr>
          <w:p>
            <w:pPr>
              <w:jc w:val="center"/>
              <w:ind w:right="8"/>
              <w:spacing w:after="0"/>
              <w:rPr>
                <w:sz w:val="20"/>
                <w:szCs w:val="20"/>
                <w:color w:val="auto"/>
              </w:rPr>
            </w:pPr>
            <w:r>
              <w:rPr>
                <w:rFonts w:ascii="Arial" w:cs="Arial" w:eastAsia="Arial" w:hAnsi="Arial"/>
                <w:sz w:val="14"/>
                <w:szCs w:val="14"/>
                <w:color w:val="auto"/>
                <w:w w:val="97"/>
              </w:rPr>
              <w:t>(c)</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857,144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the closing price per share of the Company's common stock of $8.00 as traded on the Nasdaq Global Market on December 31, 2018.</w:t>
      </w:r>
    </w:p>
    <w:p>
      <w:pPr>
        <w:spacing w:after="0" w:line="194" w:lineRule="exact"/>
        <w:rPr>
          <w:rFonts w:ascii="Arial" w:cs="Arial" w:eastAsia="Arial" w:hAnsi="Arial"/>
          <w:sz w:val="16"/>
          <w:szCs w:val="16"/>
          <w:color w:val="auto"/>
        </w:rPr>
      </w:pPr>
    </w:p>
    <w:p>
      <w:pPr>
        <w:jc w:val="both"/>
        <w:ind w:left="660" w:hanging="4"/>
        <w:spacing w:after="0" w:line="268" w:lineRule="auto"/>
        <w:tabs>
          <w:tab w:leader="none" w:pos="889" w:val="left"/>
        </w:tabs>
        <w:numPr>
          <w:ilvl w:val="0"/>
          <w:numId w:val="24"/>
        </w:numPr>
        <w:rPr>
          <w:rFonts w:ascii="Arial" w:cs="Arial" w:eastAsia="Arial" w:hAnsi="Arial"/>
          <w:sz w:val="15"/>
          <w:szCs w:val="15"/>
          <w:color w:val="auto"/>
        </w:rPr>
      </w:pPr>
      <w:r>
        <w:rPr>
          <w:rFonts w:ascii="Arial" w:cs="Arial" w:eastAsia="Arial" w:hAnsi="Arial"/>
          <w:sz w:val="15"/>
          <w:szCs w:val="15"/>
          <w:color w:val="auto"/>
        </w:rPr>
        <w:t>During 2016 and 2018, time-based and performance-based awards were made under the Priority Holdings Management Incentive Plan ("MIP") pursuant to the operating agreement of Priority Holdings, LLC. Simultaneously with the Company's July 25, 2018 business combination and recapitalization, the MIP was assumed by the Company and vesting continues pursuant to the vesting schedules associated with the grants made under the MIP. Approximately 3.0 million of the Company's shares of common stock, which approximated the fair value of the MIP awards just prior to assumption on July 25, 2018, were issued to the MIP on July 25, 2018 for vested and unvested grants associated with the MIP. Until the vesting periods have elapsed for all grants and participants under the MIP, all vested and unvested shares of the Company's common stock associated with the MIP are held by Priority Investment Equity Holdings, LLC ("PIEH"). On July 25, 2018 in connection with the Company's merger and recapitalization, Mr. Yazdain's grants under the MIP converted to 1,301,967 grants for shares of the Company's common stock held by PIEH. Of this amount, 100% of the performance-based grants are vested at December 31, 2018, but 323,237 time-based grants remain unvested. For the 323,237 time-based grants unvested at December 31, 2018, vesting is scheduled as follows: 53,873 on January 1, 2019; 215,491 on May 21, 2019; and 53,873 on January 1, 2020.</w:t>
      </w:r>
    </w:p>
    <w:p>
      <w:pPr>
        <w:spacing w:after="0" w:line="342" w:lineRule="exact"/>
        <w:rPr>
          <w:rFonts w:ascii="Arial" w:cs="Arial" w:eastAsia="Arial" w:hAnsi="Arial"/>
          <w:sz w:val="15"/>
          <w:szCs w:val="15"/>
          <w:color w:val="auto"/>
        </w:rPr>
      </w:pPr>
    </w:p>
    <w:p>
      <w:pPr>
        <w:jc w:val="both"/>
        <w:ind w:left="660" w:hanging="4"/>
        <w:spacing w:after="0" w:line="261"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107,143 relates to a December 2018 time-based restricted stock unit award that vests 50% on December 3, 2019 and 50% on December 3, 2020. At vesting, the Company has not guaranteed that the vested award will have any specific monetary value, nor may Mr. Vollkommer or the Company elect settlement in any deliverable other than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DIRECTORS, AND EXECUTIVE OFFICERS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of the Record Date regarding the beneficial ownership of our common stock by:</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person known to be the beneficial owner of more than 5% of our outstanding shares of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director and each named executive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current executive officers and directors as a group.</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w:t>
      </w:r>
    </w:p>
    <w:p>
      <w:pPr>
        <w:spacing w:after="0" w:line="32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4"/>
              </w:rPr>
              <w:t>Amount and Nature of</w:t>
            </w:r>
          </w:p>
        </w:tc>
        <w:tc>
          <w:tcPr>
            <w:tcW w:w="2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9"/>
              </w:rPr>
              <w:t>Approximate Percentage of</w:t>
            </w:r>
          </w:p>
        </w:tc>
      </w:tr>
      <w:tr>
        <w:trPr>
          <w:trHeight w:val="243"/>
        </w:trPr>
        <w:tc>
          <w:tcPr>
            <w:tcW w:w="180" w:type="dxa"/>
            <w:vAlign w:val="bottom"/>
          </w:tcPr>
          <w:p>
            <w:pPr>
              <w:spacing w:after="0"/>
              <w:rPr>
                <w:sz w:val="21"/>
                <w:szCs w:val="21"/>
                <w:color w:val="auto"/>
              </w:rPr>
            </w:pPr>
          </w:p>
        </w:tc>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Name and Address of Beneficial Owner (1)</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2"/>
              </w:rPr>
              <w:t>Beneficial Ownership</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Outstanding Common Stock (2)</w:t>
            </w:r>
          </w:p>
        </w:tc>
      </w:tr>
      <w:tr>
        <w:trPr>
          <w:trHeight w:val="169"/>
        </w:trPr>
        <w:tc>
          <w:tcPr>
            <w:tcW w:w="180" w:type="dxa"/>
            <w:vAlign w:val="bottom"/>
          </w:tcPr>
          <w:p>
            <w:pPr>
              <w:spacing w:after="0"/>
              <w:rPr>
                <w:sz w:val="14"/>
                <w:szCs w:val="14"/>
                <w:color w:val="auto"/>
              </w:rPr>
            </w:pPr>
          </w:p>
        </w:tc>
        <w:tc>
          <w:tcPr>
            <w:tcW w:w="5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r>
      <w:tr>
        <w:trPr>
          <w:trHeight w:val="250"/>
        </w:trPr>
        <w:tc>
          <w:tcPr>
            <w:tcW w:w="180" w:type="dxa"/>
            <w:vAlign w:val="bottom"/>
          </w:tcPr>
          <w:p>
            <w:pPr>
              <w:spacing w:after="0"/>
              <w:rPr>
                <w:sz w:val="21"/>
                <w:szCs w:val="21"/>
                <w:color w:val="auto"/>
              </w:rPr>
            </w:pPr>
          </w:p>
        </w:tc>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5% or Greater Stockholders (Other than below):</w:t>
            </w: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5400" w:type="dxa"/>
            <w:vAlign w:val="bottom"/>
            <w:gridSpan w:val="2"/>
          </w:tcPr>
          <w:p>
            <w:pPr>
              <w:ind w:left="140"/>
              <w:spacing w:after="0"/>
              <w:rPr>
                <w:sz w:val="20"/>
                <w:szCs w:val="20"/>
                <w:color w:val="auto"/>
              </w:rPr>
            </w:pPr>
            <w:r>
              <w:rPr>
                <w:rFonts w:ascii="Arial" w:cs="Arial" w:eastAsia="Arial" w:hAnsi="Arial"/>
                <w:sz w:val="16"/>
                <w:szCs w:val="16"/>
                <w:color w:val="auto"/>
              </w:rPr>
              <w:t>None</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37"/>
        </w:trPr>
        <w:tc>
          <w:tcPr>
            <w:tcW w:w="180" w:type="dxa"/>
            <w:vAlign w:val="bottom"/>
          </w:tcPr>
          <w:p>
            <w:pPr>
              <w:spacing w:after="0"/>
              <w:rPr>
                <w:sz w:val="20"/>
                <w:szCs w:val="20"/>
                <w:color w:val="auto"/>
              </w:rPr>
            </w:pPr>
          </w:p>
        </w:tc>
        <w:tc>
          <w:tcPr>
            <w:tcW w:w="5400" w:type="dxa"/>
            <w:vAlign w:val="bottom"/>
            <w:gridSpan w:val="2"/>
          </w:tcPr>
          <w:p>
            <w:pPr>
              <w:ind w:left="20"/>
              <w:spacing w:after="0"/>
              <w:rPr>
                <w:sz w:val="20"/>
                <w:szCs w:val="20"/>
                <w:color w:val="auto"/>
              </w:rPr>
            </w:pPr>
            <w:r>
              <w:rPr>
                <w:rFonts w:ascii="Arial" w:cs="Arial" w:eastAsia="Arial" w:hAnsi="Arial"/>
                <w:sz w:val="16"/>
                <w:szCs w:val="16"/>
                <w:i w:val="1"/>
                <w:iCs w:val="1"/>
                <w:color w:val="auto"/>
              </w:rPr>
              <w:t>Directors and Named Executive Officers:</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5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Thomas Priore (3)</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48,820,371</w:t>
            </w: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w:t>
            </w:r>
          </w:p>
        </w:tc>
      </w:tr>
      <w:tr>
        <w:trPr>
          <w:trHeight w:val="237"/>
        </w:trPr>
        <w:tc>
          <w:tcPr>
            <w:tcW w:w="180" w:type="dxa"/>
            <w:vAlign w:val="bottom"/>
          </w:tcPr>
          <w:p>
            <w:pPr>
              <w:spacing w:after="0"/>
              <w:rPr>
                <w:sz w:val="20"/>
                <w:szCs w:val="20"/>
                <w:color w:val="auto"/>
              </w:rPr>
            </w:pPr>
          </w:p>
        </w:tc>
        <w:tc>
          <w:tcPr>
            <w:tcW w:w="5400" w:type="dxa"/>
            <w:vAlign w:val="bottom"/>
            <w:gridSpan w:val="2"/>
          </w:tcPr>
          <w:p>
            <w:pPr>
              <w:ind w:left="140"/>
              <w:spacing w:after="0"/>
              <w:rPr>
                <w:sz w:val="20"/>
                <w:szCs w:val="20"/>
                <w:color w:val="auto"/>
              </w:rPr>
            </w:pPr>
            <w:r>
              <w:rPr>
                <w:rFonts w:ascii="Arial" w:cs="Arial" w:eastAsia="Arial" w:hAnsi="Arial"/>
                <w:sz w:val="16"/>
                <w:szCs w:val="16"/>
                <w:color w:val="auto"/>
              </w:rPr>
              <w:t>John Priore (4)</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9,231,296</w:t>
            </w:r>
          </w:p>
        </w:tc>
        <w:tc>
          <w:tcPr>
            <w:tcW w:w="10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33"/>
        </w:trPr>
        <w:tc>
          <w:tcPr>
            <w:tcW w:w="1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5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Afshin Yazdian</w:t>
            </w:r>
          </w:p>
        </w:tc>
        <w:tc>
          <w:tcPr>
            <w:tcW w:w="2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180" w:type="dxa"/>
            <w:vAlign w:val="bottom"/>
          </w:tcPr>
          <w:p>
            <w:pPr>
              <w:spacing w:after="0"/>
              <w:rPr>
                <w:sz w:val="20"/>
                <w:szCs w:val="20"/>
                <w:color w:val="auto"/>
              </w:rPr>
            </w:pPr>
          </w:p>
        </w:tc>
        <w:tc>
          <w:tcPr>
            <w:tcW w:w="5400" w:type="dxa"/>
            <w:vAlign w:val="bottom"/>
            <w:gridSpan w:val="2"/>
          </w:tcPr>
          <w:p>
            <w:pPr>
              <w:ind w:left="140"/>
              <w:spacing w:after="0"/>
              <w:rPr>
                <w:sz w:val="20"/>
                <w:szCs w:val="20"/>
                <w:color w:val="auto"/>
              </w:rPr>
            </w:pPr>
            <w:r>
              <w:rPr>
                <w:rFonts w:ascii="Arial" w:cs="Arial" w:eastAsia="Arial" w:hAnsi="Arial"/>
                <w:sz w:val="16"/>
                <w:szCs w:val="16"/>
                <w:color w:val="auto"/>
              </w:rPr>
              <w:t>Michael Vollkommer</w:t>
            </w:r>
          </w:p>
        </w:tc>
        <w:tc>
          <w:tcPr>
            <w:tcW w:w="2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3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1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5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William Gahan</w:t>
            </w:r>
          </w:p>
        </w:tc>
        <w:tc>
          <w:tcPr>
            <w:tcW w:w="2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180" w:type="dxa"/>
            <w:vAlign w:val="bottom"/>
          </w:tcPr>
          <w:p>
            <w:pPr>
              <w:spacing w:after="0"/>
              <w:rPr>
                <w:sz w:val="20"/>
                <w:szCs w:val="20"/>
                <w:color w:val="auto"/>
              </w:rPr>
            </w:pPr>
          </w:p>
        </w:tc>
        <w:tc>
          <w:tcPr>
            <w:tcW w:w="5400" w:type="dxa"/>
            <w:vAlign w:val="bottom"/>
            <w:gridSpan w:val="2"/>
          </w:tcPr>
          <w:p>
            <w:pPr>
              <w:ind w:left="140"/>
              <w:spacing w:after="0"/>
              <w:rPr>
                <w:sz w:val="20"/>
                <w:szCs w:val="20"/>
                <w:color w:val="auto"/>
              </w:rPr>
            </w:pPr>
            <w:r>
              <w:rPr>
                <w:rFonts w:ascii="Arial" w:cs="Arial" w:eastAsia="Arial" w:hAnsi="Arial"/>
                <w:sz w:val="16"/>
                <w:szCs w:val="16"/>
                <w:color w:val="auto"/>
              </w:rPr>
              <w:t>Matthew Kearney</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12,457</w:t>
            </w:r>
          </w:p>
        </w:tc>
        <w:tc>
          <w:tcPr>
            <w:tcW w:w="100" w:type="dxa"/>
            <w:vAlign w:val="bottom"/>
          </w:tcPr>
          <w:p>
            <w:pPr>
              <w:spacing w:after="0"/>
              <w:rPr>
                <w:sz w:val="20"/>
                <w:szCs w:val="20"/>
                <w:color w:val="auto"/>
              </w:rPr>
            </w:pPr>
          </w:p>
        </w:tc>
        <w:tc>
          <w:tcPr>
            <w:tcW w:w="23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1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5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Michael K. Passilla</w:t>
            </w:r>
          </w:p>
        </w:tc>
        <w:tc>
          <w:tcPr>
            <w:tcW w:w="2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180" w:type="dxa"/>
            <w:vAlign w:val="bottom"/>
          </w:tcPr>
          <w:p>
            <w:pPr>
              <w:spacing w:after="0"/>
              <w:rPr>
                <w:sz w:val="20"/>
                <w:szCs w:val="20"/>
                <w:color w:val="auto"/>
              </w:rPr>
            </w:pPr>
          </w:p>
        </w:tc>
        <w:tc>
          <w:tcPr>
            <w:tcW w:w="5400" w:type="dxa"/>
            <w:vAlign w:val="bottom"/>
            <w:gridSpan w:val="2"/>
          </w:tcPr>
          <w:p>
            <w:pPr>
              <w:ind w:left="140"/>
              <w:spacing w:after="0"/>
              <w:rPr>
                <w:sz w:val="20"/>
                <w:szCs w:val="20"/>
                <w:color w:val="auto"/>
              </w:rPr>
            </w:pPr>
            <w:r>
              <w:rPr>
                <w:rFonts w:ascii="Arial" w:cs="Arial" w:eastAsia="Arial" w:hAnsi="Arial"/>
                <w:sz w:val="16"/>
                <w:szCs w:val="16"/>
                <w:color w:val="auto"/>
              </w:rPr>
              <w:t>All directors and executive officers as a group (12 individuals)</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60,119,424</w:t>
            </w:r>
          </w:p>
        </w:tc>
        <w:tc>
          <w:tcPr>
            <w:tcW w:w="10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89.7%</w:t>
            </w:r>
          </w:p>
        </w:tc>
      </w:tr>
      <w:tr>
        <w:trPr>
          <w:trHeight w:val="231"/>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______________________________</w:t>
            </w: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34"/>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6"/>
                <w:szCs w:val="16"/>
                <w:color w:val="auto"/>
              </w:rPr>
              <w:t>Less than 1%</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r>
    </w:tbl>
    <w:p>
      <w:pPr>
        <w:spacing w:after="0" w:line="395" w:lineRule="exact"/>
        <w:rPr>
          <w:sz w:val="20"/>
          <w:szCs w:val="20"/>
          <w:color w:val="auto"/>
        </w:rPr>
      </w:pPr>
    </w:p>
    <w:p>
      <w:pPr>
        <w:ind w:left="660" w:hanging="4"/>
        <w:spacing w:after="0" w:line="275" w:lineRule="auto"/>
        <w:tabs>
          <w:tab w:leader="none" w:pos="903"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is c/o Priority Technology Holdings, Inc., 2001 Westside Parkway, Alpharetta, GA 30004.</w:t>
      </w:r>
    </w:p>
    <w:p>
      <w:pPr>
        <w:spacing w:after="0" w:line="145" w:lineRule="exact"/>
        <w:rPr>
          <w:rFonts w:ascii="Arial" w:cs="Arial" w:eastAsia="Arial" w:hAnsi="Arial"/>
          <w:sz w:val="16"/>
          <w:szCs w:val="16"/>
          <w:color w:val="auto"/>
        </w:rPr>
      </w:pPr>
    </w:p>
    <w:p>
      <w:pPr>
        <w:jc w:val="both"/>
        <w:ind w:left="660" w:hanging="4"/>
        <w:spacing w:after="0" w:line="315" w:lineRule="auto"/>
        <w:tabs>
          <w:tab w:leader="none" w:pos="889"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percentage of beneficial ownership of Priority is calculated based on 67,034,980 shares of common stock outstanding. The amount of beneficial ownership for each individual or entity includes shares of common stock issuable in respect of private warrants. Unless otherwise indicated, we believe that all persons named in the table have sole voting and investment power with respect to all shares of common stock beneficially owned by them as of the date indicated.</w:t>
      </w:r>
    </w:p>
    <w:p>
      <w:pPr>
        <w:spacing w:after="0" w:line="122" w:lineRule="exact"/>
        <w:rPr>
          <w:rFonts w:ascii="Arial" w:cs="Arial" w:eastAsia="Arial" w:hAnsi="Arial"/>
          <w:sz w:val="14"/>
          <w:szCs w:val="14"/>
          <w:color w:val="auto"/>
        </w:rPr>
      </w:pPr>
    </w:p>
    <w:p>
      <w:pPr>
        <w:jc w:val="both"/>
        <w:ind w:left="660" w:hanging="4"/>
        <w:spacing w:after="0" w:line="278" w:lineRule="auto"/>
        <w:tabs>
          <w:tab w:leader="none" w:pos="889"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Includes 3,026,208 shares of the Company's common stock directly held by Priority Incentive Equity Holdings, LLC. Following the business combination in July 2018, Thomas Priore became the managing member of Priority Investment Holdings LLC, which is the non-member manager of Priority Incentive Equity Holdings, LLC. Thomas Priore may be deemed to beneficially own such shares of stock directly or indirectly controlled by him. The address of Thomas Priore and each of the other entities listed in this footnote is c/o Priority Technology Holdings, Inc., 2001 Westside Parkway, Alpharetta, GA 30004.</w:t>
      </w:r>
    </w:p>
    <w:p>
      <w:pPr>
        <w:spacing w:after="0" w:line="146"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As of the Record Date, Thomas Priore had pledged, hypothecated or granted security interests in substantially 47,732,899 shares of our common stock held by him pursuant to a margin loan agreement. In the event of a default under the margin loan agreement, the secured parties may foreclose upon any and all shares of common stock pledged to them.</w:t>
      </w:r>
    </w:p>
    <w:p>
      <w:pPr>
        <w:spacing w:after="0" w:line="156" w:lineRule="exact"/>
        <w:rPr>
          <w:sz w:val="20"/>
          <w:szCs w:val="20"/>
          <w:color w:val="auto"/>
        </w:rPr>
      </w:pPr>
    </w:p>
    <w:p>
      <w:pPr>
        <w:ind w:left="660" w:hanging="4"/>
        <w:spacing w:after="0" w:line="275" w:lineRule="auto"/>
        <w:tabs>
          <w:tab w:leader="none" w:pos="889"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9,231,296 shares of the Company's common stock directly held by AESV Credit Card Consulting LLC, which is controlled by John Priore. John Priore may be deemed to beneficially own such shares of stock directly or indirectly controlled by him.</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Priority has a management services agreement and an annual bonus payout with PSD Partners LP, whose Managing Member is Thomas Priore, who is the President, Chief Executive Officer and Chairman and majority owner of the Company. For the years ended December 31, 2018, 2017 and 2016, Priority incurred a total of $1,137,542, $850,600, and $838,758, respectively, for costs related to management services fees, annual bonus payout and occupancy fees.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eTab</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2019, a subsidiary of the Company, Priority Hospitality Technology, LLC ("PHT"), acquired substantially all of the operating assets and assumed certain liabilities of eTab, LLC ("eTab") and CUMULUS POS, LLC ("Cumulus") under asset contribution agreements. Prior to these transactions, eTab was 80% owned by Thomas Priore, our President, Chief Executive Officer and Chairman. No cash consideration was paid to the sellers of eTab or Cumulus at acquisition. As consideration for these acquired net assets, the sellers were issued preferred equity interests in PHT. Under these preferred equity interests, the sellers are eligible to receive up to $4.5 million of profits earned by PHT, plus a preferred yield on any of the $4.5 million amount that has not been distributed to them. Thomas Priore received and owns 80% of such preferred equity interests in PHT. Once a total of $4.5 million plus the preferred yield has been distributed to the holders of the preferred equity interests, the preferred equity interests will cease to exist. We will recognize the fair value of the net assets acquired since the consideration was of a non-cash nature. We are continuing to finalize the estimated fair values of the net assets acquired.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PROPOSAL NUMBER ONE</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ELECTION OF DIRECTORS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certificate of incorporation and bylaws currently provide that the number of directors constituting the Board shall be determined solely and exclusively by resolution duly adopted from time to time by the Board. There are five directors presently serving on our Board, and the number of directors to be elected at this Annual Meeting is five.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proposes that the following five director nominees be elected to the Board to serve until the next annual meeting in 2020, or until his or her earlier resignation, death, or removal.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Nominees for Directors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Each nominee is listed below, along with their age as of the date of this proxy statement.</w:t>
      </w:r>
    </w:p>
    <w:p>
      <w:pPr>
        <w:spacing w:after="0" w:line="375" w:lineRule="exact"/>
        <w:rPr>
          <w:sz w:val="20"/>
          <w:szCs w:val="20"/>
          <w:color w:val="auto"/>
        </w:rPr>
      </w:pPr>
    </w:p>
    <w:tbl>
      <w:tblPr>
        <w:tblLayout w:type="fixed"/>
        <w:tblInd w:w="2560" w:type="dxa"/>
        <w:tblCellMar>
          <w:top w:w="0" w:type="dxa"/>
          <w:left w:w="0" w:type="dxa"/>
          <w:bottom w:w="0" w:type="dxa"/>
          <w:right w:w="0" w:type="dxa"/>
        </w:tblCellMar>
      </w:tblPr>
      <w:tr>
        <w:trPr>
          <w:trHeight w:val="26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Name</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43"/>
        </w:trPr>
        <w:tc>
          <w:tcPr>
            <w:tcW w:w="4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0" w:type="dxa"/>
            <w:vAlign w:val="bottom"/>
            <w:tcBorders>
              <w:top w:val="single" w:sz="8" w:color="auto"/>
            </w:tcBorders>
          </w:tcPr>
          <w:p>
            <w:pPr>
              <w:spacing w:after="0"/>
              <w:rPr>
                <w:sz w:val="21"/>
                <w:szCs w:val="21"/>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Priore</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John Priore</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Gahan</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Matthew Kearney</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4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K. Passilla</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r>
      <w:tr>
        <w:trPr>
          <w:trHeight w:val="27"/>
        </w:trPr>
        <w:tc>
          <w:tcPr>
            <w:tcW w:w="4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biographical information about the nominees as of the date of this proxy statement can be found above under "Executive Officers and Board of Directors."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our bylaws, a nominee must receive the vote of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the election of each of the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NUMBER TWO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RATIFICATION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Audit Committee of the Board has appointed RSM to serve as the Company's independent registered public accounting firm for the year ending December 31, 2019. The Board is submitting the appointment of RSM as the Company's independent registered public accounting firm for stockholder ratification and recommends that stockholders ratify this appointment. Stockholder ratification of the appointment of RSM is not required by law or otherwise. The Board is submitting this matter to stockholders for ratification because the Board believes it to be a good corporate governance practice. If the stockholders do not ratify the appointment, the Audit Committee may reconsider whether to retain RSM. Even if the appointment is ratified, the Audit Committee may appoint a different independent registered public accounting firm at any time during the year if, in its discretion, it determines that such a change would be in the Company's best interest and that of the Company's stockholders. A representative of RSM is expected to attend the Annual Meeting, and he or she will have the opportunity to make a statement and will be available to respond to appropriate questions. For additional information regarding the Company's relationship with RSM, please refer to the Audit Committee Report above.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Accounting Fees and Services</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years in each of the following categories including related expenses were:</w:t>
      </w:r>
    </w:p>
    <w:p>
      <w:pPr>
        <w:spacing w:after="0" w:line="104" w:lineRule="exact"/>
        <w:rPr>
          <w:sz w:val="20"/>
          <w:szCs w:val="20"/>
          <w:color w:val="auto"/>
        </w:rPr>
      </w:pPr>
    </w:p>
    <w:tbl>
      <w:tblPr>
        <w:tblLayout w:type="fixed"/>
        <w:tblInd w:w="1500" w:type="dxa"/>
        <w:tblCellMar>
          <w:top w:w="0" w:type="dxa"/>
          <w:left w:w="0" w:type="dxa"/>
          <w:bottom w:w="0" w:type="dxa"/>
          <w:right w:w="0" w:type="dxa"/>
        </w:tblCellMar>
      </w:tblPr>
      <w:tr>
        <w:trPr>
          <w:trHeight w:val="264"/>
        </w:trPr>
        <w:tc>
          <w:tcPr>
            <w:tcW w:w="3920" w:type="dxa"/>
            <w:vAlign w:val="bottom"/>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8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2017</w:t>
            </w:r>
          </w:p>
        </w:tc>
      </w:tr>
      <w:tr>
        <w:trPr>
          <w:trHeight w:val="162"/>
        </w:trPr>
        <w:tc>
          <w:tcPr>
            <w:tcW w:w="3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140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864,013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816,791</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14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fees</w:t>
            </w:r>
          </w:p>
        </w:tc>
        <w:tc>
          <w:tcPr>
            <w:tcW w:w="1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All other fees</w:t>
            </w:r>
          </w:p>
        </w:tc>
        <w:tc>
          <w:tcPr>
            <w:tcW w:w="14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864,013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816,791</w:t>
            </w:r>
          </w:p>
        </w:tc>
      </w:tr>
      <w:tr>
        <w:trPr>
          <w:trHeight w:val="20"/>
        </w:trPr>
        <w:tc>
          <w:tcPr>
            <w:tcW w:w="39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in the above table are based on fees billed, including out-of-pocket expenses, for services rendered for the year, even if the auditor did not bill the registrant for those services until after year end.</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Fees for audit services for 2018 include the audit of the Company's consolidated financial statements as of and for the year ended December 31, 2018, review of the Company's quarterly report on Form 10-Q for the three months and nine months ended September 30, 2018, and services related to the accounting and reporting for the July 2018 business combination. Fees for audit services for 2017 include audits of the Company's consolidated financial statements in compliance with the auditing standards of the Public Company Accounting Oversight Board for the years ended December 31, 2017, 2016, and 2015. The Company was not required to have an audit of its internal control over financial reporting for any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on Audit Committee Pre-Approval of Audit and Permissible Non-Audit Services of Independent Auditors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has also adopted policies and procedures for pre-approving all non-audit work performed by RSM. The Audit Committee has pre-approved the use, as needed, of RSM for specific types of services that fall within categories of non-audit services, including various tax services. The Audit Committee receives regular updates as to the fees associated with the services that are subject to pre-approval. Services that do not fall within a pre-approved category require specific consideration and pre-approval by the Audit Committee. All services rendered by RSM in the table above were pre-approved by the Audit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approval of Proposal Number Two requires the affirmative vote of a majority of the votes properly cast at our Annual Meeting. Abstentions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recommends a vote FOR the ratification of the appointment of RSM US LLP as the Company's independent registered public accounting firm for the year ending December 31, 2019.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date of this proxy statement, we know of no business that will be presented for consideration at the Annual Meeting, other than the items referred to above. If any other matter is properly brought before the Annual Meeting for action by stockholders, proxies in the enclosed form returned to the Company will be voted in accordance with the recommendation of the Board or, in the absence of such a recommendation, in accordance with the judgment of the proxy holder.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and Director Nominations for the 2020 Annual Meeting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our 2020 Annual Meeting will be held in June 2020 consistent with our 2019 Annual Meeting. Stockholders of record who intend to nominate a candidate for director or submit a proposal at the annual meeting of stockholders in 2020 must provide written notice to the Company in accordance with our bylaws. Under our bylaws, such notice must be received at the Company's principal executive offices, addressed to the Secretary of the Company, not earlier than February 25, 2020 nor later than March 26, 2020, which are dates at least 90 days but not more than 120 days in advance of the first anniversary of the date of the 2019 Annual Meeting. Stockholders are also advised to review our bylaws, which contain additional requirements about advance notice of stockholder proposals and director nominations.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30" w:name="page31"/>
    <w:bookmarkEnd w:id="30"/>
    <w:p>
      <w:pPr>
        <w:ind w:left="120"/>
        <w:spacing w:after="0"/>
        <w:rPr>
          <w:sz w:val="20"/>
          <w:szCs w:val="20"/>
          <w:color w:val="auto"/>
        </w:rPr>
      </w:pPr>
      <w:r>
        <w:rPr>
          <w:rFonts w:ascii="Arial" w:cs="Arial" w:eastAsia="Arial" w:hAnsi="Arial"/>
          <w:sz w:val="14"/>
          <w:szCs w:val="14"/>
          <w:b w:val="1"/>
          <w:bCs w:val="1"/>
          <w:i w:val="1"/>
          <w:iCs w:val="1"/>
          <w:color w:val="auto"/>
        </w:rPr>
        <w:t>PRIORITY TECHNOLOGY HOLDINGS, INC.</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2001 WESTSIDE PARKWAY</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SUITE 155</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ALPHARETTA, GEORGIA 30004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VOTE BY INTERNET - </w:t>
      </w:r>
      <w:r>
        <w:rPr>
          <w:rFonts w:ascii="Arial" w:cs="Arial" w:eastAsia="Arial" w:hAnsi="Arial"/>
          <w:sz w:val="15"/>
          <w:szCs w:val="15"/>
          <w:b w:val="1"/>
          <w:bCs w:val="1"/>
          <w:u w:val="single" w:color="auto"/>
          <w:color w:val="auto"/>
        </w:rPr>
        <w:t>www.proxyvote.com</w:t>
      </w:r>
    </w:p>
    <w:p>
      <w:pPr>
        <w:spacing w:after="0" w:line="156" w:lineRule="exact"/>
        <w:rPr>
          <w:sz w:val="20"/>
          <w:szCs w:val="20"/>
          <w:color w:val="auto"/>
        </w:rPr>
      </w:pPr>
    </w:p>
    <w:p>
      <w:pPr>
        <w:ind w:right="220"/>
        <w:spacing w:after="0" w:line="266"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6/23/2019. Have your proxy card in hand when you access the web site and follow the instructions to obtain your records and to create an electronic voting instruction form.</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ELECTRONIC DELIVERY OF FUTURE PROXY MATERIALS</w:t>
      </w:r>
    </w:p>
    <w:p>
      <w:pPr>
        <w:spacing w:after="0" w:line="6" w:lineRule="exact"/>
        <w:rPr>
          <w:sz w:val="20"/>
          <w:szCs w:val="20"/>
          <w:color w:val="auto"/>
        </w:rPr>
      </w:pPr>
    </w:p>
    <w:p>
      <w:pPr>
        <w:ind w:right="180"/>
        <w:spacing w:after="0" w:line="231" w:lineRule="auto"/>
        <w:rPr>
          <w:sz w:val="20"/>
          <w:szCs w:val="20"/>
          <w:color w:val="auto"/>
        </w:rPr>
      </w:pPr>
      <w:r>
        <w:rPr>
          <w:rFonts w:ascii="Arial" w:cs="Arial" w:eastAsia="Arial" w:hAnsi="Arial"/>
          <w:sz w:val="15"/>
          <w:szCs w:val="15"/>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BY PHONE - 800-690-6903</w:t>
      </w:r>
    </w:p>
    <w:p>
      <w:pPr>
        <w:spacing w:after="0" w:line="6" w:lineRule="exact"/>
        <w:rPr>
          <w:sz w:val="20"/>
          <w:szCs w:val="20"/>
          <w:color w:val="auto"/>
        </w:rPr>
      </w:pPr>
    </w:p>
    <w:p>
      <w:pPr>
        <w:ind w:right="300"/>
        <w:spacing w:after="0" w:line="273" w:lineRule="auto"/>
        <w:rPr>
          <w:sz w:val="20"/>
          <w:szCs w:val="20"/>
          <w:color w:val="auto"/>
        </w:rPr>
      </w:pPr>
      <w:r>
        <w:rPr>
          <w:rFonts w:ascii="Arial" w:cs="Arial" w:eastAsia="Arial" w:hAnsi="Arial"/>
          <w:sz w:val="14"/>
          <w:szCs w:val="14"/>
          <w:color w:val="auto"/>
        </w:rPr>
        <w:t>Use any touch-tone telephone to transmit your voting instructions up until 11:59 P.M. Eastern Time on 6/23/2019. Have your proxy card in hand when you call and then follow the instructions.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BY MAIL</w:t>
      </w:r>
    </w:p>
    <w:p>
      <w:pPr>
        <w:spacing w:after="0" w:line="6" w:lineRule="exact"/>
        <w:rPr>
          <w:sz w:val="20"/>
          <w:szCs w:val="20"/>
          <w:color w:val="auto"/>
        </w:rPr>
      </w:pPr>
    </w:p>
    <w:p>
      <w:pPr>
        <w:ind w:right="480"/>
        <w:spacing w:after="0" w:line="273"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120" w:space="720"/>
            <w:col w:w="6580"/>
          </w:cols>
          <w:pgMar w:left="240" w:top="5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TO VOTE, MARK BLOCKS BELOW IN BLUE OR BLACK INK AS FOLLOWS: x</w:t>
      </w:r>
    </w:p>
    <w:p>
      <w:pPr>
        <w:spacing w:after="0" w:line="8" w:lineRule="exact"/>
        <w:rPr>
          <w:sz w:val="20"/>
          <w:szCs w:val="20"/>
          <w:color w:val="auto"/>
        </w:rPr>
      </w:pPr>
    </w:p>
    <w:p>
      <w:pPr>
        <w:ind w:left="8600"/>
        <w:spacing w:after="0"/>
        <w:rPr>
          <w:sz w:val="20"/>
          <w:szCs w:val="20"/>
          <w:color w:val="auto"/>
        </w:rPr>
      </w:pPr>
      <w:r>
        <w:rPr>
          <w:rFonts w:ascii="Arial" w:cs="Arial" w:eastAsia="Arial" w:hAnsi="Arial"/>
          <w:sz w:val="13"/>
          <w:szCs w:val="13"/>
          <w:color w:val="auto"/>
        </w:rPr>
        <w:t>KEEP THIS PORTION FOR YOUR RECORDS</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PRIORITY TECHNOLOGY HOLDINGS, INC.</w:t>
      </w:r>
    </w:p>
    <w:p>
      <w:pPr>
        <w:sectPr>
          <w:pgSz w:w="11900" w:h="16838" w:orient="portrait"/>
          <w:cols w:equalWidth="0" w:num="1">
            <w:col w:w="11420"/>
          </w:cols>
          <w:pgMar w:left="240" w:top="526" w:right="239" w:bottom="1440" w:gutter="0" w:footer="0" w:header="0"/>
          <w:type w:val="continuous"/>
        </w:sectPr>
      </w:pPr>
    </w:p>
    <w:p>
      <w:pPr>
        <w:spacing w:after="0" w:line="366" w:lineRule="exact"/>
        <w:rPr>
          <w:sz w:val="20"/>
          <w:szCs w:val="20"/>
          <w:color w:val="auto"/>
        </w:rPr>
      </w:pPr>
    </w:p>
    <w:p>
      <w:pPr>
        <w:ind w:left="40" w:right="1720"/>
        <w:spacing w:after="0" w:line="297" w:lineRule="auto"/>
        <w:rPr>
          <w:sz w:val="20"/>
          <w:szCs w:val="20"/>
          <w:color w:val="auto"/>
        </w:rPr>
      </w:pPr>
      <w:r>
        <w:rPr>
          <w:rFonts w:ascii="Arial" w:cs="Arial" w:eastAsia="Arial" w:hAnsi="Arial"/>
          <w:sz w:val="13"/>
          <w:szCs w:val="13"/>
          <w:b w:val="1"/>
          <w:bCs w:val="1"/>
          <w:color w:val="auto"/>
        </w:rPr>
        <w:t>The Board of Directors recommends that you vote FOR the election of the following five director nominees: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3080" w:type="dxa"/>
            <w:vAlign w:val="bottom"/>
            <w:gridSpan w:val="2"/>
          </w:tcPr>
          <w:p>
            <w:pPr>
              <w:ind w:left="140"/>
              <w:spacing w:after="0"/>
              <w:rPr>
                <w:sz w:val="20"/>
                <w:szCs w:val="20"/>
                <w:color w:val="auto"/>
              </w:rPr>
            </w:pPr>
            <w:r>
              <w:rPr>
                <w:rFonts w:ascii="Arial" w:cs="Arial" w:eastAsia="Arial" w:hAnsi="Arial"/>
                <w:sz w:val="14"/>
                <w:szCs w:val="14"/>
                <w:color w:val="auto"/>
              </w:rPr>
              <w:t>Election of Directors</w:t>
            </w:r>
          </w:p>
        </w:tc>
        <w:tc>
          <w:tcPr>
            <w:tcW w:w="920" w:type="dxa"/>
            <w:vAlign w:val="bottom"/>
            <w:gridSpan w:val="3"/>
          </w:tcPr>
          <w:p>
            <w:pPr>
              <w:ind w:left="460"/>
              <w:spacing w:after="0"/>
              <w:rPr>
                <w:sz w:val="20"/>
                <w:szCs w:val="20"/>
                <w:color w:val="auto"/>
              </w:rPr>
            </w:pPr>
            <w:r>
              <w:rPr>
                <w:rFonts w:ascii="Arial" w:cs="Arial" w:eastAsia="Arial" w:hAnsi="Arial"/>
                <w:sz w:val="14"/>
                <w:szCs w:val="14"/>
                <w:color w:val="auto"/>
              </w:rPr>
              <w:t>For</w:t>
            </w:r>
          </w:p>
        </w:tc>
        <w:tc>
          <w:tcPr>
            <w:tcW w:w="700" w:type="dxa"/>
            <w:vAlign w:val="bottom"/>
            <w:gridSpan w:val="2"/>
          </w:tcPr>
          <w:p>
            <w:pPr>
              <w:spacing w:after="0"/>
              <w:rPr>
                <w:sz w:val="20"/>
                <w:szCs w:val="20"/>
                <w:color w:val="auto"/>
              </w:rPr>
            </w:pPr>
            <w:r>
              <w:rPr>
                <w:rFonts w:ascii="Arial" w:cs="Arial" w:eastAsia="Arial" w:hAnsi="Arial"/>
                <w:sz w:val="14"/>
                <w:szCs w:val="14"/>
                <w:color w:val="auto"/>
              </w:rPr>
              <w:t>Against</w:t>
            </w:r>
          </w:p>
        </w:tc>
        <w:tc>
          <w:tcPr>
            <w:tcW w:w="440" w:type="dxa"/>
            <w:vAlign w:val="bottom"/>
          </w:tcPr>
          <w:p>
            <w:pPr>
              <w:spacing w:after="0"/>
              <w:rPr>
                <w:sz w:val="20"/>
                <w:szCs w:val="20"/>
                <w:color w:val="auto"/>
              </w:rPr>
            </w:pPr>
            <w:r>
              <w:rPr>
                <w:rFonts w:ascii="Arial" w:cs="Arial" w:eastAsia="Arial" w:hAnsi="Arial"/>
                <w:sz w:val="14"/>
                <w:szCs w:val="14"/>
                <w:color w:val="auto"/>
                <w:w w:val="89"/>
              </w:rPr>
              <w:t>Abstain</w:t>
            </w:r>
          </w:p>
        </w:tc>
      </w:tr>
      <w:tr>
        <w:trPr>
          <w:trHeight w:val="279"/>
        </w:trPr>
        <w:tc>
          <w:tcPr>
            <w:tcW w:w="220" w:type="dxa"/>
            <w:vAlign w:val="bottom"/>
          </w:tcPr>
          <w:p>
            <w:pPr>
              <w:spacing w:after="0"/>
              <w:rPr>
                <w:sz w:val="24"/>
                <w:szCs w:val="24"/>
                <w:color w:val="auto"/>
              </w:rPr>
            </w:pPr>
          </w:p>
        </w:tc>
        <w:tc>
          <w:tcPr>
            <w:tcW w:w="3080" w:type="dxa"/>
            <w:vAlign w:val="bottom"/>
            <w:gridSpan w:val="2"/>
          </w:tcPr>
          <w:p>
            <w:pPr>
              <w:ind w:left="120"/>
              <w:spacing w:after="0"/>
              <w:rPr>
                <w:sz w:val="20"/>
                <w:szCs w:val="20"/>
                <w:color w:val="auto"/>
              </w:rPr>
            </w:pPr>
            <w:r>
              <w:rPr>
                <w:rFonts w:ascii="Arial" w:cs="Arial" w:eastAsia="Arial" w:hAnsi="Arial"/>
                <w:sz w:val="14"/>
                <w:szCs w:val="14"/>
                <w:b w:val="1"/>
                <w:bCs w:val="1"/>
                <w:color w:val="auto"/>
              </w:rPr>
              <w:t>Nominees:</w:t>
            </w:r>
          </w:p>
        </w:tc>
        <w:tc>
          <w:tcPr>
            <w:tcW w:w="4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273"/>
        </w:trPr>
        <w:tc>
          <w:tcPr>
            <w:tcW w:w="220" w:type="dxa"/>
            <w:vAlign w:val="bottom"/>
          </w:tcPr>
          <w:p>
            <w:pPr>
              <w:spacing w:after="0"/>
              <w:rPr>
                <w:sz w:val="23"/>
                <w:szCs w:val="23"/>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w w:val="92"/>
              </w:rPr>
              <w:t>1a.</w:t>
            </w:r>
          </w:p>
        </w:tc>
        <w:tc>
          <w:tcPr>
            <w:tcW w:w="2760" w:type="dxa"/>
            <w:vAlign w:val="bottom"/>
          </w:tcPr>
          <w:p>
            <w:pPr>
              <w:ind w:left="20"/>
              <w:spacing w:after="0"/>
              <w:rPr>
                <w:sz w:val="20"/>
                <w:szCs w:val="20"/>
                <w:color w:val="auto"/>
              </w:rPr>
            </w:pPr>
            <w:r>
              <w:rPr>
                <w:rFonts w:ascii="Arial" w:cs="Arial" w:eastAsia="Arial" w:hAnsi="Arial"/>
                <w:sz w:val="14"/>
                <w:szCs w:val="14"/>
                <w:color w:val="auto"/>
              </w:rPr>
              <w:t>Thomas Priore</w:t>
            </w:r>
          </w:p>
        </w:tc>
        <w:tc>
          <w:tcPr>
            <w:tcW w:w="460" w:type="dxa"/>
            <w:vAlign w:val="bottom"/>
          </w:tcPr>
          <w:p>
            <w:pPr>
              <w:spacing w:after="0"/>
              <w:rPr>
                <w:sz w:val="23"/>
                <w:szCs w:val="23"/>
                <w:color w:val="auto"/>
              </w:rPr>
            </w:pPr>
          </w:p>
        </w:tc>
        <w:tc>
          <w:tcPr>
            <w:tcW w:w="46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4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220" w:type="dxa"/>
            <w:vAlign w:val="bottom"/>
          </w:tcPr>
          <w:p>
            <w:pPr>
              <w:spacing w:after="0"/>
              <w:rPr>
                <w:sz w:val="23"/>
                <w:szCs w:val="23"/>
                <w:color w:val="auto"/>
              </w:rPr>
            </w:pPr>
          </w:p>
        </w:tc>
        <w:tc>
          <w:tcPr>
            <w:tcW w:w="3080" w:type="dxa"/>
            <w:vAlign w:val="bottom"/>
            <w:gridSpan w:val="2"/>
          </w:tcPr>
          <w:p>
            <w:pPr>
              <w:ind w:left="120"/>
              <w:spacing w:after="0"/>
              <w:rPr>
                <w:sz w:val="20"/>
                <w:szCs w:val="20"/>
                <w:color w:val="auto"/>
              </w:rPr>
            </w:pPr>
            <w:r>
              <w:rPr>
                <w:rFonts w:ascii="Arial" w:cs="Arial" w:eastAsia="Arial" w:hAnsi="Arial"/>
                <w:sz w:val="14"/>
                <w:szCs w:val="14"/>
                <w:color w:val="auto"/>
              </w:rPr>
              <w:t>1b. John Priore</w:t>
            </w:r>
          </w:p>
        </w:tc>
        <w:tc>
          <w:tcPr>
            <w:tcW w:w="460" w:type="dxa"/>
            <w:vAlign w:val="bottom"/>
          </w:tcPr>
          <w:p>
            <w:pPr>
              <w:spacing w:after="0"/>
              <w:rPr>
                <w:sz w:val="23"/>
                <w:szCs w:val="23"/>
                <w:color w:val="auto"/>
              </w:rPr>
            </w:pPr>
          </w:p>
        </w:tc>
        <w:tc>
          <w:tcPr>
            <w:tcW w:w="46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4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220" w:type="dxa"/>
            <w:vAlign w:val="bottom"/>
          </w:tcPr>
          <w:p>
            <w:pPr>
              <w:spacing w:after="0"/>
              <w:rPr>
                <w:sz w:val="23"/>
                <w:szCs w:val="23"/>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w w:val="96"/>
              </w:rPr>
              <w:t>1c.</w:t>
            </w:r>
          </w:p>
        </w:tc>
        <w:tc>
          <w:tcPr>
            <w:tcW w:w="2760" w:type="dxa"/>
            <w:vAlign w:val="bottom"/>
          </w:tcPr>
          <w:p>
            <w:pPr>
              <w:ind w:left="20"/>
              <w:spacing w:after="0"/>
              <w:rPr>
                <w:sz w:val="20"/>
                <w:szCs w:val="20"/>
                <w:color w:val="auto"/>
              </w:rPr>
            </w:pPr>
            <w:r>
              <w:rPr>
                <w:rFonts w:ascii="Arial" w:cs="Arial" w:eastAsia="Arial" w:hAnsi="Arial"/>
                <w:sz w:val="14"/>
                <w:szCs w:val="14"/>
                <w:color w:val="auto"/>
              </w:rPr>
              <w:t>William Gahan</w:t>
            </w:r>
          </w:p>
        </w:tc>
        <w:tc>
          <w:tcPr>
            <w:tcW w:w="460" w:type="dxa"/>
            <w:vAlign w:val="bottom"/>
          </w:tcPr>
          <w:p>
            <w:pPr>
              <w:spacing w:after="0"/>
              <w:rPr>
                <w:sz w:val="23"/>
                <w:szCs w:val="23"/>
                <w:color w:val="auto"/>
              </w:rPr>
            </w:pPr>
          </w:p>
        </w:tc>
        <w:tc>
          <w:tcPr>
            <w:tcW w:w="46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4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220" w:type="dxa"/>
            <w:vAlign w:val="bottom"/>
          </w:tcPr>
          <w:p>
            <w:pPr>
              <w:spacing w:after="0"/>
              <w:rPr>
                <w:sz w:val="23"/>
                <w:szCs w:val="23"/>
                <w:color w:val="auto"/>
              </w:rPr>
            </w:pPr>
          </w:p>
        </w:tc>
        <w:tc>
          <w:tcPr>
            <w:tcW w:w="3080" w:type="dxa"/>
            <w:vAlign w:val="bottom"/>
            <w:gridSpan w:val="2"/>
          </w:tcPr>
          <w:p>
            <w:pPr>
              <w:ind w:left="120"/>
              <w:spacing w:after="0"/>
              <w:rPr>
                <w:sz w:val="20"/>
                <w:szCs w:val="20"/>
                <w:color w:val="auto"/>
              </w:rPr>
            </w:pPr>
            <w:r>
              <w:rPr>
                <w:rFonts w:ascii="Arial" w:cs="Arial" w:eastAsia="Arial" w:hAnsi="Arial"/>
                <w:sz w:val="14"/>
                <w:szCs w:val="14"/>
                <w:color w:val="auto"/>
              </w:rPr>
              <w:t>1d. Matthew Kearney</w:t>
            </w:r>
          </w:p>
        </w:tc>
        <w:tc>
          <w:tcPr>
            <w:tcW w:w="460" w:type="dxa"/>
            <w:vAlign w:val="bottom"/>
          </w:tcPr>
          <w:p>
            <w:pPr>
              <w:spacing w:after="0"/>
              <w:rPr>
                <w:sz w:val="23"/>
                <w:szCs w:val="23"/>
                <w:color w:val="auto"/>
              </w:rPr>
            </w:pPr>
          </w:p>
        </w:tc>
        <w:tc>
          <w:tcPr>
            <w:tcW w:w="46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4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220" w:type="dxa"/>
            <w:vAlign w:val="bottom"/>
          </w:tcPr>
          <w:p>
            <w:pPr>
              <w:spacing w:after="0"/>
              <w:rPr>
                <w:sz w:val="23"/>
                <w:szCs w:val="23"/>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w w:val="92"/>
              </w:rPr>
              <w:t>1e.</w:t>
            </w:r>
          </w:p>
        </w:tc>
        <w:tc>
          <w:tcPr>
            <w:tcW w:w="2760" w:type="dxa"/>
            <w:vAlign w:val="bottom"/>
          </w:tcPr>
          <w:p>
            <w:pPr>
              <w:ind w:left="20"/>
              <w:spacing w:after="0"/>
              <w:rPr>
                <w:sz w:val="20"/>
                <w:szCs w:val="20"/>
                <w:color w:val="auto"/>
              </w:rPr>
            </w:pPr>
            <w:r>
              <w:rPr>
                <w:rFonts w:ascii="Arial" w:cs="Arial" w:eastAsia="Arial" w:hAnsi="Arial"/>
                <w:sz w:val="14"/>
                <w:szCs w:val="14"/>
                <w:color w:val="auto"/>
              </w:rPr>
              <w:t>Michael K. Passilla</w:t>
            </w:r>
          </w:p>
        </w:tc>
        <w:tc>
          <w:tcPr>
            <w:tcW w:w="460" w:type="dxa"/>
            <w:vAlign w:val="bottom"/>
          </w:tcPr>
          <w:p>
            <w:pPr>
              <w:spacing w:after="0"/>
              <w:rPr>
                <w:sz w:val="23"/>
                <w:szCs w:val="23"/>
                <w:color w:val="auto"/>
              </w:rPr>
            </w:pPr>
          </w:p>
        </w:tc>
        <w:tc>
          <w:tcPr>
            <w:tcW w:w="46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4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r>
      <w:tr>
        <w:trPr>
          <w:trHeight w:val="540"/>
        </w:trPr>
        <w:tc>
          <w:tcPr>
            <w:tcW w:w="3300" w:type="dxa"/>
            <w:vAlign w:val="bottom"/>
            <w:gridSpan w:val="3"/>
          </w:tcPr>
          <w:p>
            <w:pPr>
              <w:spacing w:after="0"/>
              <w:rPr>
                <w:sz w:val="20"/>
                <w:szCs w:val="20"/>
                <w:color w:val="auto"/>
              </w:rPr>
            </w:pPr>
            <w:r>
              <w:rPr>
                <w:rFonts w:ascii="Arial" w:cs="Arial" w:eastAsia="Arial" w:hAnsi="Arial"/>
                <w:sz w:val="14"/>
                <w:szCs w:val="14"/>
                <w:color w:val="auto"/>
              </w:rPr>
              <w:t>Please indicate if you plan to attend this meeting:</w:t>
            </w:r>
          </w:p>
        </w:tc>
        <w:tc>
          <w:tcPr>
            <w:tcW w:w="460" w:type="dxa"/>
            <w:vAlign w:val="bottom"/>
          </w:tcPr>
          <w:p>
            <w:pPr>
              <w:spacing w:after="0"/>
              <w:rPr>
                <w:sz w:val="24"/>
                <w:szCs w:val="24"/>
                <w:color w:val="auto"/>
              </w:rPr>
            </w:pPr>
          </w:p>
        </w:tc>
        <w:tc>
          <w:tcPr>
            <w:tcW w:w="46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440" w:type="dxa"/>
            <w:vAlign w:val="bottom"/>
          </w:tcPr>
          <w:p>
            <w:pPr>
              <w:spacing w:after="0"/>
              <w:rPr>
                <w:sz w:val="24"/>
                <w:szCs w:val="24"/>
                <w:color w:val="auto"/>
              </w:rPr>
            </w:pPr>
          </w:p>
        </w:tc>
      </w:tr>
      <w:tr>
        <w:trPr>
          <w:trHeight w:val="268"/>
        </w:trPr>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gridSpan w:val="2"/>
          </w:tcPr>
          <w:p>
            <w:pPr>
              <w:jc w:val="center"/>
              <w:ind w:right="40"/>
              <w:spacing w:after="0"/>
              <w:rPr>
                <w:sz w:val="20"/>
                <w:szCs w:val="20"/>
                <w:color w:val="auto"/>
              </w:rPr>
            </w:pPr>
            <w:r>
              <w:rPr>
                <w:rFonts w:ascii="Arial" w:cs="Arial" w:eastAsia="Arial" w:hAnsi="Arial"/>
                <w:sz w:val="14"/>
                <w:szCs w:val="14"/>
                <w:color w:val="auto"/>
                <w:w w:val="90"/>
              </w:rPr>
              <w:t>Yes</w:t>
            </w:r>
          </w:p>
        </w:tc>
        <w:tc>
          <w:tcPr>
            <w:tcW w:w="70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No</w:t>
            </w:r>
          </w:p>
        </w:tc>
        <w:tc>
          <w:tcPr>
            <w:tcW w:w="440" w:type="dxa"/>
            <w:vAlign w:val="bottom"/>
          </w:tcPr>
          <w:p>
            <w:pPr>
              <w:spacing w:after="0"/>
              <w:rPr>
                <w:sz w:val="23"/>
                <w:szCs w:val="23"/>
                <w:color w:val="auto"/>
              </w:rPr>
            </w:pPr>
          </w:p>
        </w:tc>
      </w:tr>
    </w:tbl>
    <w:p>
      <w:pPr>
        <w:spacing w:after="0" w:line="200" w:lineRule="exact"/>
        <w:rPr>
          <w:sz w:val="20"/>
          <w:szCs w:val="20"/>
          <w:color w:val="auto"/>
        </w:rPr>
      </w:pPr>
    </w:p>
    <w:p>
      <w:pPr>
        <w:spacing w:after="0" w:line="252" w:lineRule="exact"/>
        <w:rPr>
          <w:sz w:val="20"/>
          <w:szCs w:val="20"/>
          <w:color w:val="auto"/>
        </w:rPr>
      </w:pPr>
    </w:p>
    <w:p>
      <w:pPr>
        <w:ind w:left="40" w:right="1680"/>
        <w:spacing w:after="0" w:line="229"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3129915"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2991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right="2020"/>
        <w:spacing w:after="0" w:line="259" w:lineRule="auto"/>
        <w:rPr>
          <w:sz w:val="20"/>
          <w:szCs w:val="20"/>
          <w:color w:val="auto"/>
        </w:rPr>
      </w:pPr>
      <w:r>
        <w:rPr>
          <w:rFonts w:ascii="Arial" w:cs="Arial" w:eastAsia="Arial" w:hAnsi="Arial"/>
          <w:sz w:val="14"/>
          <w:szCs w:val="14"/>
          <w:b w:val="1"/>
          <w:bCs w:val="1"/>
          <w:color w:val="auto"/>
        </w:rPr>
        <w:t>The Board of Directors recommends that you vote FOR proposal 2.</w:t>
      </w:r>
    </w:p>
    <w:p>
      <w:pPr>
        <w:spacing w:after="0" w:line="291" w:lineRule="exact"/>
        <w:rPr>
          <w:sz w:val="20"/>
          <w:szCs w:val="20"/>
          <w:color w:val="auto"/>
        </w:rPr>
      </w:pPr>
    </w:p>
    <w:p>
      <w:pPr>
        <w:jc w:val="both"/>
        <w:ind w:left="3660"/>
        <w:spacing w:after="0"/>
        <w:tabs>
          <w:tab w:leader="none" w:pos="4080" w:val="left"/>
          <w:tab w:leader="none" w:pos="4760" w:val="left"/>
        </w:tabs>
        <w:rPr>
          <w:sz w:val="20"/>
          <w:szCs w:val="20"/>
          <w:color w:val="auto"/>
        </w:rPr>
      </w:pPr>
      <w:r>
        <w:rPr>
          <w:rFonts w:ascii="Arial" w:cs="Arial" w:eastAsia="Arial" w:hAnsi="Arial"/>
          <w:sz w:val="14"/>
          <w:szCs w:val="14"/>
          <w:u w:val="single" w:color="auto"/>
          <w:color w:val="auto"/>
        </w:rPr>
        <w:t>For</w:t>
      </w:r>
      <w:r>
        <w:rPr>
          <w:sz w:val="20"/>
          <w:szCs w:val="20"/>
          <w:color w:val="auto"/>
        </w:rPr>
        <w:tab/>
      </w:r>
      <w:r>
        <w:rPr>
          <w:rFonts w:ascii="Arial" w:cs="Arial" w:eastAsia="Arial" w:hAnsi="Arial"/>
          <w:sz w:val="14"/>
          <w:szCs w:val="14"/>
          <w:u w:val="single" w:color="auto"/>
          <w:color w:val="auto"/>
        </w:rPr>
        <w:t>Against</w:t>
      </w:r>
      <w:r>
        <w:rPr>
          <w:sz w:val="20"/>
          <w:szCs w:val="20"/>
          <w:color w:val="auto"/>
        </w:rPr>
        <w:tab/>
      </w:r>
      <w:r>
        <w:rPr>
          <w:rFonts w:ascii="Arial" w:cs="Arial" w:eastAsia="Arial" w:hAnsi="Arial"/>
          <w:sz w:val="13"/>
          <w:szCs w:val="13"/>
          <w:u w:val="single" w:color="auto"/>
          <w:color w:val="auto"/>
        </w:rPr>
        <w:t>Abstain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Ratification of the appointment of RSM US LLP as the</w:t>
      </w:r>
    </w:p>
    <w:p>
      <w:pPr>
        <w:spacing w:after="0" w:line="149" w:lineRule="exact"/>
        <w:tabs>
          <w:tab w:leader="none" w:pos="3760" w:val="left"/>
          <w:tab w:leader="none" w:pos="4320" w:val="left"/>
          <w:tab w:leader="none" w:pos="5000" w:val="left"/>
        </w:tabs>
        <w:rPr>
          <w:sz w:val="20"/>
          <w:szCs w:val="20"/>
          <w:color w:val="auto"/>
        </w:rPr>
      </w:pPr>
      <w:r>
        <w:rPr>
          <w:rFonts w:ascii="Arial" w:cs="Arial" w:eastAsia="Arial" w:hAnsi="Arial"/>
          <w:sz w:val="14"/>
          <w:szCs w:val="14"/>
          <w:color w:val="auto"/>
        </w:rPr>
        <w:t>Company's independent registered public accounting firm for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rPr>
          <w:sz w:val="20"/>
          <w:szCs w:val="20"/>
          <w:color w:val="auto"/>
        </w:rPr>
      </w:pPr>
      <w:r>
        <w:rPr>
          <w:rFonts w:ascii="Arial" w:cs="Arial" w:eastAsia="Arial" w:hAnsi="Arial"/>
          <w:sz w:val="14"/>
          <w:szCs w:val="14"/>
          <w:color w:val="auto"/>
        </w:rPr>
        <w:t>the year ending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840"/>
        <w:spacing w:after="0" w:line="238" w:lineRule="auto"/>
        <w:rPr>
          <w:sz w:val="20"/>
          <w:szCs w:val="20"/>
          <w:color w:val="auto"/>
        </w:rPr>
      </w:pPr>
      <w:r>
        <w:rPr>
          <w:rFonts w:ascii="Arial" w:cs="Arial" w:eastAsia="Arial" w:hAnsi="Arial"/>
          <w:sz w:val="14"/>
          <w:szCs w:val="14"/>
          <w:color w:val="auto"/>
        </w:rPr>
        <w:t>NOTE: To consider such other business as may properly come before the Annual Meeting and any 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1217295</wp:posOffset>
            </wp:positionV>
            <wp:extent cx="304419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44190" cy="291465"/>
                    </a:xfrm>
                    <a:prstGeom prst="rect">
                      <a:avLst/>
                    </a:prstGeom>
                    <a:noFill/>
                  </pic:spPr>
                </pic:pic>
              </a:graphicData>
            </a:graphic>
          </wp:anchor>
        </w:drawing>
      </w:r>
    </w:p>
    <w:p>
      <w:pPr>
        <w:spacing w:after="0" w:line="1574" w:lineRule="exact"/>
        <w:rPr>
          <w:sz w:val="20"/>
          <w:szCs w:val="20"/>
          <w:color w:val="auto"/>
        </w:rPr>
      </w:pPr>
    </w:p>
    <w:p>
      <w:pPr>
        <w:sectPr>
          <w:pgSz w:w="11900" w:h="16838" w:orient="portrait"/>
          <w:cols w:equalWidth="0" w:num="2">
            <w:col w:w="5400" w:space="600"/>
            <w:col w:w="5420"/>
          </w:cols>
          <w:pgMar w:left="240" w:top="52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4200" w:val="left"/>
          <w:tab w:leader="none" w:pos="5980" w:val="left"/>
          <w:tab w:leader="none" w:pos="100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420"/>
          </w:cols>
          <w:pgMar w:left="240" w:top="52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526" w:right="2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color w:val="auto"/>
        </w:rPr>
        <w:t>[control number]</w:t>
      </w: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The Notice and Proxy Statement and Annual Report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p>
    <w:p>
      <w:pPr>
        <w:spacing w:after="0" w:line="18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24, 2019 9:00 A.M. Eastern Daylight Time</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undersigned hereby appoints Thomas C. Priore and Christopher Prince, and each of them, with power to act without the other and with power of substitution, as proxies and attorneys-in-fact and hereby authorizes them to represent and vote, as provided on the other side, all the shares of Priority Technology Holdings, Inc. common stock which the undersigned is entitled to vote and, in their discretion, to vote upon such other business as may properly come before the Annual Meeting of Stockholders of the Company to be held June 24, 2019 at 1156 Avenue of the Americas, New York, NY, 10036 or any adjournment or postponement thereof, with all powers which the undersigned would possess if present at the meeting.</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THIS PROXY CARD, WHEN PROPERLY EXECUTED, WILL BE VOTED IN THE MANNER DIRECTED HEREIN BY THE UNDERSIGNED. IF NO DIRECTION IS MADE BUT THE CARD IS SIGNED, THIS PROXY CARD WILL BE VOTED FOR THE ELECTION OF ALL FIVE NOMINEES UNDER PROPOSAL 1, FOR PROPOSAL 2, AND IN THE DISCRETION OF THE PROXIES WITH RESPECT TO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27</w:t>
      </w:r>
    </w:p>
    <w:sectPr>
      <w:pgSz w:w="11900" w:h="16838" w:orient="portrait"/>
      <w:cols w:equalWidth="0" w:num="1">
        <w:col w:w="11300"/>
      </w:cols>
      <w:pgMar w:left="36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X"/>
      <w:numFmt w:val="bullet"/>
      <w:start w:val="1"/>
    </w:lvl>
  </w:abstractNum>
  <w:abstractNum w:abstractNumId="2">
    <w:nsid w:val="1BEFD79F"/>
    <w:multiLevelType w:val="hybridMultilevel"/>
    <w:lvl w:ilvl="0">
      <w:lvlJc w:val="left"/>
      <w:lvlText w:val="☐"/>
      <w:numFmt w:val="bullet"/>
      <w:start w:val="1"/>
    </w:lvl>
    <w:lvl w:ilvl="1">
      <w:lvlJc w:val="left"/>
      <w:lvlText w:val="%2)"/>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2019-12-01T21:57:44Z</dcterms:created>
  <dcterms:modified xsi:type="dcterms:W3CDTF">2019-12-01T21:57:44Z</dcterms:modified>
</cp:coreProperties>
</file>