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Favilla Christina M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071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07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04/01/2020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39,894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-1971040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Subject to the Reporting Person's continued service as a director of the Issuer, the restricted stock units vest 25% on April 1, 2020, 25% on July 1, 2020, 25% on October 1, 2020, and 25% on January 1, 2021.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460"/>
        <w:spacing w:after="0" w:line="24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/s/ Christina M Favilla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04/03/2020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2020-04-03T12:36:22Z</dcterms:created>
  <dcterms:modified xsi:type="dcterms:W3CDTF">2020-04-03T12:36:22Z</dcterms:modified>
</cp:coreProperties>
</file>