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80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8028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0"/>
        <w:spacing w:after="0" w:line="344" w:lineRule="auto"/>
        <w:rPr>
          <w:sz w:val="20"/>
          <w:szCs w:val="20"/>
          <w:color w:val="auto"/>
        </w:rPr>
      </w:pPr>
      <w:r>
        <w:rPr>
          <w:rFonts w:ascii="Times New Roman" w:cs="Times New Roman" w:eastAsia="Times New Roman" w:hAnsi="Times New Roman"/>
          <w:sz w:val="17"/>
          <w:szCs w:val="17"/>
          <w:color w:val="0000FF"/>
        </w:rPr>
        <w:t>C/O PRIORITY TECHNOLOGY HOLDINGS, INC. 2001 WESTSIDE PARKWAY, SUITE 155</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ALPHARETTA</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30004</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General Counsel and CRO</w:t>
            </w:r>
          </w:p>
        </w:tc>
        <w:tc>
          <w:tcPr>
            <w:tcW w:w="0" w:type="dxa"/>
            <w:vAlign w:val="bottom"/>
          </w:tcPr>
          <w:p>
            <w:pPr>
              <w:spacing w:after="0"/>
              <w:rPr>
                <w:sz w:val="1"/>
                <w:szCs w:val="1"/>
                <w:color w:val="auto"/>
              </w:rPr>
            </w:pPr>
          </w:p>
        </w:tc>
      </w:tr>
      <w:tr>
        <w:trPr>
          <w:trHeight w:val="218"/>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02/17/2025</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02/17/2025</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66,667</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311,146</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02/17/2025</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66,667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66,667</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5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 2022, a grant was approved for the Reporting Person for 200,000 restricted stock units which 66,666 vest on February 17, 2023, 66,666 vest on February 17, 2024, and 66,667 vest on February 17, 2025 subject to the Reporting Person's continued employment with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Bradley J. Miller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02/20/2025</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5973"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2025-02-20T10:52:30Z</dcterms:created>
  <dcterms:modified xsi:type="dcterms:W3CDTF">2025-02-20T10:52:30Z</dcterms:modified>
</cp:coreProperties>
</file>