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 I Acquisitions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55304A104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right="10060" w:firstLine="8"/>
        <w:spacing w:after="0" w:line="265" w:lineRule="auto"/>
        <w:tabs>
          <w:tab w:leader="none" w:pos="150"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51" w:lineRule="exact"/>
        <w:rPr>
          <w:sz w:val="24"/>
          <w:szCs w:val="24"/>
          <w:color w:val="auto"/>
        </w:rPr>
      </w:pPr>
    </w:p>
    <w:p>
      <w:pPr>
        <w:ind w:firstLine="8"/>
        <w:spacing w:after="0" w:line="194" w:lineRule="auto"/>
        <w:tabs>
          <w:tab w:leader="none" w:pos="113"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NAMES OF REPORTING PERSONS</w:t>
      </w:r>
    </w:p>
    <w:p>
      <w:pPr>
        <w:ind w:left="380" w:hanging="372"/>
        <w:spacing w:after="0" w:line="185" w:lineRule="auto"/>
        <w:tabs>
          <w:tab w:leader="none" w:pos="380" w:val="left"/>
        </w:tabs>
        <w:numPr>
          <w:ilvl w:val="0"/>
          <w:numId w:val="3"/>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380"/>
        <w:spacing w:after="0"/>
        <w:rPr>
          <w:rFonts w:ascii="Arial" w:cs="Arial" w:eastAsia="Arial" w:hAnsi="Arial"/>
          <w:sz w:val="27"/>
          <w:szCs w:val="27"/>
          <w:color w:val="auto"/>
          <w:vertAlign w:val="subscript"/>
        </w:rPr>
      </w:pPr>
      <w:r>
        <w:rPr>
          <w:rFonts w:ascii="Arial" w:cs="Arial" w:eastAsia="Arial" w:hAnsi="Arial"/>
          <w:sz w:val="18"/>
          <w:szCs w:val="18"/>
          <w:color w:val="auto"/>
        </w:rPr>
        <w:t>Boothbay Absolute Return Strategies LP</w:t>
      </w:r>
    </w:p>
    <w:p>
      <w:pPr>
        <w:spacing w:after="0" w:line="36" w:lineRule="exact"/>
        <w:rPr>
          <w:rFonts w:ascii="Arial" w:cs="Arial" w:eastAsia="Arial" w:hAnsi="Arial"/>
          <w:sz w:val="27"/>
          <w:szCs w:val="27"/>
          <w:color w:val="auto"/>
          <w:vertAlign w:val="subscript"/>
        </w:rPr>
      </w:pPr>
    </w:p>
    <w:p>
      <w:pPr>
        <w:ind w:left="38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380" w:hanging="372"/>
        <w:spacing w:after="0" w:line="180" w:lineRule="auto"/>
        <w:tabs>
          <w:tab w:leader="none" w:pos="380" w:val="left"/>
        </w:tabs>
        <w:numPr>
          <w:ilvl w:val="0"/>
          <w:numId w:val="3"/>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720" w:hanging="334"/>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740" w:hanging="354"/>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ind w:left="380" w:hanging="372"/>
        <w:spacing w:after="0" w:line="181" w:lineRule="auto"/>
        <w:tabs>
          <w:tab w:leader="none" w:pos="380" w:val="left"/>
        </w:tabs>
        <w:numPr>
          <w:ilvl w:val="0"/>
          <w:numId w:val="3"/>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9880" w:type="dxa"/>
            <w:vAlign w:val="bottom"/>
            <w:gridSpan w:val="2"/>
          </w:tcPr>
          <w:p>
            <w:pPr>
              <w:jc w:val="right"/>
              <w:ind w:right="95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540" w:type="dxa"/>
            <w:vAlign w:val="bottom"/>
            <w:vMerge w:val="restart"/>
          </w:tcPr>
          <w:p>
            <w:pPr>
              <w:jc w:val="center"/>
              <w:ind w:left="10"/>
              <w:spacing w:after="0"/>
              <w:rPr>
                <w:sz w:val="20"/>
                <w:szCs w:val="20"/>
                <w:color w:val="auto"/>
              </w:rPr>
            </w:pPr>
            <w:r>
              <w:rPr>
                <w:rFonts w:ascii="Arial" w:cs="Arial" w:eastAsia="Arial" w:hAnsi="Arial"/>
                <w:sz w:val="18"/>
                <w:szCs w:val="18"/>
                <w:color w:val="auto"/>
                <w:w w:val="96"/>
              </w:rPr>
              <w:t>NUMBER OF</w:t>
            </w:r>
          </w:p>
        </w:tc>
        <w:tc>
          <w:tcPr>
            <w:tcW w:w="988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800" w:type="dxa"/>
            <w:vAlign w:val="bottom"/>
            <w:tcBorders>
              <w:top w:val="single" w:sz="8" w:color="auto"/>
            </w:tcBorders>
            <w:vMerge w:val="restart"/>
          </w:tcPr>
          <w:p>
            <w:pPr>
              <w:ind w:left="3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54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8"/>
                <w:szCs w:val="8"/>
                <w:color w:val="auto"/>
              </w:rPr>
            </w:pPr>
          </w:p>
        </w:tc>
        <w:tc>
          <w:tcPr>
            <w:tcW w:w="9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9880" w:type="dxa"/>
            <w:vAlign w:val="bottom"/>
            <w:gridSpan w:val="2"/>
            <w:vMerge w:val="restart"/>
          </w:tcPr>
          <w:p>
            <w:pPr>
              <w:jc w:val="right"/>
              <w:ind w:right="95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1540" w:type="dxa"/>
            <w:vAlign w:val="bottom"/>
          </w:tcPr>
          <w:p>
            <w:pPr>
              <w:jc w:val="center"/>
              <w:ind w:left="10"/>
              <w:spacing w:after="0" w:line="176" w:lineRule="exact"/>
              <w:rPr>
                <w:sz w:val="20"/>
                <w:szCs w:val="20"/>
                <w:color w:val="auto"/>
              </w:rPr>
            </w:pPr>
            <w:r>
              <w:rPr>
                <w:rFonts w:ascii="Arial" w:cs="Arial" w:eastAsia="Arial" w:hAnsi="Arial"/>
                <w:sz w:val="18"/>
                <w:szCs w:val="18"/>
                <w:color w:val="auto"/>
              </w:rPr>
              <w:t>BENEFICIALLY</w:t>
            </w:r>
          </w:p>
        </w:tc>
        <w:tc>
          <w:tcPr>
            <w:tcW w:w="9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540" w:type="dxa"/>
            <w:vAlign w:val="bottom"/>
          </w:tcPr>
          <w:p>
            <w:pPr>
              <w:jc w:val="center"/>
              <w:ind w:left="10"/>
              <w:spacing w:after="0" w:line="157" w:lineRule="exact"/>
              <w:rPr>
                <w:sz w:val="20"/>
                <w:szCs w:val="20"/>
                <w:color w:val="auto"/>
              </w:rPr>
            </w:pPr>
            <w:r>
              <w:rPr>
                <w:rFonts w:ascii="Arial" w:cs="Arial" w:eastAsia="Arial" w:hAnsi="Arial"/>
                <w:sz w:val="18"/>
                <w:szCs w:val="18"/>
                <w:color w:val="auto"/>
                <w:w w:val="97"/>
              </w:rPr>
              <w:t>OWNED BY</w:t>
            </w:r>
          </w:p>
        </w:tc>
        <w:tc>
          <w:tcPr>
            <w:tcW w:w="80" w:type="dxa"/>
            <w:vAlign w:val="bottom"/>
          </w:tcPr>
          <w:p>
            <w:pPr>
              <w:spacing w:after="0"/>
              <w:rPr>
                <w:sz w:val="13"/>
                <w:szCs w:val="13"/>
                <w:color w:val="auto"/>
              </w:rPr>
            </w:pPr>
          </w:p>
        </w:tc>
        <w:tc>
          <w:tcPr>
            <w:tcW w:w="9800" w:type="dxa"/>
            <w:vAlign w:val="bottom"/>
            <w:tcBorders>
              <w:bottom w:val="single" w:sz="8" w:color="auto"/>
            </w:tcBorders>
          </w:tcPr>
          <w:p>
            <w:pPr>
              <w:ind w:left="380"/>
              <w:spacing w:after="0" w:line="149" w:lineRule="exact"/>
              <w:rPr>
                <w:sz w:val="20"/>
                <w:szCs w:val="20"/>
                <w:color w:val="auto"/>
              </w:rPr>
            </w:pPr>
            <w:r>
              <w:rPr>
                <w:rFonts w:ascii="Arial" w:cs="Arial" w:eastAsia="Arial" w:hAnsi="Arial"/>
                <w:sz w:val="17"/>
                <w:szCs w:val="17"/>
                <w:color w:val="auto"/>
              </w:rPr>
              <w:t>600,833*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0"/>
        </w:trPr>
        <w:tc>
          <w:tcPr>
            <w:tcW w:w="1300" w:type="dxa"/>
            <w:vAlign w:val="bottom"/>
            <w:vMerge w:val="restart"/>
          </w:tcPr>
          <w:p>
            <w:pPr>
              <w:jc w:val="center"/>
              <w:ind w:right="10"/>
              <w:spacing w:after="0"/>
              <w:rPr>
                <w:sz w:val="20"/>
                <w:szCs w:val="20"/>
                <w:color w:val="auto"/>
              </w:rPr>
            </w:pPr>
            <w:r>
              <w:rPr>
                <w:rFonts w:ascii="Arial" w:cs="Arial" w:eastAsia="Arial" w:hAnsi="Arial"/>
                <w:sz w:val="18"/>
                <w:szCs w:val="18"/>
                <w:color w:val="auto"/>
                <w:w w:val="95"/>
              </w:rPr>
              <w:t>EACH</w:t>
            </w:r>
          </w:p>
        </w:tc>
        <w:tc>
          <w:tcPr>
            <w:tcW w:w="100" w:type="dxa"/>
            <w:vAlign w:val="bottom"/>
          </w:tcPr>
          <w:p>
            <w:pPr>
              <w:spacing w:after="0"/>
              <w:rPr>
                <w:sz w:val="17"/>
                <w:szCs w:val="17"/>
                <w:color w:val="auto"/>
              </w:rPr>
            </w:pPr>
          </w:p>
        </w:tc>
        <w:tc>
          <w:tcPr>
            <w:tcW w:w="9800" w:type="dxa"/>
            <w:vAlign w:val="bottom"/>
          </w:tcPr>
          <w:p>
            <w:pPr>
              <w:ind w:left="380"/>
              <w:spacing w:after="0" w:line="20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300" w:type="dxa"/>
            <w:vAlign w:val="bottom"/>
            <w:vMerge w:val="continue"/>
          </w:tcPr>
          <w:p>
            <w:pPr>
              <w:spacing w:after="0"/>
              <w:rPr>
                <w:sz w:val="8"/>
                <w:szCs w:val="8"/>
                <w:color w:val="auto"/>
              </w:rPr>
            </w:pPr>
          </w:p>
        </w:tc>
        <w:tc>
          <w:tcPr>
            <w:tcW w:w="9900" w:type="dxa"/>
            <w:vAlign w:val="bottom"/>
            <w:gridSpan w:val="2"/>
            <w:vMerge w:val="restart"/>
          </w:tcPr>
          <w:p>
            <w:pPr>
              <w:jc w:val="right"/>
              <w:ind w:right="95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300" w:type="dxa"/>
            <w:vAlign w:val="bottom"/>
            <w:vMerge w:val="restart"/>
          </w:tcPr>
          <w:p>
            <w:pPr>
              <w:jc w:val="center"/>
              <w:ind w:right="10"/>
              <w:spacing w:after="0"/>
              <w:rPr>
                <w:sz w:val="20"/>
                <w:szCs w:val="20"/>
                <w:color w:val="auto"/>
              </w:rPr>
            </w:pPr>
            <w:r>
              <w:rPr>
                <w:rFonts w:ascii="Arial" w:cs="Arial" w:eastAsia="Arial" w:hAnsi="Arial"/>
                <w:sz w:val="18"/>
                <w:szCs w:val="18"/>
                <w:color w:val="auto"/>
                <w:w w:val="93"/>
              </w:rPr>
              <w:t>REPORTING</w:t>
            </w:r>
          </w:p>
        </w:tc>
        <w:tc>
          <w:tcPr>
            <w:tcW w:w="9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00" w:type="dxa"/>
            <w:vAlign w:val="bottom"/>
            <w:vMerge w:val="continue"/>
          </w:tcPr>
          <w:p>
            <w:pPr>
              <w:spacing w:after="0"/>
              <w:rPr>
                <w:sz w:val="8"/>
                <w:szCs w:val="8"/>
                <w:color w:val="auto"/>
              </w:rPr>
            </w:pPr>
          </w:p>
        </w:tc>
        <w:tc>
          <w:tcPr>
            <w:tcW w:w="9900" w:type="dxa"/>
            <w:vAlign w:val="bottom"/>
            <w:gridSpan w:val="2"/>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30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PERSON WITH</w:t>
            </w:r>
          </w:p>
        </w:tc>
        <w:tc>
          <w:tcPr>
            <w:tcW w:w="9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800" w:type="dxa"/>
            <w:vAlign w:val="bottom"/>
            <w:tcBorders>
              <w:top w:val="single" w:sz="8" w:color="auto"/>
            </w:tcBorders>
            <w:vMerge w:val="restart"/>
          </w:tcPr>
          <w:p>
            <w:pPr>
              <w:ind w:left="38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9900" w:type="dxa"/>
            <w:vAlign w:val="bottom"/>
            <w:gridSpan w:val="2"/>
          </w:tcPr>
          <w:p>
            <w:pPr>
              <w:jc w:val="right"/>
              <w:ind w:right="95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9900" w:type="dxa"/>
            <w:vAlign w:val="bottom"/>
            <w:gridSpan w:val="2"/>
          </w:tcPr>
          <w:p>
            <w:pPr>
              <w:ind w:left="480"/>
              <w:spacing w:after="0"/>
              <w:rPr>
                <w:sz w:val="20"/>
                <w:szCs w:val="20"/>
                <w:color w:val="auto"/>
              </w:rPr>
            </w:pPr>
            <w:r>
              <w:rPr>
                <w:rFonts w:ascii="Arial" w:cs="Arial" w:eastAsia="Arial" w:hAnsi="Arial"/>
                <w:sz w:val="18"/>
                <w:szCs w:val="18"/>
                <w:color w:val="auto"/>
              </w:rPr>
              <w:t>600,833*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ind w:left="380"/>
        <w:spacing w:after="0" w:line="204" w:lineRule="auto"/>
        <w:rPr>
          <w:sz w:val="20"/>
          <w:szCs w:val="20"/>
          <w:color w:val="auto"/>
        </w:rPr>
      </w:pPr>
      <w:r>
        <w:rPr>
          <w:rFonts w:ascii="Arial" w:cs="Arial" w:eastAsia="Arial" w:hAnsi="Arial"/>
          <w:sz w:val="18"/>
          <w:szCs w:val="18"/>
          <w:color w:val="auto"/>
        </w:rPr>
        <w:t>600,833</w:t>
      </w:r>
      <w:r>
        <w:rPr>
          <w:rFonts w:ascii="Arial" w:cs="Arial" w:eastAsia="Arial" w:hAnsi="Arial"/>
          <w:sz w:val="30"/>
          <w:szCs w:val="3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NAMES OF REPORTING PERSONS</w:t>
      </w:r>
    </w:p>
    <w:p>
      <w:pPr>
        <w:ind w:left="380" w:hanging="372"/>
        <w:spacing w:after="0" w:line="185" w:lineRule="auto"/>
        <w:tabs>
          <w:tab w:leader="none" w:pos="380" w:val="left"/>
        </w:tabs>
        <w:numPr>
          <w:ilvl w:val="0"/>
          <w:numId w:val="4"/>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380"/>
        <w:spacing w:after="0"/>
        <w:rPr>
          <w:rFonts w:ascii="Arial" w:cs="Arial" w:eastAsia="Arial" w:hAnsi="Arial"/>
          <w:sz w:val="27"/>
          <w:szCs w:val="27"/>
          <w:color w:val="auto"/>
          <w:vertAlign w:val="subscript"/>
        </w:rPr>
      </w:pPr>
      <w:r>
        <w:rPr>
          <w:rFonts w:ascii="Arial" w:cs="Arial" w:eastAsia="Arial" w:hAnsi="Arial"/>
          <w:sz w:val="18"/>
          <w:szCs w:val="18"/>
          <w:color w:val="auto"/>
        </w:rPr>
        <w:t>Boothbay Fund Management, LLC</w:t>
      </w:r>
    </w:p>
    <w:p>
      <w:pPr>
        <w:spacing w:after="0" w:line="36" w:lineRule="exact"/>
        <w:rPr>
          <w:rFonts w:ascii="Arial" w:cs="Arial" w:eastAsia="Arial" w:hAnsi="Arial"/>
          <w:sz w:val="27"/>
          <w:szCs w:val="27"/>
          <w:color w:val="auto"/>
          <w:vertAlign w:val="subscript"/>
        </w:rPr>
      </w:pPr>
    </w:p>
    <w:p>
      <w:pPr>
        <w:ind w:left="38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380" w:hanging="372"/>
        <w:spacing w:after="0" w:line="180" w:lineRule="auto"/>
        <w:tabs>
          <w:tab w:leader="none" w:pos="380" w:val="left"/>
        </w:tabs>
        <w:numPr>
          <w:ilvl w:val="0"/>
          <w:numId w:val="4"/>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720" w:hanging="334"/>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740" w:hanging="354"/>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ind w:left="380" w:hanging="372"/>
        <w:spacing w:after="0" w:line="181" w:lineRule="auto"/>
        <w:tabs>
          <w:tab w:leader="none" w:pos="380" w:val="left"/>
        </w:tabs>
        <w:numPr>
          <w:ilvl w:val="0"/>
          <w:numId w:val="4"/>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5.</w:t>
            </w:r>
          </w:p>
        </w:tc>
        <w:tc>
          <w:tcPr>
            <w:tcW w:w="9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954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540" w:type="dxa"/>
            <w:vAlign w:val="bottom"/>
            <w:vMerge w:val="restart"/>
          </w:tcPr>
          <w:p>
            <w:pPr>
              <w:jc w:val="center"/>
              <w:ind w:left="24"/>
              <w:spacing w:after="0"/>
              <w:rPr>
                <w:sz w:val="20"/>
                <w:szCs w:val="20"/>
                <w:color w:val="auto"/>
              </w:rPr>
            </w:pPr>
            <w:r>
              <w:rPr>
                <w:rFonts w:ascii="Arial" w:cs="Arial" w:eastAsia="Arial" w:hAnsi="Arial"/>
                <w:sz w:val="18"/>
                <w:szCs w:val="18"/>
                <w:color w:val="auto"/>
                <w:w w:val="96"/>
              </w:rPr>
              <w:t>NUMBER OF</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540" w:type="dxa"/>
            <w:vAlign w:val="bottom"/>
          </w:tcPr>
          <w:p>
            <w:pPr>
              <w:ind w:left="120"/>
              <w:spacing w:after="0" w:line="16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540" w:type="dxa"/>
            <w:vAlign w:val="bottom"/>
          </w:tcPr>
          <w:p>
            <w:pPr>
              <w:jc w:val="center"/>
              <w:ind w:left="24"/>
              <w:spacing w:after="0" w:line="201" w:lineRule="exact"/>
              <w:rPr>
                <w:sz w:val="20"/>
                <w:szCs w:val="20"/>
                <w:color w:val="auto"/>
              </w:rPr>
            </w:pPr>
            <w:r>
              <w:rPr>
                <w:rFonts w:ascii="Arial" w:cs="Arial" w:eastAsia="Arial" w:hAnsi="Arial"/>
                <w:sz w:val="18"/>
                <w:szCs w:val="18"/>
                <w:color w:val="auto"/>
                <w:w w:val="91"/>
              </w:rPr>
              <w:t>SHARES</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w:t>
            </w: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540" w:type="dxa"/>
            <w:vAlign w:val="bottom"/>
          </w:tcPr>
          <w:p>
            <w:pPr>
              <w:jc w:val="center"/>
              <w:ind w:left="24"/>
              <w:spacing w:after="0"/>
              <w:rPr>
                <w:sz w:val="20"/>
                <w:szCs w:val="20"/>
                <w:color w:val="auto"/>
              </w:rPr>
            </w:pPr>
            <w:r>
              <w:rPr>
                <w:rFonts w:ascii="Arial" w:cs="Arial" w:eastAsia="Arial" w:hAnsi="Arial"/>
                <w:sz w:val="18"/>
                <w:szCs w:val="18"/>
                <w:color w:val="auto"/>
              </w:rPr>
              <w:t>BENEFICIALLY</w:t>
            </w:r>
          </w:p>
        </w:tc>
        <w:tc>
          <w:tcPr>
            <w:tcW w:w="340" w:type="dxa"/>
            <w:vAlign w:val="bottom"/>
            <w:gridSpan w:val="2"/>
            <w:vMerge w:val="continue"/>
          </w:tcPr>
          <w:p>
            <w:pPr>
              <w:spacing w:after="0"/>
              <w:rPr>
                <w:sz w:val="23"/>
                <w:szCs w:val="23"/>
                <w:color w:val="auto"/>
              </w:rPr>
            </w:pPr>
          </w:p>
        </w:tc>
        <w:tc>
          <w:tcPr>
            <w:tcW w:w="9540" w:type="dxa"/>
            <w:vAlign w:val="bottom"/>
          </w:tcPr>
          <w:p>
            <w:pPr>
              <w:ind w:left="120"/>
              <w:spacing w:after="0" w:line="271" w:lineRule="exact"/>
              <w:rPr>
                <w:sz w:val="20"/>
                <w:szCs w:val="20"/>
                <w:color w:val="auto"/>
              </w:rPr>
            </w:pPr>
            <w:r>
              <w:rPr>
                <w:rFonts w:ascii="Arial" w:cs="Arial" w:eastAsia="Arial" w:hAnsi="Arial"/>
                <w:sz w:val="18"/>
                <w:szCs w:val="18"/>
                <w:color w:val="auto"/>
              </w:rPr>
              <w:t>600,833</w:t>
            </w:r>
            <w:r>
              <w:rPr>
                <w:rFonts w:ascii="Arial" w:cs="Arial" w:eastAsia="Arial" w:hAnsi="Arial"/>
                <w:sz w:val="30"/>
                <w:szCs w:val="30"/>
                <w:color w:val="auto"/>
                <w:vertAlign w:val="superscript"/>
              </w:rPr>
              <w:t>*</w:t>
            </w:r>
          </w:p>
        </w:tc>
        <w:tc>
          <w:tcPr>
            <w:tcW w:w="0" w:type="dxa"/>
            <w:vAlign w:val="bottom"/>
          </w:tcPr>
          <w:p>
            <w:pPr>
              <w:spacing w:after="0"/>
              <w:rPr>
                <w:sz w:val="1"/>
                <w:szCs w:val="1"/>
                <w:color w:val="auto"/>
              </w:rPr>
            </w:pPr>
          </w:p>
        </w:tc>
      </w:tr>
      <w:tr>
        <w:trPr>
          <w:trHeight w:val="63"/>
        </w:trPr>
        <w:tc>
          <w:tcPr>
            <w:tcW w:w="1540" w:type="dxa"/>
            <w:vAlign w:val="bottom"/>
          </w:tcPr>
          <w:p>
            <w:pPr>
              <w:jc w:val="center"/>
              <w:ind w:left="24"/>
              <w:spacing w:after="0" w:line="63" w:lineRule="exact"/>
              <w:rPr>
                <w:sz w:val="20"/>
                <w:szCs w:val="20"/>
                <w:color w:val="auto"/>
              </w:rPr>
            </w:pPr>
            <w:r>
              <w:rPr>
                <w:rFonts w:ascii="Arial" w:cs="Arial" w:eastAsia="Arial" w:hAnsi="Arial"/>
                <w:sz w:val="7"/>
                <w:szCs w:val="7"/>
                <w:color w:val="auto"/>
              </w:rPr>
              <w:t>OWNED BY</w:t>
            </w: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0"/>
        </w:trPr>
        <w:tc>
          <w:tcPr>
            <w:tcW w:w="1300" w:type="dxa"/>
            <w:vAlign w:val="bottom"/>
            <w:vMerge w:val="restart"/>
          </w:tcPr>
          <w:p>
            <w:pPr>
              <w:jc w:val="center"/>
              <w:ind w:right="10"/>
              <w:spacing w:after="0"/>
              <w:rPr>
                <w:sz w:val="20"/>
                <w:szCs w:val="20"/>
                <w:color w:val="auto"/>
              </w:rPr>
            </w:pPr>
            <w:r>
              <w:rPr>
                <w:rFonts w:ascii="Arial" w:cs="Arial" w:eastAsia="Arial" w:hAnsi="Arial"/>
                <w:sz w:val="18"/>
                <w:szCs w:val="18"/>
                <w:color w:val="auto"/>
                <w:w w:val="95"/>
              </w:rPr>
              <w:t>EACH</w:t>
            </w:r>
          </w:p>
        </w:tc>
        <w:tc>
          <w:tcPr>
            <w:tcW w:w="100" w:type="dxa"/>
            <w:vAlign w:val="bottom"/>
          </w:tcPr>
          <w:p>
            <w:pPr>
              <w:spacing w:after="0"/>
              <w:rPr>
                <w:sz w:val="17"/>
                <w:szCs w:val="17"/>
                <w:color w:val="auto"/>
              </w:rPr>
            </w:pPr>
          </w:p>
        </w:tc>
        <w:tc>
          <w:tcPr>
            <w:tcW w:w="9800" w:type="dxa"/>
            <w:vAlign w:val="bottom"/>
          </w:tcPr>
          <w:p>
            <w:pPr>
              <w:ind w:left="380"/>
              <w:spacing w:after="0" w:line="20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300" w:type="dxa"/>
            <w:vAlign w:val="bottom"/>
            <w:vMerge w:val="continue"/>
          </w:tcPr>
          <w:p>
            <w:pPr>
              <w:spacing w:after="0"/>
              <w:rPr>
                <w:sz w:val="8"/>
                <w:szCs w:val="8"/>
                <w:color w:val="auto"/>
              </w:rPr>
            </w:pPr>
          </w:p>
        </w:tc>
        <w:tc>
          <w:tcPr>
            <w:tcW w:w="9900" w:type="dxa"/>
            <w:vAlign w:val="bottom"/>
            <w:gridSpan w:val="2"/>
            <w:vMerge w:val="restart"/>
          </w:tcPr>
          <w:p>
            <w:pPr>
              <w:jc w:val="right"/>
              <w:ind w:right="95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300" w:type="dxa"/>
            <w:vAlign w:val="bottom"/>
            <w:vMerge w:val="restart"/>
          </w:tcPr>
          <w:p>
            <w:pPr>
              <w:jc w:val="center"/>
              <w:ind w:right="10"/>
              <w:spacing w:after="0"/>
              <w:rPr>
                <w:sz w:val="20"/>
                <w:szCs w:val="20"/>
                <w:color w:val="auto"/>
              </w:rPr>
            </w:pPr>
            <w:r>
              <w:rPr>
                <w:rFonts w:ascii="Arial" w:cs="Arial" w:eastAsia="Arial" w:hAnsi="Arial"/>
                <w:sz w:val="18"/>
                <w:szCs w:val="18"/>
                <w:color w:val="auto"/>
                <w:w w:val="93"/>
              </w:rPr>
              <w:t>REPORTING</w:t>
            </w:r>
          </w:p>
        </w:tc>
        <w:tc>
          <w:tcPr>
            <w:tcW w:w="9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00" w:type="dxa"/>
            <w:vAlign w:val="bottom"/>
            <w:vMerge w:val="continue"/>
          </w:tcPr>
          <w:p>
            <w:pPr>
              <w:spacing w:after="0"/>
              <w:rPr>
                <w:sz w:val="8"/>
                <w:szCs w:val="8"/>
                <w:color w:val="auto"/>
              </w:rPr>
            </w:pPr>
          </w:p>
        </w:tc>
        <w:tc>
          <w:tcPr>
            <w:tcW w:w="9900" w:type="dxa"/>
            <w:vAlign w:val="bottom"/>
            <w:gridSpan w:val="2"/>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30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PERSON WITH</w:t>
            </w:r>
          </w:p>
        </w:tc>
        <w:tc>
          <w:tcPr>
            <w:tcW w:w="9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800" w:type="dxa"/>
            <w:vAlign w:val="bottom"/>
            <w:tcBorders>
              <w:top w:val="single" w:sz="8" w:color="auto"/>
            </w:tcBorders>
            <w:vMerge w:val="restart"/>
          </w:tcPr>
          <w:p>
            <w:pPr>
              <w:ind w:left="3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9900" w:type="dxa"/>
            <w:vAlign w:val="bottom"/>
            <w:gridSpan w:val="2"/>
          </w:tcPr>
          <w:p>
            <w:pPr>
              <w:jc w:val="right"/>
              <w:ind w:right="95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6"/>
        </w:trPr>
        <w:tc>
          <w:tcPr>
            <w:tcW w:w="1300" w:type="dxa"/>
            <w:vAlign w:val="bottom"/>
          </w:tcPr>
          <w:p>
            <w:pPr>
              <w:spacing w:after="0"/>
              <w:rPr>
                <w:sz w:val="24"/>
                <w:szCs w:val="24"/>
                <w:color w:val="auto"/>
              </w:rPr>
            </w:pPr>
          </w:p>
        </w:tc>
        <w:tc>
          <w:tcPr>
            <w:tcW w:w="9900" w:type="dxa"/>
            <w:vAlign w:val="bottom"/>
            <w:gridSpan w:val="2"/>
          </w:tcPr>
          <w:p>
            <w:pPr>
              <w:ind w:left="480"/>
              <w:spacing w:after="0" w:line="295" w:lineRule="exact"/>
              <w:rPr>
                <w:sz w:val="20"/>
                <w:szCs w:val="20"/>
                <w:color w:val="auto"/>
              </w:rPr>
            </w:pPr>
            <w:r>
              <w:rPr>
                <w:rFonts w:ascii="Arial" w:cs="Arial" w:eastAsia="Arial" w:hAnsi="Arial"/>
                <w:sz w:val="18"/>
                <w:szCs w:val="18"/>
                <w:color w:val="auto"/>
              </w:rPr>
              <w:t>600,833</w:t>
            </w:r>
            <w:r>
              <w:rPr>
                <w:rFonts w:ascii="Arial" w:cs="Arial" w:eastAsia="Arial" w:hAnsi="Arial"/>
                <w:sz w:val="30"/>
                <w:szCs w:val="30"/>
                <w:color w:val="auto"/>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600,833*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NAMES OF REPORTING PERSONS</w:t>
      </w:r>
    </w:p>
    <w:p>
      <w:pPr>
        <w:ind w:left="380" w:hanging="372"/>
        <w:spacing w:after="0" w:line="185" w:lineRule="auto"/>
        <w:tabs>
          <w:tab w:leader="none" w:pos="380" w:val="left"/>
        </w:tabs>
        <w:numPr>
          <w:ilvl w:val="0"/>
          <w:numId w:val="5"/>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380"/>
        <w:spacing w:after="0"/>
        <w:rPr>
          <w:rFonts w:ascii="Arial" w:cs="Arial" w:eastAsia="Arial" w:hAnsi="Arial"/>
          <w:sz w:val="27"/>
          <w:szCs w:val="27"/>
          <w:color w:val="auto"/>
          <w:vertAlign w:val="subscript"/>
        </w:rPr>
      </w:pPr>
      <w:r>
        <w:rPr>
          <w:rFonts w:ascii="Arial" w:cs="Arial" w:eastAsia="Arial" w:hAnsi="Arial"/>
          <w:sz w:val="18"/>
          <w:szCs w:val="18"/>
          <w:color w:val="auto"/>
        </w:rPr>
        <w:t>Ari Glass</w:t>
      </w:r>
    </w:p>
    <w:p>
      <w:pPr>
        <w:spacing w:after="0" w:line="36" w:lineRule="exact"/>
        <w:rPr>
          <w:rFonts w:ascii="Arial" w:cs="Arial" w:eastAsia="Arial" w:hAnsi="Arial"/>
          <w:sz w:val="27"/>
          <w:szCs w:val="27"/>
          <w:color w:val="auto"/>
          <w:vertAlign w:val="subscript"/>
        </w:rPr>
      </w:pPr>
    </w:p>
    <w:p>
      <w:pPr>
        <w:ind w:left="38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380" w:hanging="372"/>
        <w:spacing w:after="0" w:line="180" w:lineRule="auto"/>
        <w:tabs>
          <w:tab w:leader="none" w:pos="380" w:val="left"/>
        </w:tabs>
        <w:numPr>
          <w:ilvl w:val="0"/>
          <w:numId w:val="5"/>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720" w:hanging="334"/>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740" w:hanging="354"/>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ind w:left="380" w:hanging="372"/>
        <w:spacing w:after="0" w:line="181" w:lineRule="auto"/>
        <w:tabs>
          <w:tab w:leader="none" w:pos="380" w:val="left"/>
        </w:tabs>
        <w:numPr>
          <w:ilvl w:val="0"/>
          <w:numId w:val="5"/>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9880" w:type="dxa"/>
            <w:vAlign w:val="bottom"/>
            <w:gridSpan w:val="2"/>
          </w:tcPr>
          <w:p>
            <w:pPr>
              <w:jc w:val="right"/>
              <w:ind w:right="95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540" w:type="dxa"/>
            <w:vAlign w:val="bottom"/>
            <w:vMerge w:val="restart"/>
          </w:tcPr>
          <w:p>
            <w:pPr>
              <w:jc w:val="center"/>
              <w:ind w:left="10"/>
              <w:spacing w:after="0"/>
              <w:rPr>
                <w:sz w:val="20"/>
                <w:szCs w:val="20"/>
                <w:color w:val="auto"/>
              </w:rPr>
            </w:pPr>
            <w:r>
              <w:rPr>
                <w:rFonts w:ascii="Arial" w:cs="Arial" w:eastAsia="Arial" w:hAnsi="Arial"/>
                <w:sz w:val="18"/>
                <w:szCs w:val="18"/>
                <w:color w:val="auto"/>
                <w:w w:val="96"/>
              </w:rPr>
              <w:t>NUMBER OF</w:t>
            </w:r>
          </w:p>
        </w:tc>
        <w:tc>
          <w:tcPr>
            <w:tcW w:w="988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800" w:type="dxa"/>
            <w:vAlign w:val="bottom"/>
            <w:tcBorders>
              <w:top w:val="single" w:sz="8" w:color="auto"/>
            </w:tcBorders>
            <w:vMerge w:val="restart"/>
          </w:tcPr>
          <w:p>
            <w:pPr>
              <w:ind w:left="3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54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8"/>
                <w:szCs w:val="8"/>
                <w:color w:val="auto"/>
              </w:rPr>
            </w:pPr>
          </w:p>
        </w:tc>
        <w:tc>
          <w:tcPr>
            <w:tcW w:w="9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9880" w:type="dxa"/>
            <w:vAlign w:val="bottom"/>
            <w:gridSpan w:val="2"/>
            <w:vMerge w:val="restart"/>
          </w:tcPr>
          <w:p>
            <w:pPr>
              <w:jc w:val="right"/>
              <w:ind w:right="95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1540" w:type="dxa"/>
            <w:vAlign w:val="bottom"/>
          </w:tcPr>
          <w:p>
            <w:pPr>
              <w:jc w:val="center"/>
              <w:ind w:left="10"/>
              <w:spacing w:after="0" w:line="176" w:lineRule="exact"/>
              <w:rPr>
                <w:sz w:val="20"/>
                <w:szCs w:val="20"/>
                <w:color w:val="auto"/>
              </w:rPr>
            </w:pPr>
            <w:r>
              <w:rPr>
                <w:rFonts w:ascii="Arial" w:cs="Arial" w:eastAsia="Arial" w:hAnsi="Arial"/>
                <w:sz w:val="18"/>
                <w:szCs w:val="18"/>
                <w:color w:val="auto"/>
              </w:rPr>
              <w:t>BENEFICIALLY</w:t>
            </w:r>
          </w:p>
        </w:tc>
        <w:tc>
          <w:tcPr>
            <w:tcW w:w="9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540" w:type="dxa"/>
            <w:vAlign w:val="bottom"/>
          </w:tcPr>
          <w:p>
            <w:pPr>
              <w:jc w:val="center"/>
              <w:ind w:left="10"/>
              <w:spacing w:after="0" w:line="157" w:lineRule="exact"/>
              <w:rPr>
                <w:sz w:val="20"/>
                <w:szCs w:val="20"/>
                <w:color w:val="auto"/>
              </w:rPr>
            </w:pPr>
            <w:r>
              <w:rPr>
                <w:rFonts w:ascii="Arial" w:cs="Arial" w:eastAsia="Arial" w:hAnsi="Arial"/>
                <w:sz w:val="18"/>
                <w:szCs w:val="18"/>
                <w:color w:val="auto"/>
                <w:w w:val="97"/>
              </w:rPr>
              <w:t>OWNED BY</w:t>
            </w:r>
          </w:p>
        </w:tc>
        <w:tc>
          <w:tcPr>
            <w:tcW w:w="80" w:type="dxa"/>
            <w:vAlign w:val="bottom"/>
          </w:tcPr>
          <w:p>
            <w:pPr>
              <w:spacing w:after="0"/>
              <w:rPr>
                <w:sz w:val="13"/>
                <w:szCs w:val="13"/>
                <w:color w:val="auto"/>
              </w:rPr>
            </w:pPr>
          </w:p>
        </w:tc>
        <w:tc>
          <w:tcPr>
            <w:tcW w:w="9800" w:type="dxa"/>
            <w:vAlign w:val="bottom"/>
            <w:tcBorders>
              <w:bottom w:val="single" w:sz="8" w:color="auto"/>
            </w:tcBorders>
          </w:tcPr>
          <w:p>
            <w:pPr>
              <w:ind w:left="380"/>
              <w:spacing w:after="0" w:line="149" w:lineRule="exact"/>
              <w:rPr>
                <w:sz w:val="20"/>
                <w:szCs w:val="20"/>
                <w:color w:val="auto"/>
              </w:rPr>
            </w:pPr>
            <w:r>
              <w:rPr>
                <w:rFonts w:ascii="Arial" w:cs="Arial" w:eastAsia="Arial" w:hAnsi="Arial"/>
                <w:sz w:val="17"/>
                <w:szCs w:val="17"/>
                <w:color w:val="auto"/>
              </w:rPr>
              <w:t>600,833*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0"/>
        </w:trPr>
        <w:tc>
          <w:tcPr>
            <w:tcW w:w="1300" w:type="dxa"/>
            <w:vAlign w:val="bottom"/>
            <w:vMerge w:val="restart"/>
          </w:tcPr>
          <w:p>
            <w:pPr>
              <w:jc w:val="center"/>
              <w:ind w:right="10"/>
              <w:spacing w:after="0"/>
              <w:rPr>
                <w:sz w:val="20"/>
                <w:szCs w:val="20"/>
                <w:color w:val="auto"/>
              </w:rPr>
            </w:pPr>
            <w:r>
              <w:rPr>
                <w:rFonts w:ascii="Arial" w:cs="Arial" w:eastAsia="Arial" w:hAnsi="Arial"/>
                <w:sz w:val="18"/>
                <w:szCs w:val="18"/>
                <w:color w:val="auto"/>
                <w:w w:val="95"/>
              </w:rPr>
              <w:t>EACH</w:t>
            </w:r>
          </w:p>
        </w:tc>
        <w:tc>
          <w:tcPr>
            <w:tcW w:w="100" w:type="dxa"/>
            <w:vAlign w:val="bottom"/>
          </w:tcPr>
          <w:p>
            <w:pPr>
              <w:spacing w:after="0"/>
              <w:rPr>
                <w:sz w:val="17"/>
                <w:szCs w:val="17"/>
                <w:color w:val="auto"/>
              </w:rPr>
            </w:pPr>
          </w:p>
        </w:tc>
        <w:tc>
          <w:tcPr>
            <w:tcW w:w="9800" w:type="dxa"/>
            <w:vAlign w:val="bottom"/>
          </w:tcPr>
          <w:p>
            <w:pPr>
              <w:ind w:left="380"/>
              <w:spacing w:after="0" w:line="20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300" w:type="dxa"/>
            <w:vAlign w:val="bottom"/>
            <w:vMerge w:val="continue"/>
          </w:tcPr>
          <w:p>
            <w:pPr>
              <w:spacing w:after="0"/>
              <w:rPr>
                <w:sz w:val="8"/>
                <w:szCs w:val="8"/>
                <w:color w:val="auto"/>
              </w:rPr>
            </w:pPr>
          </w:p>
        </w:tc>
        <w:tc>
          <w:tcPr>
            <w:tcW w:w="9900" w:type="dxa"/>
            <w:vAlign w:val="bottom"/>
            <w:gridSpan w:val="2"/>
            <w:vMerge w:val="restart"/>
          </w:tcPr>
          <w:p>
            <w:pPr>
              <w:jc w:val="right"/>
              <w:ind w:right="95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300" w:type="dxa"/>
            <w:vAlign w:val="bottom"/>
            <w:vMerge w:val="restart"/>
          </w:tcPr>
          <w:p>
            <w:pPr>
              <w:jc w:val="center"/>
              <w:ind w:right="10"/>
              <w:spacing w:after="0"/>
              <w:rPr>
                <w:sz w:val="20"/>
                <w:szCs w:val="20"/>
                <w:color w:val="auto"/>
              </w:rPr>
            </w:pPr>
            <w:r>
              <w:rPr>
                <w:rFonts w:ascii="Arial" w:cs="Arial" w:eastAsia="Arial" w:hAnsi="Arial"/>
                <w:sz w:val="18"/>
                <w:szCs w:val="18"/>
                <w:color w:val="auto"/>
                <w:w w:val="93"/>
              </w:rPr>
              <w:t>REPORTING</w:t>
            </w:r>
          </w:p>
        </w:tc>
        <w:tc>
          <w:tcPr>
            <w:tcW w:w="9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00" w:type="dxa"/>
            <w:vAlign w:val="bottom"/>
            <w:vMerge w:val="continue"/>
          </w:tcPr>
          <w:p>
            <w:pPr>
              <w:spacing w:after="0"/>
              <w:rPr>
                <w:sz w:val="8"/>
                <w:szCs w:val="8"/>
                <w:color w:val="auto"/>
              </w:rPr>
            </w:pPr>
          </w:p>
        </w:tc>
        <w:tc>
          <w:tcPr>
            <w:tcW w:w="9900" w:type="dxa"/>
            <w:vAlign w:val="bottom"/>
            <w:gridSpan w:val="2"/>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30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PERSON WITH</w:t>
            </w:r>
          </w:p>
        </w:tc>
        <w:tc>
          <w:tcPr>
            <w:tcW w:w="9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800" w:type="dxa"/>
            <w:vAlign w:val="bottom"/>
            <w:tcBorders>
              <w:top w:val="single" w:sz="8" w:color="auto"/>
            </w:tcBorders>
            <w:vMerge w:val="restart"/>
          </w:tcPr>
          <w:p>
            <w:pPr>
              <w:ind w:left="38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9900" w:type="dxa"/>
            <w:vAlign w:val="bottom"/>
            <w:gridSpan w:val="2"/>
          </w:tcPr>
          <w:p>
            <w:pPr>
              <w:jc w:val="right"/>
              <w:ind w:right="95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9900" w:type="dxa"/>
            <w:vAlign w:val="bottom"/>
            <w:gridSpan w:val="2"/>
          </w:tcPr>
          <w:p>
            <w:pPr>
              <w:ind w:left="480"/>
              <w:spacing w:after="0"/>
              <w:rPr>
                <w:sz w:val="20"/>
                <w:szCs w:val="20"/>
                <w:color w:val="auto"/>
              </w:rPr>
            </w:pPr>
            <w:r>
              <w:rPr>
                <w:rFonts w:ascii="Arial" w:cs="Arial" w:eastAsia="Arial" w:hAnsi="Arial"/>
                <w:sz w:val="18"/>
                <w:szCs w:val="18"/>
                <w:color w:val="auto"/>
              </w:rPr>
              <w:t>600,833*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600,833*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46" w:lineRule="exact"/>
        <w:rPr>
          <w:sz w:val="20"/>
          <w:szCs w:val="20"/>
          <w:color w:val="auto"/>
        </w:rPr>
      </w:pPr>
    </w:p>
    <w:p>
      <w:pPr>
        <w:ind w:left="760" w:hanging="374"/>
        <w:spacing w:after="0"/>
        <w:tabs>
          <w:tab w:leader="none" w:pos="760" w:val="left"/>
        </w:tabs>
        <w:numPr>
          <w:ilvl w:val="0"/>
          <w:numId w:val="6"/>
        </w:numPr>
        <w:rPr>
          <w:rFonts w:ascii="Arial" w:cs="Arial" w:eastAsia="Arial" w:hAnsi="Arial"/>
          <w:sz w:val="36"/>
          <w:szCs w:val="36"/>
          <w:color w:val="auto"/>
          <w:vertAlign w:val="subscript"/>
        </w:rPr>
      </w:pPr>
      <w:r>
        <w:rPr>
          <w:rFonts w:ascii="Arial" w:cs="Arial" w:eastAsia="Arial" w:hAnsi="Arial"/>
          <w:sz w:val="18"/>
          <w:szCs w:val="18"/>
          <w:color w:val="auto"/>
        </w:rPr>
        <w:t>Name of Issuer</w:t>
      </w:r>
    </w:p>
    <w:p>
      <w:pPr>
        <w:spacing w:after="0" w:line="1" w:lineRule="exact"/>
        <w:rPr>
          <w:rFonts w:ascii="Arial" w:cs="Arial" w:eastAsia="Arial" w:hAnsi="Arial"/>
          <w:sz w:val="36"/>
          <w:szCs w:val="36"/>
          <w:color w:val="auto"/>
          <w:vertAlign w:val="subscript"/>
        </w:rPr>
      </w:pPr>
    </w:p>
    <w:p>
      <w:pPr>
        <w:ind w:left="760"/>
        <w:spacing w:after="0"/>
        <w:rPr>
          <w:rFonts w:ascii="Arial" w:cs="Arial" w:eastAsia="Arial" w:hAnsi="Arial"/>
          <w:sz w:val="36"/>
          <w:szCs w:val="36"/>
          <w:color w:val="auto"/>
          <w:vertAlign w:val="subscript"/>
        </w:rPr>
      </w:pPr>
      <w:r>
        <w:rPr>
          <w:rFonts w:ascii="Arial" w:cs="Arial" w:eastAsia="Arial" w:hAnsi="Arial"/>
          <w:sz w:val="18"/>
          <w:szCs w:val="18"/>
          <w:color w:val="auto"/>
        </w:rPr>
        <w:t>M I Acquisitions Inc. (the “Issuer”)</w:t>
      </w:r>
    </w:p>
    <w:p>
      <w:pPr>
        <w:spacing w:after="0" w:line="209" w:lineRule="exact"/>
        <w:rPr>
          <w:rFonts w:ascii="Arial" w:cs="Arial" w:eastAsia="Arial" w:hAnsi="Arial"/>
          <w:sz w:val="36"/>
          <w:szCs w:val="36"/>
          <w:color w:val="auto"/>
          <w:vertAlign w:val="subscript"/>
        </w:rPr>
      </w:pPr>
    </w:p>
    <w:p>
      <w:pPr>
        <w:ind w:left="760"/>
        <w:spacing w:after="0"/>
        <w:rPr>
          <w:rFonts w:ascii="Arial" w:cs="Arial" w:eastAsia="Arial" w:hAnsi="Arial"/>
          <w:sz w:val="36"/>
          <w:szCs w:val="36"/>
          <w:color w:val="auto"/>
          <w:vertAlign w:val="subscript"/>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36"/>
          <w:szCs w:val="36"/>
          <w:color w:val="auto"/>
          <w:vertAlign w:val="subscript"/>
        </w:rPr>
      </w:pPr>
    </w:p>
    <w:p>
      <w:pPr>
        <w:ind w:left="760" w:right="7319" w:hanging="374"/>
        <w:spacing w:after="0" w:line="198" w:lineRule="auto"/>
        <w:tabs>
          <w:tab w:leader="none" w:pos="760" w:val="left"/>
        </w:tabs>
        <w:numPr>
          <w:ilvl w:val="0"/>
          <w:numId w:val="6"/>
        </w:numPr>
        <w:rPr>
          <w:rFonts w:ascii="Arial" w:cs="Arial" w:eastAsia="Arial" w:hAnsi="Arial"/>
          <w:sz w:val="34"/>
          <w:szCs w:val="34"/>
          <w:color w:val="auto"/>
          <w:vertAlign w:val="subscript"/>
        </w:rPr>
      </w:pPr>
      <w:r>
        <w:rPr>
          <w:rFonts w:ascii="Arial" w:cs="Arial" w:eastAsia="Arial" w:hAnsi="Arial"/>
          <w:sz w:val="17"/>
          <w:szCs w:val="17"/>
          <w:color w:val="auto"/>
        </w:rPr>
        <w:t>c/o Magna Management LLC 40 Wall Street, 58th Floor New York, NY 10005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ind w:left="760" w:right="6419" w:hanging="374"/>
        <w:spacing w:after="0" w:line="187" w:lineRule="auto"/>
        <w:tabs>
          <w:tab w:leader="none" w:pos="760" w:val="left"/>
        </w:tabs>
        <w:numPr>
          <w:ilvl w:val="0"/>
          <w:numId w:val="7"/>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Boothbay Fund Management, LLC* Ari Glass*</w:t>
      </w:r>
    </w:p>
    <w:p>
      <w:pPr>
        <w:spacing w:after="0" w:line="204" w:lineRule="exact"/>
        <w:rPr>
          <w:rFonts w:ascii="Arial" w:cs="Arial" w:eastAsia="Arial" w:hAnsi="Arial"/>
          <w:sz w:val="36"/>
          <w:szCs w:val="36"/>
          <w:color w:val="auto"/>
          <w:vertAlign w:val="subscript"/>
        </w:rPr>
      </w:pPr>
    </w:p>
    <w:p>
      <w:pPr>
        <w:ind w:left="760"/>
        <w:spacing w:after="0"/>
        <w:rPr>
          <w:rFonts w:ascii="Arial" w:cs="Arial" w:eastAsia="Arial" w:hAnsi="Arial"/>
          <w:sz w:val="36"/>
          <w:szCs w:val="36"/>
          <w:color w:val="auto"/>
          <w:vertAlign w:val="subscript"/>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36"/>
          <w:szCs w:val="36"/>
          <w:color w:val="auto"/>
          <w:vertAlign w:val="subscript"/>
        </w:rPr>
      </w:pPr>
    </w:p>
    <w:p>
      <w:pPr>
        <w:ind w:left="760" w:right="7459" w:hanging="374"/>
        <w:spacing w:after="0" w:line="234"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810 7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Avenue, Suite 615 New York, NY 10019-5818</w:t>
      </w:r>
    </w:p>
    <w:p>
      <w:pPr>
        <w:spacing w:after="0" w:line="20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Citizenship</w:t>
      </w:r>
    </w:p>
    <w:p>
      <w:pPr>
        <w:spacing w:after="0" w:line="23" w:lineRule="exact"/>
        <w:rPr>
          <w:rFonts w:ascii="Arial" w:cs="Arial" w:eastAsia="Arial" w:hAnsi="Arial"/>
          <w:sz w:val="16"/>
          <w:szCs w:val="16"/>
          <w:color w:val="auto"/>
        </w:rPr>
      </w:pPr>
    </w:p>
    <w:p>
      <w:pPr>
        <w:ind w:left="760" w:right="5639" w:hanging="374"/>
        <w:spacing w:after="0" w:line="187" w:lineRule="auto"/>
        <w:tabs>
          <w:tab w:leader="none" w:pos="760" w:val="left"/>
        </w:tabs>
        <w:numPr>
          <w:ilvl w:val="0"/>
          <w:numId w:val="7"/>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Delaware Boothbay Fund Management, LLC – Delaware Ari Glass – United States</w:t>
      </w:r>
    </w:p>
    <w:p>
      <w:pPr>
        <w:spacing w:after="0" w:line="204" w:lineRule="exact"/>
        <w:rPr>
          <w:rFonts w:ascii="Arial" w:cs="Arial" w:eastAsia="Arial" w:hAnsi="Arial"/>
          <w:sz w:val="36"/>
          <w:szCs w:val="36"/>
          <w:color w:val="auto"/>
          <w:vertAlign w:val="subscript"/>
        </w:rPr>
      </w:pPr>
    </w:p>
    <w:p>
      <w:pPr>
        <w:ind w:left="760" w:right="7539" w:hanging="374"/>
        <w:spacing w:after="0" w:line="198" w:lineRule="auto"/>
        <w:tabs>
          <w:tab w:leader="none" w:pos="760" w:val="left"/>
        </w:tabs>
        <w:numPr>
          <w:ilvl w:val="0"/>
          <w:numId w:val="7"/>
        </w:numPr>
        <w:rPr>
          <w:rFonts w:ascii="Arial" w:cs="Arial" w:eastAsia="Arial" w:hAnsi="Arial"/>
          <w:sz w:val="31"/>
          <w:szCs w:val="31"/>
          <w:color w:val="auto"/>
          <w:vertAlign w:val="subscript"/>
        </w:rPr>
      </w:pPr>
      <w:r>
        <w:rPr>
          <w:rFonts w:ascii="Arial" w:cs="Arial" w:eastAsia="Arial" w:hAnsi="Arial"/>
          <w:sz w:val="16"/>
          <w:szCs w:val="16"/>
          <w:color w:val="auto"/>
        </w:rPr>
        <w:t>Title of Class of Securities Common Stock</w:t>
      </w:r>
    </w:p>
    <w:p>
      <w:pPr>
        <w:spacing w:after="0" w:line="202" w:lineRule="exact"/>
        <w:rPr>
          <w:rFonts w:ascii="Arial" w:cs="Arial" w:eastAsia="Arial" w:hAnsi="Arial"/>
          <w:sz w:val="31"/>
          <w:szCs w:val="31"/>
          <w:color w:val="auto"/>
          <w:vertAlign w:val="subscript"/>
        </w:rPr>
      </w:pPr>
    </w:p>
    <w:p>
      <w:pPr>
        <w:ind w:left="760" w:right="8319" w:hanging="374"/>
        <w:spacing w:after="0" w:line="198" w:lineRule="auto"/>
        <w:tabs>
          <w:tab w:leader="none" w:pos="760" w:val="left"/>
        </w:tabs>
        <w:numPr>
          <w:ilvl w:val="0"/>
          <w:numId w:val="7"/>
        </w:numPr>
        <w:rPr>
          <w:rFonts w:ascii="Arial" w:cs="Arial" w:eastAsia="Arial" w:hAnsi="Arial"/>
          <w:sz w:val="31"/>
          <w:szCs w:val="31"/>
          <w:color w:val="auto"/>
          <w:vertAlign w:val="subscript"/>
        </w:rPr>
      </w:pPr>
      <w:r>
        <w:rPr>
          <w:rFonts w:ascii="Arial" w:cs="Arial" w:eastAsia="Arial" w:hAnsi="Arial"/>
          <w:sz w:val="16"/>
          <w:szCs w:val="16"/>
          <w:color w:val="auto"/>
        </w:rPr>
        <w:t>CUSIP Number 55304A104</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760" w:right="6860" w:hanging="374"/>
        <w:spacing w:after="0" w:line="264"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Boothbay Absolute Return Strategies LP – 600,833* Boothbay Fund Management, LLC – 600,833* Ari Glass – 600,833*</w:t>
      </w:r>
    </w:p>
    <w:p>
      <w:pPr>
        <w:spacing w:after="0" w:line="18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760" w:right="7080" w:hanging="374"/>
        <w:spacing w:after="0" w:line="187" w:lineRule="auto"/>
        <w:tabs>
          <w:tab w:leader="none" w:pos="760" w:val="left"/>
        </w:tabs>
        <w:numPr>
          <w:ilvl w:val="0"/>
          <w:numId w:val="8"/>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8.4%* Boothbay Fund Management, LLC – 8.4%* Ari Glass – 8.4%*</w:t>
      </w:r>
    </w:p>
    <w:p>
      <w:pPr>
        <w:spacing w:after="0" w:line="204" w:lineRule="exact"/>
        <w:rPr>
          <w:rFonts w:ascii="Arial" w:cs="Arial" w:eastAsia="Arial" w:hAnsi="Arial"/>
          <w:sz w:val="36"/>
          <w:szCs w:val="36"/>
          <w:color w:val="auto"/>
          <w:vertAlign w:val="subscript"/>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Sole power to vote or to direct the vote</w:t>
      </w:r>
    </w:p>
    <w:p>
      <w:pPr>
        <w:spacing w:after="0" w:line="23" w:lineRule="exact"/>
        <w:rPr>
          <w:sz w:val="20"/>
          <w:szCs w:val="20"/>
          <w:color w:val="auto"/>
        </w:rPr>
      </w:pPr>
    </w:p>
    <w:p>
      <w:pPr>
        <w:ind w:left="1160" w:right="7060" w:hanging="382"/>
        <w:spacing w:after="0" w:line="187" w:lineRule="auto"/>
        <w:tabs>
          <w:tab w:leader="none" w:pos="116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0 Boothbay Fund Management, LLC – 0 Ari Glass – 0</w:t>
      </w:r>
    </w:p>
    <w:p>
      <w:pPr>
        <w:spacing w:after="0" w:line="204" w:lineRule="exact"/>
        <w:rPr>
          <w:rFonts w:ascii="Arial" w:cs="Arial" w:eastAsia="Arial" w:hAnsi="Arial"/>
          <w:sz w:val="36"/>
          <w:szCs w:val="36"/>
          <w:color w:val="auto"/>
          <w:vertAlign w:val="subscript"/>
        </w:rPr>
      </w:pPr>
    </w:p>
    <w:p>
      <w:pPr>
        <w:ind w:left="1160"/>
        <w:spacing w:after="0"/>
        <w:rPr>
          <w:rFonts w:ascii="Arial" w:cs="Arial" w:eastAsia="Arial" w:hAnsi="Arial"/>
          <w:sz w:val="36"/>
          <w:szCs w:val="36"/>
          <w:color w:val="auto"/>
          <w:vertAlign w:val="subscript"/>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36"/>
          <w:szCs w:val="36"/>
          <w:color w:val="auto"/>
          <w:vertAlign w:val="subscript"/>
        </w:rPr>
      </w:pPr>
    </w:p>
    <w:p>
      <w:pPr>
        <w:ind w:left="1160" w:right="6460" w:hanging="382"/>
        <w:spacing w:after="0" w:line="187" w:lineRule="auto"/>
        <w:tabs>
          <w:tab w:leader="none" w:pos="116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600,833* Boothbay Fund Management, LLC – 600,833* Ari Glass – 600,833*</w:t>
      </w:r>
    </w:p>
    <w:p>
      <w:pPr>
        <w:spacing w:after="0" w:line="204" w:lineRule="exact"/>
        <w:rPr>
          <w:rFonts w:ascii="Arial" w:cs="Arial" w:eastAsia="Arial" w:hAnsi="Arial"/>
          <w:sz w:val="36"/>
          <w:szCs w:val="36"/>
          <w:color w:val="auto"/>
          <w:vertAlign w:val="subscript"/>
        </w:rPr>
      </w:pPr>
    </w:p>
    <w:p>
      <w:pPr>
        <w:ind w:left="1160"/>
        <w:spacing w:after="0"/>
        <w:rPr>
          <w:rFonts w:ascii="Arial" w:cs="Arial" w:eastAsia="Arial" w:hAnsi="Arial"/>
          <w:sz w:val="36"/>
          <w:szCs w:val="36"/>
          <w:color w:val="auto"/>
          <w:vertAlign w:val="subscript"/>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36"/>
          <w:szCs w:val="36"/>
          <w:color w:val="auto"/>
          <w:vertAlign w:val="subscript"/>
        </w:rPr>
      </w:pPr>
    </w:p>
    <w:p>
      <w:pPr>
        <w:ind w:left="1160" w:right="7060" w:hanging="382"/>
        <w:spacing w:after="0" w:line="187" w:lineRule="auto"/>
        <w:tabs>
          <w:tab w:leader="none" w:pos="116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0 Boothbay Fund Management, LLC – 0 Ari Glass – 0</w:t>
      </w:r>
    </w:p>
    <w:p>
      <w:pPr>
        <w:spacing w:after="0" w:line="204" w:lineRule="exact"/>
        <w:rPr>
          <w:rFonts w:ascii="Arial" w:cs="Arial" w:eastAsia="Arial" w:hAnsi="Arial"/>
          <w:sz w:val="36"/>
          <w:szCs w:val="36"/>
          <w:color w:val="auto"/>
          <w:vertAlign w:val="subscript"/>
        </w:rPr>
      </w:pPr>
    </w:p>
    <w:p>
      <w:pPr>
        <w:ind w:left="1160"/>
        <w:spacing w:after="0"/>
        <w:rPr>
          <w:rFonts w:ascii="Arial" w:cs="Arial" w:eastAsia="Arial" w:hAnsi="Arial"/>
          <w:sz w:val="36"/>
          <w:szCs w:val="36"/>
          <w:color w:val="auto"/>
          <w:vertAlign w:val="subscript"/>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36"/>
          <w:szCs w:val="36"/>
          <w:color w:val="auto"/>
          <w:vertAlign w:val="subscript"/>
        </w:rPr>
      </w:pPr>
    </w:p>
    <w:p>
      <w:pPr>
        <w:ind w:left="1160" w:right="6460" w:hanging="382"/>
        <w:spacing w:after="0" w:line="187" w:lineRule="auto"/>
        <w:tabs>
          <w:tab w:leader="none" w:pos="116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600,833* Boothbay Fund Management, LLC – 600,833* Ari Glass – 600,833*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firstLine="8"/>
        <w:spacing w:after="0" w:line="273" w:lineRule="auto"/>
        <w:tabs>
          <w:tab w:leader="none" w:pos="1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of the shares of common stock, par value $0.001 (the “Shares”), of M I Acquisitions, Inc., a Delaware corporation (the “Issuer”), reported herein are held in the form of units (the “Units”). Each Unit consists of one share of the Issuer’s common stock and one warrant. Each warrant entitles the holder thereof to purchase one share of the Issuer’s common stock at a price of $11.50 per share, subject to adjustment as described in the Issuer’s prospectus filed with the SEC on September 15, 2016 (the “Prospectus”). The warrants will become exercisable on the later of 30 days after the completion of the Issuer’s initial business combination and 12 months from the closing of the offering made pursuant to the Prospectus, and will expire five years after the completion of the Issuer’s initial business combination or earlier upon redemption or liquidation, as described in the Prospectus.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Shares reported herein are held by Boothbay Absolute Return Strategies LP, a Delaware limited partnership (the “Fund”), which is managed by Boothbay Fund Management, LLC, a Delaware limited liability company (the “Adviser”). The Adviser, in its capacity as the investment manager of the Fund, has the power to vote and the power to direct the disposition of all Shares held by the Fund. Accordingly, for the purposes of Reg. Section 240.13d-3, the Adviser may be deemed to beneficially own an aggregate of 600,833 Shares, or 8.4% of the Shares issued and outstanding as of November 11, 2016. Ari Glass is the Managing Member of the Adviser. The beneficial ownership percentage reported herein is based on 7,168,716 voting Shares issued and outstanding as of November 11, 2016, as disclosed in the Company’s Quarterly Report for the quarter ended September 30, 2016, as filed with the Securities and Exchange Commission on November 14, 2016. This report shall not be deemed an admission that the Adviser, the Fund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6"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Absolute Return Strategies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Boothbay Fund Management, LLC, its investment manager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Fund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Ari Glass</w:t>
      </w:r>
    </w:p>
    <w:p>
      <w:pPr>
        <w:spacing w:after="0" w:line="225" w:lineRule="exact"/>
        <w:rPr>
          <w:sz w:val="20"/>
          <w:szCs w:val="20"/>
          <w:color w:val="auto"/>
        </w:rPr>
      </w:pPr>
    </w:p>
    <w:p>
      <w:pPr>
        <w:jc w:val="right"/>
        <w:ind w:righ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jc w:val="right"/>
        <w:ind w:right="4480"/>
        <w:spacing w:after="0"/>
        <w:rPr>
          <w:sz w:val="20"/>
          <w:szCs w:val="20"/>
          <w:color w:val="auto"/>
        </w:rPr>
      </w:pPr>
      <w:r>
        <w:rPr>
          <w:rFonts w:ascii="Arial" w:cs="Arial" w:eastAsia="Arial" w:hAnsi="Arial"/>
          <w:sz w:val="18"/>
          <w:szCs w:val="18"/>
          <w:color w:val="auto"/>
        </w:rPr>
        <w:t>Individually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JOINT FILING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undersigned hereby consent and agree to the joint filing of Schedule 13G under the Securities Exchange Act of 1934, as amended, with respect to the Shares of M I Acquisitions Inc., together with any or all amendments thereto, when and if required. The parties hereto further consent and agree to file this Joint Filing Statement pursuant to Rule13d-1(k)(1)(iii) as an exhibit to Schedule 13G, thereby incorporating the same into such Schedule13G.</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Joint Filing Statement may be terminated by any of the undersigned upon written notice or such lesser period of notice as the undersigned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Absolute Return Strategies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Boothbay Fund Management, LLC, its investment manager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Fund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Ari Glass</w:t>
      </w:r>
    </w:p>
    <w:p>
      <w:pPr>
        <w:spacing w:after="0" w:line="225" w:lineRule="exact"/>
        <w:rPr>
          <w:sz w:val="20"/>
          <w:szCs w:val="20"/>
          <w:color w:val="auto"/>
        </w:rPr>
      </w:pPr>
    </w:p>
    <w:p>
      <w:pPr>
        <w:jc w:val="right"/>
        <w:ind w:righ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jc w:val="right"/>
        <w:ind w:right="4480"/>
        <w:spacing w:after="0"/>
        <w:rPr>
          <w:sz w:val="20"/>
          <w:szCs w:val="20"/>
          <w:color w:val="auto"/>
        </w:rPr>
      </w:pPr>
      <w:r>
        <w:rPr>
          <w:rFonts w:ascii="Arial" w:cs="Arial" w:eastAsia="Arial" w:hAnsi="Arial"/>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2020-01-16T08:25:06Z</dcterms:created>
  <dcterms:modified xsi:type="dcterms:W3CDTF">2020-01-16T08:25:06Z</dcterms:modified>
</cp:coreProperties>
</file>