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 I Acquisition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55304A104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tabs>
          <w:tab w:leader="none" w:pos="940" w:val="left"/>
        </w:tabs>
        <w:rPr>
          <w:sz w:val="20"/>
          <w:szCs w:val="20"/>
          <w:color w:val="auto"/>
        </w:rPr>
      </w:pPr>
      <w:r>
        <w:rPr>
          <w:rFonts w:ascii="Courier New" w:cs="Courier New" w:eastAsia="Courier New" w:hAnsi="Courier New"/>
          <w:sz w:val="18"/>
          <w:szCs w:val="18"/>
          <w:color w:val="auto"/>
        </w:rPr>
        <w:t>_X_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__</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13d-1(c)</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__</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55304A104</w:t>
      </w:r>
    </w:p>
    <w:p>
      <w:pPr>
        <w:spacing w:after="0" w:line="207" w:lineRule="exact"/>
        <w:rPr>
          <w:sz w:val="24"/>
          <w:szCs w:val="24"/>
          <w:color w:val="auto"/>
        </w:rPr>
      </w:pPr>
    </w:p>
    <w:p>
      <w:pPr>
        <w:ind w:right="38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Bulldog Investors LLC,</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right="809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150,544</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252,891</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150,544</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252,891</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403,435 -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5.72%</w:t>
      </w:r>
    </w:p>
    <w:p>
      <w:pPr>
        <w:spacing w:after="0" w:line="202"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4"/>
          <w:szCs w:val="24"/>
          <w:color w:val="auto"/>
        </w:rPr>
      </w:pPr>
    </w:p>
    <w:p>
      <w:pPr>
        <w:ind w:right="389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Phillip Goldstein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0"/>
          <w:szCs w:val="20"/>
          <w:color w:val="auto"/>
        </w:rPr>
      </w:pPr>
    </w:p>
    <w:p>
      <w:pPr>
        <w:ind w:right="809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150,544</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252,891</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150,544</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252,891</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403,435 -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5.72%</w:t>
      </w:r>
    </w:p>
    <w:p>
      <w:pPr>
        <w:spacing w:after="0" w:line="20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right="3899" w:firstLine="8"/>
        <w:spacing w:after="0" w:line="23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Andrew Dakos</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0"/>
          <w:szCs w:val="20"/>
          <w:color w:val="auto"/>
        </w:rPr>
      </w:pPr>
    </w:p>
    <w:p>
      <w:pPr>
        <w:ind w:right="809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150,544</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252,891</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150,544</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252,891</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403,435 -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5.72%</w:t>
      </w:r>
    </w:p>
    <w:p>
      <w:pPr>
        <w:spacing w:after="0" w:line="202"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right="3899" w:firstLine="8"/>
        <w:spacing w:after="0" w:line="235"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Samuels</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right="799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150,544</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252,891</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150,544</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252,891</w:t>
      </w:r>
    </w:p>
    <w:p>
      <w:pPr>
        <w:spacing w:after="0" w:line="208" w:lineRule="exact"/>
        <w:rPr>
          <w:sz w:val="20"/>
          <w:szCs w:val="20"/>
          <w:color w:val="auto"/>
        </w:rPr>
      </w:pPr>
    </w:p>
    <w:p>
      <w:pPr>
        <w:ind w:right="3579" w:firstLine="8"/>
        <w:spacing w:after="0" w:line="235"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403,435 -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5.72%</w:t>
      </w:r>
    </w:p>
    <w:p>
      <w:pPr>
        <w:spacing w:after="0" w:line="202"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right="7059" w:firstLine="8"/>
        <w:spacing w:after="0" w:line="235"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M I Acquisition Inc.</w:t>
      </w:r>
    </w:p>
    <w:p>
      <w:pPr>
        <w:spacing w:after="0" w:line="208" w:lineRule="exact"/>
        <w:rPr>
          <w:rFonts w:ascii="Courier New" w:cs="Courier New" w:eastAsia="Courier New" w:hAnsi="Courier New"/>
          <w:sz w:val="18"/>
          <w:szCs w:val="18"/>
          <w:color w:val="auto"/>
        </w:rPr>
      </w:pPr>
    </w:p>
    <w:p>
      <w:pPr>
        <w:ind w:right="3679" w:firstLine="8"/>
        <w:spacing w:after="0" w:line="235"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the Issuer's Principal Executive Office is: C/O Magna Management LLC</w:t>
      </w:r>
    </w:p>
    <w:p>
      <w:pPr>
        <w:spacing w:after="0" w:line="5" w:lineRule="exact"/>
        <w:rPr>
          <w:rFonts w:ascii="Courier New" w:cs="Courier New" w:eastAsia="Courier New" w:hAnsi="Courier New"/>
          <w:sz w:val="18"/>
          <w:szCs w:val="18"/>
          <w:color w:val="auto"/>
        </w:rPr>
      </w:pPr>
    </w:p>
    <w:p>
      <w:pPr>
        <w:ind w:right="8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 Hanover Square New York, NY 10004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 The names of the Persons Filing are:</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Bulldog Investors LLC, Phillip Goldstein, Andrew Dakos and Steven Samuels</w:t>
      </w:r>
    </w:p>
    <w:p>
      <w:pPr>
        <w:spacing w:after="0" w:line="208" w:lineRule="exact"/>
        <w:rPr>
          <w:sz w:val="20"/>
          <w:szCs w:val="20"/>
          <w:color w:val="auto"/>
        </w:rPr>
      </w:pPr>
    </w:p>
    <w:p>
      <w:pPr>
        <w:ind w:right="48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principal place of business and principal office is:</w:t>
      </w:r>
    </w:p>
    <w:p>
      <w:pPr>
        <w:spacing w:after="0" w:line="5"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Park 80 West, 250 Pehle Ave. Suite 708 Saddle Brook, NJ 07663</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55304A104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statement is filed pursuant to 240.13d-1(b). The person filing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An investment adviser in accordance with 240.13d-1(b)(1)(ii)(E).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403,435</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5.72%</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150,544</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252,891</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6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150,544</w:t>
      </w:r>
    </w:p>
    <w:p>
      <w:pPr>
        <w:spacing w:after="0" w:line="5" w:lineRule="exact"/>
        <w:rPr>
          <w:rFonts w:ascii="Courier New" w:cs="Courier New" w:eastAsia="Courier New" w:hAnsi="Courier New"/>
          <w:sz w:val="18"/>
          <w:szCs w:val="18"/>
          <w:color w:val="auto"/>
        </w:rPr>
      </w:pPr>
    </w:p>
    <w:p>
      <w:pPr>
        <w:ind w:right="4199" w:firstLine="8"/>
        <w:spacing w:after="0" w:line="235"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252,891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____.</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Clients of Bulldog Investors, LLC are entitled to receive dividends and sales proceeds.</w:t>
      </w:r>
    </w:p>
    <w:p>
      <w:pPr>
        <w:spacing w:after="0" w:line="208"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6"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8"/>
          <w:szCs w:val="18"/>
          <w:color w:val="auto"/>
        </w:rPr>
        <w:t>As per the 10-Q filing on 11/14/17, there were 7,058,743 shares of common stock outstanding as of 11/13/17. The percentages set forth herein were derived using such number. Phillip Goldstein, Andrew Dakos and Steven Samuels own Bulldog Investors, LLC, a registered investment adviser. As of February 7, 2018, Bulldog Investors, LLC is deemed to be the beneficial owner of 403,435 shares of MACQ by virtue of Bulldog Investors, LLC's power to direct the vote of, and dispose of, these shares. These 403,435 shares of MACQ include 150,544 shares (representing 2.13% of MACQ's outstanding shares) that are beneficially owned by Messrs. Goldstein, Dakos, and Samuels and the following entities over which Messrs. Goldstein, Dakos and Samuels exercise control: Opportunity Partners LP, Calapasas West Partners LP, Full Value Special Situations Fund LP, Full Value Partners LP, Opportunity Income Plus Fund LP, and MCM Opportunity Partners LP (collectively, Bulldog Investors Funds). Bulldog Investors Funds and Messrs. Goldstein, Dakos and Samuels may be deemed to constitute a group. All other shares included in the aforementioned 403,435 shares of MACQ owned by Bulldog Investors, LLC (solely by virtue of its power to sell or direct the vote of these shares) are also beneficially owned by clients of Bulldog Investors, LLC who are not members of any group. The total number of these "non-group" shares is 252,891 shares (representing 3.59% of MACQ's outstanding shares).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431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38" w:lineRule="auto"/>
        <w:rPr>
          <w:sz w:val="20"/>
          <w:szCs w:val="20"/>
          <w:color w:val="auto"/>
        </w:rPr>
      </w:pPr>
      <w:r>
        <w:rPr>
          <w:rFonts w:ascii="Courier New" w:cs="Courier New" w:eastAsia="Courier New" w:hAnsi="Courier New"/>
          <w:sz w:val="18"/>
          <w:szCs w:val="18"/>
          <w:color w:val="auto"/>
        </w:rPr>
        <w:t>By:</w:t>
      </w:r>
    </w:p>
    <w:p>
      <w:pPr>
        <w:spacing w:after="0"/>
        <w:rPr>
          <w:sz w:val="20"/>
          <w:szCs w:val="20"/>
          <w:color w:val="auto"/>
        </w:rPr>
      </w:pPr>
      <w:r>
        <w:rPr>
          <w:rFonts w:ascii="Courier New" w:cs="Courier New" w:eastAsia="Courier New" w:hAnsi="Courier New"/>
          <w:sz w:val="18"/>
          <w:szCs w:val="18"/>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t>
      </w:r>
    </w:p>
    <w:p>
      <w:pPr>
        <w:spacing w:after="0" w:line="238" w:lineRule="auto"/>
        <w:rPr>
          <w:sz w:val="20"/>
          <w:szCs w:val="20"/>
          <w:color w:val="auto"/>
        </w:rPr>
      </w:pPr>
      <w:r>
        <w:rPr>
          <w:rFonts w:ascii="Courier New" w:cs="Courier New" w:eastAsia="Courier New" w:hAnsi="Courier New"/>
          <w:sz w:val="18"/>
          <w:szCs w:val="18"/>
          <w:color w:val="auto"/>
        </w:rPr>
        <w:t>Phillip Goldstein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Bulldog Investors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2018</w:t>
      </w:r>
    </w:p>
    <w:p>
      <w:pPr>
        <w:spacing w:after="0" w:line="238" w:lineRule="auto"/>
        <w:rPr>
          <w:sz w:val="20"/>
          <w:szCs w:val="20"/>
          <w:color w:val="auto"/>
        </w:rPr>
      </w:pPr>
      <w:r>
        <w:rPr>
          <w:rFonts w:ascii="Courier New" w:cs="Courier New" w:eastAsia="Courier New" w:hAnsi="Courier New"/>
          <w:sz w:val="18"/>
          <w:szCs w:val="18"/>
          <w:color w:val="auto"/>
        </w:rPr>
        <w:t>/s/</w:t>
      </w:r>
    </w:p>
    <w:p>
      <w:pPr>
        <w:spacing w:after="0"/>
        <w:rPr>
          <w:sz w:val="20"/>
          <w:szCs w:val="20"/>
          <w:color w:val="auto"/>
        </w:rPr>
      </w:pPr>
      <w:r>
        <w:rPr>
          <w:rFonts w:ascii="Courier New" w:cs="Courier New" w:eastAsia="Courier New" w:hAnsi="Courier New"/>
          <w:sz w:val="18"/>
          <w:szCs w:val="18"/>
          <w:color w:val="auto"/>
        </w:rPr>
        <w:t>Andrew Dakos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Bulldog Investors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2018</w:t>
      </w:r>
    </w:p>
    <w:p>
      <w:pPr>
        <w:spacing w:after="0" w:line="200" w:lineRule="exact"/>
        <w:rPr>
          <w:sz w:val="20"/>
          <w:szCs w:val="20"/>
          <w:color w:val="auto"/>
        </w:rPr>
      </w:pPr>
    </w:p>
    <w:p>
      <w:pPr>
        <w:sectPr>
          <w:pgSz w:w="11900" w:h="16838" w:orient="portrait"/>
          <w:cols w:equalWidth="0" w:num="2">
            <w:col w:w="640" w:space="220"/>
            <w:col w:w="9359"/>
          </w:cols>
          <w:pgMar w:left="240" w:top="136"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w:t>
      </w:r>
    </w:p>
    <w:p>
      <w:pPr>
        <w:spacing w:after="0" w:line="238" w:lineRule="auto"/>
        <w:rPr>
          <w:sz w:val="20"/>
          <w:szCs w:val="20"/>
          <w:color w:val="auto"/>
        </w:rPr>
      </w:pPr>
      <w:r>
        <w:rPr>
          <w:rFonts w:ascii="Courier New" w:cs="Courier New" w:eastAsia="Courier New" w:hAnsi="Courier New"/>
          <w:sz w:val="18"/>
          <w:szCs w:val="18"/>
          <w:color w:val="auto"/>
        </w:rPr>
        <w:t>Steven Samuels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Bulldog Investors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2018</w:t>
      </w:r>
    </w:p>
    <w:p>
      <w:pPr>
        <w:spacing w:after="0" w:line="200" w:lineRule="exact"/>
        <w:rPr>
          <w:sz w:val="20"/>
          <w:szCs w:val="20"/>
          <w:color w:val="auto"/>
        </w:rPr>
      </w:pPr>
    </w:p>
    <w:p>
      <w:pPr>
        <w:sectPr>
          <w:pgSz w:w="11900" w:h="16838" w:orient="portrait"/>
          <w:cols w:equalWidth="0" w:num="2">
            <w:col w:w="640" w:space="220"/>
            <w:col w:w="9359"/>
          </w:cols>
          <w:pgMar w:left="240" w:top="136"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Bulldog Investors, LLC</w:t>
      </w:r>
    </w:p>
    <w:p>
      <w:pPr>
        <w:spacing w:after="0" w:line="238" w:lineRule="auto"/>
        <w:rPr>
          <w:sz w:val="20"/>
          <w:szCs w:val="20"/>
          <w:color w:val="auto"/>
        </w:rPr>
      </w:pPr>
      <w:r>
        <w:rPr>
          <w:rFonts w:ascii="Courier New" w:cs="Courier New" w:eastAsia="Courier New" w:hAnsi="Courier New"/>
          <w:sz w:val="18"/>
          <w:szCs w:val="18"/>
          <w:color w:val="auto"/>
        </w:rPr>
        <w:t>By: /s/ Andrew Dakos</w:t>
      </w:r>
    </w:p>
    <w:p>
      <w:pPr>
        <w:spacing w:after="0"/>
        <w:rPr>
          <w:sz w:val="20"/>
          <w:szCs w:val="20"/>
          <w:color w:val="auto"/>
        </w:rPr>
      </w:pPr>
      <w:r>
        <w:rPr>
          <w:rFonts w:ascii="Courier New" w:cs="Courier New" w:eastAsia="Courier New" w:hAnsi="Courier New"/>
          <w:sz w:val="18"/>
          <w:szCs w:val="18"/>
          <w:color w:val="auto"/>
        </w:rPr>
        <w:t>Andrew Dakos, Member</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8, 2018</w:t>
      </w:r>
    </w:p>
    <w:p>
      <w:pPr>
        <w:spacing w:after="0" w:line="207" w:lineRule="exact"/>
        <w:rPr>
          <w:sz w:val="20"/>
          <w:szCs w:val="20"/>
          <w:color w:val="auto"/>
        </w:rPr>
      </w:pPr>
    </w:p>
    <w:p>
      <w:pPr>
        <w:ind w:left="1280" w:right="3159" w:hanging="1263"/>
        <w:spacing w:after="0" w:line="290" w:lineRule="auto"/>
        <w:rPr>
          <w:sz w:val="20"/>
          <w:szCs w:val="20"/>
          <w:color w:val="auto"/>
        </w:rPr>
      </w:pPr>
      <w:r>
        <w:rPr>
          <w:rFonts w:ascii="Courier New" w:cs="Courier New" w:eastAsia="Courier New" w:hAnsi="Courier New"/>
          <w:sz w:val="16"/>
          <w:szCs w:val="16"/>
          <w:color w:val="auto"/>
        </w:rPr>
        <w:t>Footnote 1: The reporting persons disclaim beneficial ownership except to the extent of any pecuniary interest therein.</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5"/>
    </w:lvl>
  </w:abstractNum>
  <w:abstractNum w:abstractNumId="2">
    <w:nsid w:val="216231B"/>
    <w:multiLevelType w:val="hybridMultilevel"/>
    <w:lvl w:ilvl="0">
      <w:lvlJc w:val="left"/>
      <w:lvlText w:val="%1."/>
      <w:numFmt w:val="decimal"/>
      <w:start w:val="12"/>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12"/>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5"/>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55"/>
    </w:lvl>
  </w:abstractNum>
  <w:abstractNum w:abstractNumId="11">
    <w:nsid w:val="1BEFD79F"/>
    <w:multiLevelType w:val="hybridMultilevel"/>
    <w:lvl w:ilvl="0">
      <w:lvlJc w:val="left"/>
      <w:lvlText w:val="%1."/>
      <w:numFmt w:val="decimal"/>
      <w:start w:val="6"/>
    </w:lvl>
  </w:abstractNum>
  <w:abstractNum w:abstractNumId="12">
    <w:nsid w:val="41A7C4C9"/>
    <w:multiLevelType w:val="hybridMultilevel"/>
    <w:lvl w:ilvl="0">
      <w:lvlJc w:val="left"/>
      <w:lvlText w:val="%1."/>
      <w:numFmt w:val="decimal"/>
      <w:start w:val="9"/>
    </w:lvl>
  </w:abstractNum>
  <w:abstractNum w:abstractNumId="13">
    <w:nsid w:val="6B68079A"/>
    <w:multiLevelType w:val="hybridMultilevel"/>
    <w:lvl w:ilvl="0">
      <w:lvlJc w:val="left"/>
      <w:lvlText w:val="%1."/>
      <w:numFmt w:val="decimal"/>
      <w:start w:val="12"/>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2020-01-14T07:18:01Z</dcterms:created>
  <dcterms:modified xsi:type="dcterms:W3CDTF">2020-01-14T07:18:01Z</dcterms:modified>
</cp:coreProperties>
</file>