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620,810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2,371,659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Pro rata distribution from Priority Incentive Equity Holdings, LLC, of which the Reporting Person is a non-managing member.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-2808605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2020-04-07T11:51:57Z</dcterms:created>
  <dcterms:modified xsi:type="dcterms:W3CDTF">2020-04-07T11:51:57Z</dcterms:modified>
</cp:coreProperties>
</file>