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March 12, 2024</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March 12, 2024, Priority Technology Holdings, Inc. ("Priority") issued a press release announcing its financial results for the quarter ended December 31, 2023.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March 12, 2024, Priority will hold an earnings conference call and webcast at 11:00 a.m. (Eastern Time) to discuss the financial results for the quarter ended December 31, 2023.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March 12, 2024</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12, 2024</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16510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chris.kettmann@dentonsglobaladvisors.com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Fourth Quarter and Full Year 2023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Fourth Quarter</w:t>
      </w:r>
      <w:r>
        <w:rPr>
          <w:rFonts w:ascii="Times New Roman" w:cs="Times New Roman" w:eastAsia="Times New Roman" w:hAnsi="Times New Roman"/>
          <w:sz w:val="14"/>
          <w:szCs w:val="14"/>
          <w:i w:val="1"/>
          <w:iCs w:val="1"/>
          <w:color w:val="auto"/>
        </w:rPr>
        <w:t xml:space="preserve"> Growth Driven by Performance Across Diverse Business Segments</w:t>
      </w:r>
    </w:p>
    <w:p>
      <w:pPr>
        <w:spacing w:after="0" w:line="179"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13"/>
          <w:szCs w:val="13"/>
          <w:color w:val="auto"/>
        </w:rPr>
        <w:t>ALPHARETTA, GA - March 12, 2024 -- Priority Technology Holdings, Inc. (NASDAQ: PRTH) ("Priority" or the "Company"), the platform for unified commerce that delivers integrated payments and banking services at scale, today announced its fourth quarter and full year 2023 financial results including strong year-over-year diversified revenue growth.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Fourth Quarter 2023 Compared with Fourth Quarter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fourth quarter of 2023 compared with the fourth quarter of 2022, are as follows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$199.3 million increased 12.2% from $177.6 million</w:t>
      </w:r>
    </w:p>
    <w:p>
      <w:pPr>
        <w:spacing w:after="0" w:line="3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$72.9 million increased 19.5% from $61.0 million</w:t>
      </w: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36.6% increased 230 basis points from 34.3%</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$22.0 million increased 21.1% from $18.2 million</w:t>
      </w:r>
    </w:p>
    <w:p>
      <w:pPr>
        <w:spacing w:after="0" w:line="2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$44.6 million increased 12.2% from $39.8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Full Year 2023 Compared with Full Year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Full Year of 2023 compared with the Full Year of 2022, are as follows</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$755.6 million increased 13.9% from $663.6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$275.3 million increased 21.3% from $226.9 million</w:t>
      </w:r>
    </w:p>
    <w:p>
      <w:pPr>
        <w:spacing w:after="0" w:line="7"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36.4% increased 220 basis points from 34.2%</w:t>
      </w: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$81.5 million increased 45.2% from $56.2 million</w:t>
      </w:r>
    </w:p>
    <w:p>
      <w:pPr>
        <w:spacing w:after="0" w:line="1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of $168.3 million increased 20.0% from $140.3 million</w:t>
      </w:r>
    </w:p>
    <w:p>
      <w:pPr>
        <w:spacing w:after="0" w:line="136" w:lineRule="exact"/>
        <w:rPr>
          <w:sz w:val="20"/>
          <w:szCs w:val="20"/>
          <w:color w:val="auto"/>
        </w:rPr>
      </w:pPr>
    </w:p>
    <w:p>
      <w:pPr>
        <w:ind w:left="420" w:right="280" w:hanging="212"/>
        <w:spacing w:after="0" w:line="251" w:lineRule="auto"/>
        <w:tabs>
          <w:tab w:leader="none" w:pos="412" w:val="left"/>
        </w:tabs>
        <w:numPr>
          <w:ilvl w:val="0"/>
          <w:numId w:val="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and Adjusted EBITDA, to their most comparable GAAP measures provided below for additional information.</w:t>
      </w:r>
    </w:p>
    <w:p>
      <w:pPr>
        <w:ind w:left="420" w:hanging="212"/>
        <w:spacing w:after="0" w:line="232" w:lineRule="auto"/>
        <w:tabs>
          <w:tab w:leader="none" w:pos="420" w:val="left"/>
        </w:tabs>
        <w:numPr>
          <w:ilvl w:val="0"/>
          <w:numId w:val="4"/>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add mathematically due to rounding.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ind w:right="40"/>
        <w:spacing w:after="0" w:line="305" w:lineRule="auto"/>
        <w:rPr>
          <w:sz w:val="20"/>
          <w:szCs w:val="20"/>
          <w:color w:val="auto"/>
        </w:rPr>
      </w:pPr>
      <w:r>
        <w:rPr>
          <w:rFonts w:ascii="Times New Roman" w:cs="Times New Roman" w:eastAsia="Times New Roman" w:hAnsi="Times New Roman"/>
          <w:sz w:val="13"/>
          <w:szCs w:val="13"/>
          <w:color w:val="auto"/>
        </w:rPr>
        <w:t>"We delivered record fourth quarter and full year 2023 results, driven by continued strength in SMB acquiring, B2B payables and Enterprise payments," said Tom Priore, Chairman &amp; CEO of Priority. "Everything we’ve done over the past several years – from the significant early investment in our technology infrastructure, to our focus on diversifying our offering through countercyclical assets, to our acquisition of Plastiq – was done with intention and purpose, to provide our customers with an elegant, unified commerce experience combining our core pillars of acquiring, banking and payables on a single platform. Our results demonstrate that we are achieving that goal."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2024 Financial Guidance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a combination of results for the full year ended December 31, 2023 and the forecasted results for the year, the Company has provided its outlook for the full year 2024 as follows:</w:t>
      </w:r>
    </w:p>
    <w:p>
      <w:pPr>
        <w:spacing w:after="0" w:line="175"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$875 million to $890 million, a growth rate of 16% to 18%, compared to fiscal 2023 results</w:t>
      </w:r>
    </w:p>
    <w:p>
      <w:pPr>
        <w:spacing w:after="0" w:line="17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forecast to range between $193 million to $198 million, a growth rate of 15% to 18% compared to fiscal 2023 results</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$325 million and $335 million, a growth rate of 18% to 22% compared to fiscal 2023 results</w:t>
      </w:r>
    </w:p>
    <w:p>
      <w:pPr>
        <w:spacing w:after="0" w:line="163" w:lineRule="exact"/>
        <w:rPr>
          <w:rFonts w:ascii="Times New Roman" w:cs="Times New Roman" w:eastAsia="Times New Roman" w:hAnsi="Times New Roman"/>
          <w:sz w:val="13"/>
          <w:szCs w:val="13"/>
          <w:color w:val="auto"/>
        </w:rPr>
      </w:pPr>
    </w:p>
    <w:p>
      <w:pPr>
        <w:ind w:left="5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Conference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70707"/>
        </w:rPr>
        <w:t>Priority's leadership will host a conference call on Tuesday, March 12, 2024 at 11:00 a.m. EDT to discuss its fourth quarter and full-year 2023 financial results. Participants can access the call by p</w:t>
      </w:r>
      <w:r>
        <w:rPr>
          <w:rFonts w:ascii="Times New Roman" w:cs="Times New Roman" w:eastAsia="Times New Roman" w:hAnsi="Times New Roman"/>
          <w:sz w:val="13"/>
          <w:szCs w:val="13"/>
          <w:color w:val="000000"/>
        </w:rPr>
        <w:t>hone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Canada at (833) 636-1319 or internationally at (412) 902-4286.</w:t>
      </w:r>
    </w:p>
    <w:p>
      <w:pPr>
        <w:spacing w:after="0" w:line="173" w:lineRule="exact"/>
        <w:rPr>
          <w:sz w:val="20"/>
          <w:szCs w:val="20"/>
          <w:color w:val="auto"/>
        </w:rPr>
      </w:pPr>
    </w:p>
    <w:p>
      <w:pPr>
        <w:ind w:right="220"/>
        <w:spacing w:after="0" w:line="342"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https://edge.media-server.com/mmc/p/qdxgveed</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89" w:lineRule="exact"/>
        <w:rPr>
          <w:sz w:val="20"/>
          <w:szCs w:val="20"/>
          <w:color w:val="auto"/>
        </w:rPr>
      </w:pPr>
    </w:p>
    <w:p>
      <w:pPr>
        <w:jc w:val="both"/>
        <w:ind w:right="20"/>
        <w:spacing w:after="0" w:line="338"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March 19, 2024 at 2:00 p.m. EDT. To listen to the audio replay, dial (877) 344-7529 or (412) 317-0088 and enter conference ID number </w:t>
      </w:r>
      <w:r>
        <w:rPr>
          <w:rFonts w:ascii="Times New Roman" w:cs="Times New Roman" w:eastAsia="Times New Roman" w:hAnsi="Times New Roman"/>
          <w:sz w:val="13"/>
          <w:szCs w:val="13"/>
          <w:b w:val="1"/>
          <w:bCs w:val="1"/>
          <w:color w:val="222222"/>
        </w:rPr>
        <w:t>1993467</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2780" w:type="dxa"/>
            <w:vAlign w:val="bottom"/>
            <w:tcBorders>
              <w:bottom w:val="single" w:sz="8" w:color="auto"/>
            </w:tcBorders>
            <w:gridSpan w:val="4"/>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0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199,279</w:t>
            </w:r>
          </w:p>
        </w:tc>
        <w:tc>
          <w:tcPr>
            <w:tcW w:w="60" w:type="dxa"/>
            <w:vAlign w:val="bottom"/>
          </w:tcPr>
          <w:p>
            <w:pPr>
              <w:spacing w:after="0"/>
              <w:rPr>
                <w:sz w:val="13"/>
                <w:szCs w:val="13"/>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177,555</w:t>
            </w:r>
          </w:p>
        </w:tc>
        <w:tc>
          <w:tcPr>
            <w:tcW w:w="8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755,612</w:t>
            </w:r>
          </w:p>
        </w:tc>
        <w:tc>
          <w:tcPr>
            <w:tcW w:w="80" w:type="dxa"/>
            <w:vAlign w:val="bottom"/>
          </w:tcPr>
          <w:p>
            <w:pPr>
              <w:spacing w:after="0"/>
              <w:rPr>
                <w:sz w:val="13"/>
                <w:szCs w:val="13"/>
                <w:color w:val="auto"/>
              </w:rPr>
            </w:pPr>
          </w:p>
        </w:tc>
        <w:tc>
          <w:tcPr>
            <w:tcW w:w="5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663,641</w:t>
            </w:r>
          </w:p>
        </w:tc>
        <w:tc>
          <w:tcPr>
            <w:tcW w:w="0" w:type="dxa"/>
            <w:vAlign w:val="bottom"/>
          </w:tcPr>
          <w:p>
            <w:pPr>
              <w:spacing w:after="0"/>
              <w:rPr>
                <w:sz w:val="1"/>
                <w:szCs w:val="1"/>
                <w:color w:val="auto"/>
              </w:rPr>
            </w:pPr>
          </w:p>
        </w:tc>
      </w:tr>
      <w:tr>
        <w:trPr>
          <w:trHeight w:val="17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(126,378)</w:t>
            </w:r>
          </w:p>
        </w:tc>
        <w:tc>
          <w:tcPr>
            <w:tcW w:w="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(116,566)</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(480,307)</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(436,753)</w:t>
            </w:r>
          </w:p>
        </w:tc>
        <w:tc>
          <w:tcPr>
            <w:tcW w:w="0" w:type="dxa"/>
            <w:vAlign w:val="bottom"/>
          </w:tcPr>
          <w:p>
            <w:pPr>
              <w:spacing w:after="0"/>
              <w:rPr>
                <w:sz w:val="1"/>
                <w:szCs w:val="1"/>
                <w:color w:val="auto"/>
              </w:rPr>
            </w:pPr>
          </w:p>
        </w:tc>
      </w:tr>
      <w:tr>
        <w:trPr>
          <w:trHeight w:val="163"/>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72,901</w:t>
            </w:r>
          </w:p>
        </w:tc>
        <w:tc>
          <w:tcPr>
            <w:tcW w:w="6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60,989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275,305</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226,888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4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36.6 %</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34.3 %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36.4 %</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34.2 %</w:t>
            </w:r>
          </w:p>
        </w:tc>
        <w:tc>
          <w:tcPr>
            <w:tcW w:w="0" w:type="dxa"/>
            <w:vAlign w:val="bottom"/>
          </w:tcPr>
          <w:p>
            <w:pPr>
              <w:spacing w:after="0"/>
              <w:rPr>
                <w:sz w:val="1"/>
                <w:szCs w:val="1"/>
                <w:color w:val="auto"/>
              </w:rPr>
            </w:pPr>
          </w:p>
        </w:tc>
      </w:tr>
      <w:tr>
        <w:trPr>
          <w:trHeight w:val="17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(3,638)</w:t>
            </w:r>
          </w:p>
        </w:tc>
        <w:tc>
          <w:tcPr>
            <w:tcW w:w="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(2,762)</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(12,628)</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(10,355)</w:t>
            </w:r>
          </w:p>
        </w:tc>
        <w:tc>
          <w:tcPr>
            <w:tcW w:w="0" w:type="dxa"/>
            <w:vAlign w:val="bottom"/>
          </w:tcPr>
          <w:p>
            <w:pPr>
              <w:spacing w:after="0"/>
              <w:rPr>
                <w:sz w:val="1"/>
                <w:szCs w:val="1"/>
                <w:color w:val="auto"/>
              </w:rPr>
            </w:pPr>
          </w:p>
        </w:tc>
      </w:tr>
      <w:tr>
        <w:trPr>
          <w:trHeight w:val="163"/>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69,263</w:t>
            </w:r>
          </w:p>
        </w:tc>
        <w:tc>
          <w:tcPr>
            <w:tcW w:w="6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58,227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262,677</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216,533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34.8 %</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32.8 %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34.8 %</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32.6 %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58"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57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24"/>
                <w:szCs w:val="24"/>
                <w:color w:val="auto"/>
              </w:rPr>
            </w:pPr>
          </w:p>
        </w:tc>
        <w:tc>
          <w:tcPr>
            <w:tcW w:w="25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20" w:type="dxa"/>
            <w:vAlign w:val="bottom"/>
          </w:tcPr>
          <w:p>
            <w:pPr>
              <w:spacing w:after="0"/>
              <w:rPr>
                <w:sz w:val="24"/>
                <w:szCs w:val="24"/>
                <w:color w:val="auto"/>
              </w:rPr>
            </w:pPr>
          </w:p>
        </w:tc>
        <w:tc>
          <w:tcPr>
            <w:tcW w:w="15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4"/>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60" w:type="dxa"/>
            <w:vAlign w:val="bottom"/>
          </w:tcPr>
          <w:p>
            <w:pPr>
              <w:spacing w:after="0"/>
              <w:rPr>
                <w:sz w:val="13"/>
                <w:szCs w:val="13"/>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60" w:type="dxa"/>
            <w:vAlign w:val="bottom"/>
          </w:tcPr>
          <w:p>
            <w:pPr>
              <w:spacing w:after="0"/>
              <w:rPr>
                <w:sz w:val="13"/>
                <w:szCs w:val="13"/>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76,108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53,554</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5,350</w:t>
            </w:r>
          </w:p>
        </w:tc>
        <w:tc>
          <w:tcPr>
            <w:tcW w:w="0" w:type="dxa"/>
            <w:vAlign w:val="bottom"/>
          </w:tcPr>
          <w:p>
            <w:pPr>
              <w:spacing w:after="0"/>
              <w:rPr>
                <w:sz w:val="1"/>
                <w:szCs w:val="1"/>
                <w:color w:val="auto"/>
              </w:rPr>
            </w:pPr>
          </w:p>
        </w:tc>
      </w:tr>
      <w:tr>
        <w:trPr>
          <w:trHeight w:val="172"/>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18,006</w:t>
            </w: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68,395</w:t>
            </w: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70,681</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151,655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127,435</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9,825</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6,639</w:t>
            </w:r>
          </w:p>
        </w:tc>
        <w:tc>
          <w:tcPr>
            <w:tcW w:w="0" w:type="dxa"/>
            <w:vAlign w:val="bottom"/>
          </w:tcPr>
          <w:p>
            <w:pPr>
              <w:spacing w:after="0"/>
              <w:rPr>
                <w:sz w:val="1"/>
                <w:szCs w:val="1"/>
                <w:color w:val="auto"/>
              </w:rPr>
            </w:pPr>
          </w:p>
        </w:tc>
      </w:tr>
      <w:tr>
        <w:trPr>
          <w:trHeight w:val="171"/>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6,228</w:t>
            </w:r>
          </w:p>
        </w:tc>
        <w:tc>
          <w:tcPr>
            <w:tcW w:w="0" w:type="dxa"/>
            <w:vAlign w:val="bottom"/>
          </w:tcPr>
          <w:p>
            <w:pPr>
              <w:spacing w:after="0"/>
              <w:rPr>
                <w:sz w:val="1"/>
                <w:szCs w:val="1"/>
                <w:color w:val="auto"/>
              </w:rPr>
            </w:pPr>
          </w:p>
        </w:tc>
      </w:tr>
      <w:tr>
        <w:trPr>
          <w:trHeight w:val="174"/>
        </w:trPr>
        <w:tc>
          <w:tcPr>
            <w:tcW w:w="5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other losses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44,637</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39,791</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168,332</w:t>
            </w:r>
          </w:p>
        </w:tc>
        <w:tc>
          <w:tcPr>
            <w:tcW w:w="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140,302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2"/>
                <w:szCs w:val="12"/>
                <w:color w:val="auto"/>
              </w:rPr>
            </w:pPr>
          </w:p>
        </w:tc>
        <w:tc>
          <w:tcPr>
            <w:tcW w:w="26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00" w:type="dxa"/>
            <w:vAlign w:val="bottom"/>
          </w:tcPr>
          <w:p>
            <w:pPr>
              <w:spacing w:after="0"/>
              <w:rPr>
                <w:sz w:val="12"/>
                <w:szCs w:val="12"/>
                <w:color w:val="auto"/>
              </w:rPr>
            </w:pPr>
          </w:p>
        </w:tc>
        <w:tc>
          <w:tcPr>
            <w:tcW w:w="160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Years Ended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5"/>
        </w:trPr>
        <w:tc>
          <w:tcPr>
            <w:tcW w:w="5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restructuring costs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6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80" w:type="dxa"/>
            <w:vAlign w:val="bottom"/>
          </w:tcPr>
          <w:p>
            <w:pPr>
              <w:spacing w:after="0"/>
              <w:rPr>
                <w:sz w:val="14"/>
                <w:szCs w:val="14"/>
                <w:color w:val="auto"/>
              </w:rPr>
            </w:pPr>
          </w:p>
        </w:tc>
        <w:tc>
          <w:tcPr>
            <w:tcW w:w="50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0" w:type="dxa"/>
            <w:vAlign w:val="bottom"/>
          </w:tcPr>
          <w:p>
            <w:pPr>
              <w:spacing w:after="0"/>
              <w:rPr>
                <w:sz w:val="1"/>
                <w:szCs w:val="1"/>
                <w:color w:val="auto"/>
              </w:rPr>
            </w:pPr>
          </w:p>
        </w:tc>
      </w:tr>
      <w:tr>
        <w:trPr>
          <w:trHeight w:val="171"/>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the fair value of contingent consideration</w:t>
            </w:r>
          </w:p>
        </w:tc>
        <w:tc>
          <w:tcPr>
            <w:tcW w:w="2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0" w:type="dxa"/>
            <w:vAlign w:val="bottom"/>
          </w:tcPr>
          <w:p>
            <w:pPr>
              <w:spacing w:after="0"/>
              <w:rPr>
                <w:sz w:val="1"/>
                <w:szCs w:val="1"/>
                <w:color w:val="auto"/>
              </w:rPr>
            </w:pPr>
          </w:p>
        </w:tc>
      </w:tr>
      <w:tr>
        <w:trPr>
          <w:trHeight w:val="174"/>
        </w:trPr>
        <w:tc>
          <w:tcPr>
            <w:tcW w:w="5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5,256</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1,284</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9,825</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6,639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656"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a solution provider in Payments and Banking as a Service operating at scale with 860,000 active customers across its SMB, B2B and Enterprise channels processing $120 billion in annual transaction volume and providing administration for $900 million in deposits. Priority’s purpose-built technology enables clients to collect, store, lend and send money and provides customers the acceptance and AP payment applications and Passport financial tools that best optimize their cash flow and maximize working capital.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2023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12, 2024.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2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420" w:type="dxa"/>
            <w:vAlign w:val="bottom"/>
            <w:tcBorders>
              <w:bottom w:val="single" w:sz="8" w:color="auto"/>
            </w:tcBorders>
            <w:gridSpan w:val="4"/>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199,279</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177,555</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755,612</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663,641</w:t>
            </w:r>
          </w:p>
        </w:tc>
        <w:tc>
          <w:tcPr>
            <w:tcW w:w="0" w:type="dxa"/>
            <w:vAlign w:val="bottom"/>
          </w:tcPr>
          <w:p>
            <w:pPr>
              <w:spacing w:after="0"/>
              <w:rPr>
                <w:sz w:val="1"/>
                <w:szCs w:val="1"/>
                <w:color w:val="auto"/>
              </w:rPr>
            </w:pPr>
          </w:p>
        </w:tc>
      </w:tr>
      <w:tr>
        <w:trPr>
          <w:trHeight w:val="131"/>
        </w:trPr>
        <w:tc>
          <w:tcPr>
            <w:tcW w:w="52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126,378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116,566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480,307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436,753</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21,688</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16,846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79,974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65,077</w:t>
            </w: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15,092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18,006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68,395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70,681</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14,084</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7,938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45,412</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34,965</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177,242</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159,356</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674,088</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607,476</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22,037</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18,199</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81,524</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56,165</w:t>
            </w:r>
          </w:p>
        </w:tc>
        <w:tc>
          <w:tcPr>
            <w:tcW w:w="0" w:type="dxa"/>
            <w:vAlign w:val="bottom"/>
          </w:tcPr>
          <w:p>
            <w:pPr>
              <w:spacing w:after="0"/>
              <w:rPr>
                <w:sz w:val="1"/>
                <w:szCs w:val="1"/>
                <w:color w:val="auto"/>
              </w:rPr>
            </w:pPr>
          </w:p>
        </w:tc>
      </w:tr>
      <w:tr>
        <w:trPr>
          <w:trHeight w:val="131"/>
        </w:trPr>
        <w:tc>
          <w:tcPr>
            <w:tcW w:w="52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0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(20,647)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(16,272)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(76,108)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(53,554)</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278</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1,736</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589</w:t>
            </w:r>
          </w:p>
        </w:tc>
        <w:tc>
          <w:tcPr>
            <w:tcW w:w="0" w:type="dxa"/>
            <w:vAlign w:val="bottom"/>
          </w:tcPr>
          <w:p>
            <w:pPr>
              <w:spacing w:after="0"/>
              <w:rPr>
                <w:sz w:val="1"/>
                <w:szCs w:val="1"/>
                <w:color w:val="auto"/>
              </w:rPr>
            </w:pPr>
          </w:p>
        </w:tc>
      </w:tr>
      <w:tr>
        <w:trPr>
          <w:trHeight w:val="142"/>
        </w:trPr>
        <w:tc>
          <w:tcPr>
            <w:tcW w:w="5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(20,230)</w:t>
            </w: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(15,994)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(74,372)</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(52,965)</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1,807</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2,205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7,152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3,200</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1,913</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3,517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8,463</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5,350</w:t>
            </w:r>
          </w:p>
        </w:tc>
        <w:tc>
          <w:tcPr>
            <w:tcW w:w="0" w:type="dxa"/>
            <w:vAlign w:val="bottom"/>
          </w:tcPr>
          <w:p>
            <w:pPr>
              <w:spacing w:after="0"/>
              <w:rPr>
                <w:sz w:val="1"/>
                <w:szCs w:val="1"/>
                <w:color w:val="auto"/>
              </w:rPr>
            </w:pPr>
          </w:p>
        </w:tc>
      </w:tr>
      <w:tr>
        <w:trPr>
          <w:trHeight w:val="140"/>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00" w:type="dxa"/>
            <w:vAlign w:val="bottom"/>
          </w:tcPr>
          <w:p>
            <w:pPr>
              <w:spacing w:after="0"/>
              <w:rPr>
                <w:sz w:val="12"/>
                <w:szCs w:val="12"/>
                <w:color w:val="auto"/>
              </w:rPr>
            </w:pPr>
          </w:p>
        </w:tc>
        <w:tc>
          <w:tcPr>
            <w:tcW w:w="5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(1,311)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(2,150)</w:t>
            </w: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(12,492)</w:t>
            </w: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(10,465)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(47,744)</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(36,880)</w:t>
            </w:r>
          </w:p>
        </w:tc>
        <w:tc>
          <w:tcPr>
            <w:tcW w:w="0" w:type="dxa"/>
            <w:vAlign w:val="bottom"/>
          </w:tcPr>
          <w:p>
            <w:pPr>
              <w:spacing w:after="0"/>
              <w:rPr>
                <w:sz w:val="1"/>
                <w:szCs w:val="1"/>
                <w:color w:val="auto"/>
              </w:rPr>
            </w:pPr>
          </w:p>
        </w:tc>
      </w:tr>
      <w:tr>
        <w:trPr>
          <w:trHeight w:val="136"/>
        </w:trPr>
        <w:tc>
          <w:tcPr>
            <w:tcW w:w="52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900" w:type="dxa"/>
            <w:vAlign w:val="bottom"/>
          </w:tcPr>
          <w:p>
            <w:pPr>
              <w:spacing w:after="0"/>
              <w:rPr>
                <w:sz w:val="11"/>
                <w:szCs w:val="11"/>
                <w:color w:val="auto"/>
              </w:rPr>
            </w:pPr>
          </w:p>
        </w:tc>
        <w:tc>
          <w:tcPr>
            <w:tcW w:w="540" w:type="dxa"/>
            <w:vAlign w:val="bottom"/>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(12,598)</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(11,777)</w:t>
            </w:r>
          </w:p>
        </w:tc>
        <w:tc>
          <w:tcPr>
            <w:tcW w:w="80" w:type="dxa"/>
            <w:vAlign w:val="bottom"/>
          </w:tcPr>
          <w:p>
            <w:pPr>
              <w:spacing w:after="0"/>
              <w:rPr>
                <w:sz w:val="11"/>
                <w:szCs w:val="11"/>
                <w:color w:val="auto"/>
              </w:rPr>
            </w:pPr>
          </w:p>
        </w:tc>
        <w:tc>
          <w:tcPr>
            <w:tcW w:w="340" w:type="dxa"/>
            <w:vAlign w:val="bottom"/>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(49,055)</w:t>
            </w:r>
          </w:p>
        </w:tc>
        <w:tc>
          <w:tcPr>
            <w:tcW w:w="80" w:type="dxa"/>
            <w:vAlign w:val="bottom"/>
          </w:tcPr>
          <w:p>
            <w:pPr>
              <w:spacing w:after="0"/>
              <w:rPr>
                <w:sz w:val="11"/>
                <w:szCs w:val="11"/>
                <w:color w:val="auto"/>
              </w:rPr>
            </w:pPr>
          </w:p>
        </w:tc>
        <w:tc>
          <w:tcPr>
            <w:tcW w:w="460" w:type="dxa"/>
            <w:vAlign w:val="bottom"/>
          </w:tcPr>
          <w:p>
            <w:pPr>
              <w:jc w:val="right"/>
              <w:ind w:right="32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(39,030)</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90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(12,593)</w:t>
            </w:r>
          </w:p>
        </w:tc>
        <w:tc>
          <w:tcPr>
            <w:tcW w:w="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(11,777)</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(49,084)</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(39,030)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80" w:type="dxa"/>
            <w:vAlign w:val="bottom"/>
          </w:tcPr>
          <w:p>
            <w:pPr>
              <w:spacing w:after="0"/>
              <w:rPr>
                <w:sz w:val="13"/>
                <w:szCs w:val="13"/>
                <w:color w:val="auto"/>
              </w:rPr>
            </w:pPr>
          </w:p>
        </w:tc>
        <w:tc>
          <w:tcPr>
            <w:tcW w:w="90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0" w:type="dxa"/>
            <w:vAlign w:val="bottom"/>
          </w:tcPr>
          <w:p>
            <w:pPr>
              <w:spacing w:after="0"/>
              <w:rPr>
                <w:sz w:val="1"/>
                <w:szCs w:val="1"/>
                <w:color w:val="auto"/>
              </w:rPr>
            </w:pPr>
          </w:p>
        </w:tc>
      </w:tr>
      <w:tr>
        <w:trPr>
          <w:trHeight w:val="331"/>
        </w:trPr>
        <w:tc>
          <w:tcPr>
            <w:tcW w:w="5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78,532</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78,333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78,233</w:t>
            </w:r>
          </w:p>
        </w:tc>
        <w:tc>
          <w:tcPr>
            <w:tcW w:w="0" w:type="dxa"/>
            <w:vAlign w:val="bottom"/>
          </w:tcPr>
          <w:p>
            <w:pPr>
              <w:spacing w:after="0"/>
              <w:rPr>
                <w:sz w:val="1"/>
                <w:szCs w:val="1"/>
                <w:color w:val="auto"/>
              </w:rPr>
            </w:pPr>
          </w:p>
        </w:tc>
      </w:tr>
      <w:tr>
        <w:trPr>
          <w:trHeight w:val="882"/>
        </w:trPr>
        <w:tc>
          <w:tcPr>
            <w:tcW w:w="5240" w:type="dxa"/>
            <w:vAlign w:val="bottom"/>
          </w:tcPr>
          <w:p>
            <w:pPr>
              <w:spacing w:after="0"/>
              <w:rPr>
                <w:sz w:val="24"/>
                <w:szCs w:val="24"/>
                <w:color w:val="auto"/>
              </w:rPr>
            </w:pPr>
          </w:p>
        </w:tc>
        <w:tc>
          <w:tcPr>
            <w:tcW w:w="90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5"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440" w:type="dxa"/>
            <w:vAlign w:val="bottom"/>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31"/>
        </w:trPr>
        <w:tc>
          <w:tcPr>
            <w:tcW w:w="47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40" w:type="dxa"/>
            <w:vAlign w:val="bottom"/>
            <w:gridSpan w:val="2"/>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78,113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1,471</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532,018</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881,294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652,470</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34,687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369,337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288,794</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16,447</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13,649</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8,437</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440" w:type="dxa"/>
            <w:vAlign w:val="bottom"/>
          </w:tcPr>
          <w:p>
            <w:pPr>
              <w:spacing w:after="0"/>
              <w:rPr>
                <w:sz w:val="12"/>
                <w:szCs w:val="12"/>
                <w:color w:val="auto"/>
              </w:rPr>
            </w:pP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1,615,337</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and Stockholders' Deficit</w:t>
            </w:r>
          </w:p>
        </w:tc>
        <w:tc>
          <w:tcPr>
            <w:tcW w:w="2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40" w:type="dxa"/>
            <w:vAlign w:val="bottom"/>
            <w:gridSpan w:val="2"/>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52,643</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51,864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35,979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755,754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533,340</w:t>
            </w:r>
          </w:p>
        </w:tc>
        <w:tc>
          <w:tcPr>
            <w:tcW w:w="0" w:type="dxa"/>
            <w:vAlign w:val="bottom"/>
          </w:tcPr>
          <w:p>
            <w:pPr>
              <w:spacing w:after="0"/>
              <w:rPr>
                <w:sz w:val="1"/>
                <w:szCs w:val="1"/>
                <w:color w:val="auto"/>
              </w:rPr>
            </w:pPr>
          </w:p>
        </w:tc>
      </w:tr>
      <w:tr>
        <w:trPr>
          <w:trHeight w:val="140"/>
        </w:trPr>
        <w:tc>
          <w:tcPr>
            <w:tcW w:w="47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630,001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598,926</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11,643</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44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1,502,796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1,240,570</w:t>
            </w:r>
          </w:p>
        </w:tc>
        <w:tc>
          <w:tcPr>
            <w:tcW w:w="0" w:type="dxa"/>
            <w:vAlign w:val="bottom"/>
          </w:tcPr>
          <w:p>
            <w:pPr>
              <w:spacing w:after="0"/>
              <w:rPr>
                <w:sz w:val="1"/>
                <w:szCs w:val="1"/>
                <w:color w:val="auto"/>
              </w:rPr>
            </w:pPr>
          </w:p>
        </w:tc>
      </w:tr>
      <w:tr>
        <w:trPr>
          <w:trHeight w:val="140"/>
        </w:trPr>
        <w:tc>
          <w:tcPr>
            <w:tcW w:w="4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235,579</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(134,951)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(102,208)</w:t>
            </w:r>
          </w:p>
        </w:tc>
        <w:tc>
          <w:tcPr>
            <w:tcW w:w="0" w:type="dxa"/>
            <w:vAlign w:val="bottom"/>
          </w:tcPr>
          <w:p>
            <w:pPr>
              <w:spacing w:after="0"/>
              <w:rPr>
                <w:sz w:val="1"/>
                <w:szCs w:val="1"/>
                <w:color w:val="auto"/>
              </w:rPr>
            </w:pPr>
          </w:p>
        </w:tc>
      </w:tr>
      <w:tr>
        <w:trPr>
          <w:trHeight w:val="140"/>
        </w:trPr>
        <w:tc>
          <w:tcPr>
            <w:tcW w:w="474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PRTH</w:t>
            </w:r>
          </w:p>
        </w:tc>
        <w:tc>
          <w:tcPr>
            <w:tcW w:w="2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(104,041)</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24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1,255</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44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(102,786)</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and stockholders' deficit</w:t>
            </w:r>
          </w:p>
        </w:tc>
        <w:tc>
          <w:tcPr>
            <w:tcW w:w="2440" w:type="dxa"/>
            <w:vAlign w:val="bottom"/>
          </w:tcPr>
          <w:p>
            <w:pPr>
              <w:spacing w:after="0"/>
              <w:rPr>
                <w:sz w:val="12"/>
                <w:szCs w:val="12"/>
                <w:color w:val="auto"/>
              </w:rPr>
            </w:pP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1,615,337</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7</w:t>
            </w: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5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31"/>
        </w:trPr>
        <w:tc>
          <w:tcPr>
            <w:tcW w:w="5200" w:type="dxa"/>
            <w:vAlign w:val="bottom"/>
            <w:vMerge w:val="continue"/>
          </w:tcPr>
          <w:p>
            <w:pPr>
              <w:spacing w:after="0"/>
              <w:rPr>
                <w:sz w:val="11"/>
                <w:szCs w:val="11"/>
                <w:color w:val="auto"/>
              </w:rPr>
            </w:pP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w:t>
            </w:r>
          </w:p>
        </w:tc>
        <w:tc>
          <w:tcPr>
            <w:tcW w:w="42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80" w:type="dxa"/>
            <w:vAlign w:val="bottom"/>
          </w:tcPr>
          <w:p>
            <w:pPr>
              <w:spacing w:after="0"/>
              <w:rPr>
                <w:sz w:val="13"/>
                <w:szCs w:val="13"/>
                <w:color w:val="auto"/>
              </w:rPr>
            </w:pPr>
          </w:p>
        </w:tc>
        <w:tc>
          <w:tcPr>
            <w:tcW w:w="4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68,395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70,681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3,521</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(19,580)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receivable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19,794</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(2,403)</w:t>
            </w:r>
          </w:p>
        </w:tc>
        <w:tc>
          <w:tcPr>
            <w:tcW w:w="0" w:type="dxa"/>
            <w:vAlign w:val="bottom"/>
          </w:tcPr>
          <w:p>
            <w:pPr>
              <w:spacing w:after="0"/>
              <w:rPr>
                <w:sz w:val="1"/>
                <w:szCs w:val="1"/>
                <w:color w:val="auto"/>
              </w:rPr>
            </w:pPr>
          </w:p>
        </w:tc>
      </w:tr>
      <w:tr>
        <w:trPr>
          <w:trHeight w:val="155"/>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(5,031)</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5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81,256</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70,518</w:t>
            </w:r>
          </w:p>
        </w:tc>
        <w:tc>
          <w:tcPr>
            <w:tcW w:w="0" w:type="dxa"/>
            <w:vAlign w:val="bottom"/>
          </w:tcPr>
          <w:p>
            <w:pPr>
              <w:spacing w:after="0"/>
              <w:rPr>
                <w:sz w:val="1"/>
                <w:szCs w:val="1"/>
                <w:color w:val="auto"/>
              </w:rPr>
            </w:pPr>
          </w:p>
        </w:tc>
      </w:tr>
      <w:tr>
        <w:trPr>
          <w:trHeight w:val="131"/>
        </w:trPr>
        <w:tc>
          <w:tcPr>
            <w:tcW w:w="52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(28,222)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(4,976)</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(21,256)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(18,882)</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(4,662)</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(6,646)</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(7,983)</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5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(55,748)</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(36,503)</w:t>
            </w:r>
          </w:p>
        </w:tc>
        <w:tc>
          <w:tcPr>
            <w:tcW w:w="0" w:type="dxa"/>
            <w:vAlign w:val="bottom"/>
          </w:tcPr>
          <w:p>
            <w:pPr>
              <w:spacing w:after="0"/>
              <w:rPr>
                <w:sz w:val="1"/>
                <w:szCs w:val="1"/>
                <w:color w:val="auto"/>
              </w:rPr>
            </w:pPr>
          </w:p>
        </w:tc>
      </w:tr>
      <w:tr>
        <w:trPr>
          <w:trHeight w:val="131"/>
        </w:trPr>
        <w:tc>
          <w:tcPr>
            <w:tcW w:w="52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49,750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44,000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(56,500)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Common Stock and shares withheld for taxes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(24,718)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(11,459)</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211,077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43,143</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combination</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(7,014)</w:t>
            </w:r>
          </w:p>
        </w:tc>
        <w:tc>
          <w:tcPr>
            <w:tcW w:w="0" w:type="dxa"/>
            <w:vAlign w:val="bottom"/>
          </w:tcPr>
          <w:p>
            <w:pPr>
              <w:spacing w:after="0"/>
              <w:rPr>
                <w:sz w:val="1"/>
                <w:szCs w:val="1"/>
                <w:color w:val="auto"/>
              </w:rPr>
            </w:pPr>
          </w:p>
        </w:tc>
      </w:tr>
      <w:tr>
        <w:trPr>
          <w:trHeight w:val="136"/>
        </w:trPr>
        <w:tc>
          <w:tcPr>
            <w:tcW w:w="52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w w:val="97"/>
              </w:rPr>
              <w:t>210,105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8,502</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235,613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42,517</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560,610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518,093</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3540" w:type="dxa"/>
            <w:vAlign w:val="bottom"/>
          </w:tcPr>
          <w:p>
            <w:pPr>
              <w:spacing w:after="0"/>
              <w:rPr>
                <w:sz w:val="12"/>
                <w:szCs w:val="12"/>
                <w:color w:val="auto"/>
              </w:rPr>
            </w:pPr>
          </w:p>
        </w:tc>
        <w:tc>
          <w:tcPr>
            <w:tcW w:w="7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796,223</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560,610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2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80" w:type="dxa"/>
            <w:vAlign w:val="bottom"/>
          </w:tcPr>
          <w:p>
            <w:pPr>
              <w:spacing w:after="0"/>
              <w:rPr>
                <w:sz w:val="13"/>
                <w:szCs w:val="13"/>
                <w:color w:val="auto"/>
              </w:rPr>
            </w:pPr>
          </w:p>
        </w:tc>
        <w:tc>
          <w:tcPr>
            <w:tcW w:w="46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18,454</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10,582</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w:t>
            </w:r>
          </w:p>
        </w:tc>
        <w:tc>
          <w:tcPr>
            <w:tcW w:w="3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744,696</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531,574</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540" w:type="dxa"/>
            <w:vAlign w:val="bottom"/>
          </w:tcPr>
          <w:p>
            <w:pPr>
              <w:spacing w:after="0"/>
              <w:rPr>
                <w:sz w:val="12"/>
                <w:szCs w:val="12"/>
                <w:color w:val="auto"/>
              </w:rPr>
            </w:pPr>
          </w:p>
        </w:tc>
        <w:tc>
          <w:tcPr>
            <w:tcW w:w="7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796,223</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560,610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540" w:type="dxa"/>
            <w:vAlign w:val="bottom"/>
            <w:vMerge w:val="restart"/>
          </w:tcPr>
          <w:p>
            <w:pPr>
              <w:jc w:val="right"/>
              <w:ind w:right="3000"/>
              <w:spacing w:after="0"/>
              <w:rPr>
                <w:sz w:val="20"/>
                <w:szCs w:val="20"/>
                <w:color w:val="auto"/>
              </w:rPr>
            </w:pPr>
            <w:r>
              <w:rPr>
                <w:rFonts w:ascii="Times New Roman" w:cs="Times New Roman" w:eastAsia="Times New Roman" w:hAnsi="Times New Roman"/>
                <w:sz w:val="12"/>
                <w:szCs w:val="12"/>
                <w:color w:val="auto"/>
              </w:rPr>
              <w:t>8</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Reportable Segments' Results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40"/>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139,933</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149,880</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582,870</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562,237</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128,825</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134,942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536,388</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507,371</w:t>
            </w:r>
          </w:p>
        </w:tc>
        <w:tc>
          <w:tcPr>
            <w:tcW w:w="0" w:type="dxa"/>
            <w:vAlign w:val="bottom"/>
          </w:tcPr>
          <w:p>
            <w:pPr>
              <w:spacing w:after="0"/>
              <w:rPr>
                <w:sz w:val="1"/>
                <w:szCs w:val="1"/>
                <w:color w:val="auto"/>
              </w:rPr>
            </w:pPr>
          </w:p>
        </w:tc>
      </w:tr>
      <w:tr>
        <w:trPr>
          <w:trHeight w:val="14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11,108</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14,938</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46,482</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54,866</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7.9 %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8.0 %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9.8 %</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9,563</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11,081</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41,036</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43,925</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6"/>
              </w:rPr>
              <w:t>14,570,549</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14,862,635</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59,054,039</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59,440,491</w:t>
            </w:r>
          </w:p>
        </w:tc>
        <w:tc>
          <w:tcPr>
            <w:tcW w:w="0" w:type="dxa"/>
            <w:vAlign w:val="bottom"/>
          </w:tcPr>
          <w:p>
            <w:pPr>
              <w:spacing w:after="0"/>
              <w:rPr>
                <w:sz w:val="1"/>
                <w:szCs w:val="1"/>
                <w:color w:val="auto"/>
              </w:rPr>
            </w:pPr>
          </w:p>
        </w:tc>
      </w:tr>
      <w:tr>
        <w:trPr>
          <w:trHeight w:val="149"/>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94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173,732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160,492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696,203</w:t>
            </w:r>
          </w:p>
        </w:tc>
        <w:tc>
          <w:tcPr>
            <w:tcW w:w="80" w:type="dxa"/>
            <w:vAlign w:val="bottom"/>
          </w:tcPr>
          <w:p>
            <w:pPr>
              <w:spacing w:after="0"/>
              <w:rPr>
                <w:sz w:val="12"/>
                <w:szCs w:val="12"/>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636,576</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21,221</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2,802</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40,726</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18,890</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22,966</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3,883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43,261</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18,682</w:t>
            </w:r>
          </w:p>
        </w:tc>
        <w:tc>
          <w:tcPr>
            <w:tcW w:w="0" w:type="dxa"/>
            <w:vAlign w:val="bottom"/>
          </w:tcPr>
          <w:p>
            <w:pPr>
              <w:spacing w:after="0"/>
              <w:rPr>
                <w:sz w:val="1"/>
                <w:szCs w:val="1"/>
                <w:color w:val="auto"/>
              </w:rPr>
            </w:pPr>
          </w:p>
        </w:tc>
      </w:tr>
      <w:tr>
        <w:trPr>
          <w:trHeight w:val="14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(1,745)</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(1,081)</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(2,535)</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208</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1.1 %</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1,197</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303</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2,221</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744</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215,587</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217,299</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851,948</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814,964</w:t>
            </w:r>
          </w:p>
        </w:tc>
        <w:tc>
          <w:tcPr>
            <w:tcW w:w="0" w:type="dxa"/>
            <w:vAlign w:val="bottom"/>
          </w:tcPr>
          <w:p>
            <w:pPr>
              <w:spacing w:after="0"/>
              <w:rPr>
                <w:sz w:val="1"/>
                <w:szCs w:val="1"/>
                <w:color w:val="auto"/>
              </w:rPr>
            </w:pPr>
          </w:p>
        </w:tc>
      </w:tr>
      <w:tr>
        <w:trPr>
          <w:trHeight w:val="149"/>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94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1,087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933</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Revenue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38,125</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24,873</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132,016</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82,514</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expenses</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14,242</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13,440</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58,052</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51,577</w:t>
            </w:r>
          </w:p>
        </w:tc>
        <w:tc>
          <w:tcPr>
            <w:tcW w:w="0" w:type="dxa"/>
            <w:vAlign w:val="bottom"/>
          </w:tcPr>
          <w:p>
            <w:pPr>
              <w:spacing w:after="0"/>
              <w:rPr>
                <w:sz w:val="1"/>
                <w:szCs w:val="1"/>
                <w:color w:val="auto"/>
              </w:rPr>
            </w:pPr>
          </w:p>
        </w:tc>
      </w:tr>
      <w:tr>
        <w:trPr>
          <w:trHeight w:val="14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23,883</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11,433</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73,964</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30,937</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Operating margin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62.6 %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46.0 %</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56.0 %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37.5 %</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4,196</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6,293</w:t>
            </w:r>
          </w:p>
        </w:tc>
        <w:tc>
          <w:tcPr>
            <w:tcW w:w="10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23,753</w:t>
            </w:r>
          </w:p>
        </w:tc>
        <w:tc>
          <w:tcPr>
            <w:tcW w:w="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24,892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Key indicators:</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billed clients</w:t>
            </w:r>
          </w:p>
        </w:tc>
        <w:tc>
          <w:tcPr>
            <w:tcW w:w="9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650,280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424,601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556,526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379,725</w:t>
            </w:r>
          </w:p>
        </w:tc>
        <w:tc>
          <w:tcPr>
            <w:tcW w:w="0" w:type="dxa"/>
            <w:vAlign w:val="bottom"/>
          </w:tcPr>
          <w:p>
            <w:pPr>
              <w:spacing w:after="0"/>
              <w:rPr>
                <w:sz w:val="1"/>
                <w:szCs w:val="1"/>
                <w:color w:val="auto"/>
              </w:rPr>
            </w:pPr>
          </w:p>
        </w:tc>
      </w:tr>
      <w:tr>
        <w:trPr>
          <w:trHeight w:val="155"/>
        </w:trPr>
        <w:tc>
          <w:tcPr>
            <w:tcW w:w="4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Average monthly new enrollments</w:t>
            </w:r>
          </w:p>
        </w:tc>
        <w:tc>
          <w:tcPr>
            <w:tcW w:w="9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48,643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38,614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51,059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32,013</w:t>
            </w:r>
          </w:p>
        </w:tc>
        <w:tc>
          <w:tcPr>
            <w:tcW w:w="0" w:type="dxa"/>
            <w:vAlign w:val="bottom"/>
          </w:tcPr>
          <w:p>
            <w:pPr>
              <w:spacing w:after="0"/>
              <w:rPr>
                <w:sz w:val="1"/>
                <w:szCs w:val="1"/>
                <w:color w:val="auto"/>
              </w:rPr>
            </w:pPr>
          </w:p>
        </w:tc>
      </w:tr>
      <w:tr>
        <w:trPr>
          <w:trHeight w:val="322"/>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of reportable segments</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33,246</w:t>
            </w:r>
          </w:p>
        </w:tc>
        <w:tc>
          <w:tcPr>
            <w:tcW w:w="80" w:type="dxa"/>
            <w:vAlign w:val="bottom"/>
          </w:tcPr>
          <w:p>
            <w:pPr>
              <w:spacing w:after="0"/>
              <w:rPr>
                <w:sz w:val="24"/>
                <w:szCs w:val="24"/>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25,290</w:t>
            </w:r>
          </w:p>
        </w:tc>
        <w:tc>
          <w:tcPr>
            <w:tcW w:w="10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117,911</w:t>
            </w:r>
          </w:p>
        </w:tc>
        <w:tc>
          <w:tcPr>
            <w:tcW w:w="80" w:type="dxa"/>
            <w:vAlign w:val="bottom"/>
          </w:tcPr>
          <w:p>
            <w:pPr>
              <w:spacing w:after="0"/>
              <w:rPr>
                <w:sz w:val="24"/>
                <w:szCs w:val="24"/>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86,011</w:t>
            </w:r>
          </w:p>
        </w:tc>
        <w:tc>
          <w:tcPr>
            <w:tcW w:w="0" w:type="dxa"/>
            <w:vAlign w:val="bottom"/>
          </w:tcPr>
          <w:p>
            <w:pPr>
              <w:spacing w:after="0"/>
              <w:rPr>
                <w:sz w:val="1"/>
                <w:szCs w:val="1"/>
                <w:color w:val="auto"/>
              </w:rPr>
            </w:pPr>
          </w:p>
        </w:tc>
      </w:tr>
      <w:tr>
        <w:trPr>
          <w:trHeight w:val="155"/>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Corporate expense</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(11,209)</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(7,091)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(36,387)</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(29,846)</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operating income</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22,037</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18,199</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81,524</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56,165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Corporate depreciation and amortization</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740" w:type="dxa"/>
            <w:vAlign w:val="bottom"/>
            <w:vMerge w:val="continue"/>
          </w:tcPr>
          <w:p>
            <w:pPr>
              <w:spacing w:after="0"/>
              <w:rPr>
                <w:sz w:val="11"/>
                <w:szCs w:val="11"/>
                <w:color w:val="auto"/>
              </w:rPr>
            </w:pPr>
          </w:p>
        </w:tc>
        <w:tc>
          <w:tcPr>
            <w:tcW w:w="940" w:type="dxa"/>
            <w:vAlign w:val="bottom"/>
          </w:tcPr>
          <w:p>
            <w:pPr>
              <w:jc w:val="right"/>
              <w:ind w:right="80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136</w:t>
            </w:r>
          </w:p>
        </w:tc>
        <w:tc>
          <w:tcPr>
            <w:tcW w:w="80" w:type="dxa"/>
            <w:vAlign w:val="bottom"/>
          </w:tcPr>
          <w:p>
            <w:pPr>
              <w:spacing w:after="0"/>
              <w:rPr>
                <w:sz w:val="11"/>
                <w:szCs w:val="11"/>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1"/>
                <w:szCs w:val="11"/>
                <w:color w:val="auto"/>
              </w:rPr>
            </w:pPr>
          </w:p>
        </w:tc>
        <w:tc>
          <w:tcPr>
            <w:tcW w:w="360" w:type="dxa"/>
            <w:vAlign w:val="bottom"/>
          </w:tcPr>
          <w:p>
            <w:pPr>
              <w:jc w:val="right"/>
              <w:ind w:right="220"/>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1,385</w:t>
            </w:r>
          </w:p>
        </w:tc>
        <w:tc>
          <w:tcPr>
            <w:tcW w:w="80" w:type="dxa"/>
            <w:vAlign w:val="bottom"/>
          </w:tcPr>
          <w:p>
            <w:pPr>
              <w:spacing w:after="0"/>
              <w:rPr>
                <w:sz w:val="11"/>
                <w:szCs w:val="11"/>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80"/>
              <w:spacing w:after="0" w:line="131" w:lineRule="exact"/>
              <w:rPr>
                <w:sz w:val="20"/>
                <w:szCs w:val="20"/>
                <w:color w:val="auto"/>
              </w:rPr>
            </w:pPr>
            <w:r>
              <w:rPr>
                <w:rFonts w:ascii="Times New Roman" w:cs="Times New Roman" w:eastAsia="Times New Roman" w:hAnsi="Times New Roman"/>
                <w:sz w:val="12"/>
                <w:szCs w:val="12"/>
                <w:color w:val="auto"/>
              </w:rPr>
              <w:t>1,120</w:t>
            </w:r>
          </w:p>
        </w:tc>
        <w:tc>
          <w:tcPr>
            <w:tcW w:w="0" w:type="dxa"/>
            <w:vAlign w:val="bottom"/>
          </w:tcPr>
          <w:p>
            <w:pPr>
              <w:spacing w:after="0"/>
              <w:rPr>
                <w:sz w:val="1"/>
                <w:szCs w:val="1"/>
                <w:color w:val="auto"/>
              </w:rPr>
            </w:pPr>
          </w:p>
        </w:tc>
      </w:tr>
      <w:tr>
        <w:trPr>
          <w:trHeight w:val="880"/>
        </w:trPr>
        <w:tc>
          <w:tcPr>
            <w:tcW w:w="4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6"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2024-03-12T06:43:06Z</dcterms:created>
  <dcterms:modified xsi:type="dcterms:W3CDTF">2024-03-12T06:43:06Z</dcterms:modified>
</cp:coreProperties>
</file>