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5,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Dismissal of Previous Independent Registered Public Accounting Firm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5, 2020, the Audit Committee of the Board of Directors (the “Committee”) of Priority Technology Holdings, Inc. (the “Company”) dismissed RSM US LLP (“RSM”) as the Company’s independent registered public accounting firm effective as of that date.</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RSM’s audit reports on the Company’s consolidated financial statements for the years ended December 31, 2019 and December 31, 2018 did not contain any adverse opinion or disclaimer of opinion and were not qualified or modified as to uncertainty, audit scope, or accounting principles, except as follows:</w:t>
      </w:r>
    </w:p>
    <w:p>
      <w:pPr>
        <w:spacing w:after="0" w:line="124" w:lineRule="exact"/>
        <w:rPr>
          <w:sz w:val="20"/>
          <w:szCs w:val="20"/>
          <w:color w:val="auto"/>
        </w:rPr>
      </w:pPr>
    </w:p>
    <w:p>
      <w:pPr>
        <w:ind w:left="660" w:right="40"/>
        <w:spacing w:after="0" w:line="296" w:lineRule="auto"/>
        <w:rPr>
          <w:sz w:val="20"/>
          <w:szCs w:val="20"/>
          <w:color w:val="auto"/>
        </w:rPr>
      </w:pPr>
      <w:r>
        <w:rPr>
          <w:rFonts w:ascii="Arial" w:cs="Arial" w:eastAsia="Arial" w:hAnsi="Arial"/>
          <w:sz w:val="16"/>
          <w:szCs w:val="16"/>
          <w:color w:val="auto"/>
        </w:rPr>
        <w:t xml:space="preserve">RSM’s report on the consolidated financial statements of the Company as of and for the years ended December 31, 2019 and December 31, 2018 contained: i) a separate paragraph stating that "As discussed in Note 2 to the financial statements, the financial statements as of December 31, 2018 and for the years ended December 31, 2018 and 2017 have been restated to correct a misstatement" and ii) a separate paragraph stating that “As discussed in Note 1 to the financial statements, the Company changed its method of accounting for revenue from contracts with customers for all periods presented due to the adoption of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years ended December 31, 2019 and December 31, 2018, and the subsequent interim period from January 1, 2020 through June 5, 2020, there were (i) no disagreements within the meaning of Item 304(a)(1)(iv) of Regulation S-K between the Company and RSM on any matter of accounting principles or practices, financial statement disclosure, or auditing scope or procedure, which disagreements, if not resolved to RSM’s satisfaction, would have caused RSM to make reference to the subject matter of the disagreements in connection with its reports on the Company’s consolidated financial statements for such years, and (ii) no “reportable events” within the meaning of Item 304(a)(1)(v) of Regulation S-K.</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provided RSM with a copy of the disclosures contained herein and has requested that RSM furnish the Company with a letter addressed to the Securities and Exchange Commission stating whether it agrees with the statements made herein and, if not, stating the respects in which it does not agree. A copy of RSM’s letter, dated June 9, 2020, is filed as Exhibit 16.1 herewith.</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(b) Appointment of New Independent Registered Public Accounting Firm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5, 2020, the Committee approved, effective immediately, the engagement of Ernst &amp; Young LLP (“EY”) as the Company’s independent registered public accounting firm for the Company’s year ending December 31, 2020.</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years ended December 31, 2019 and December 31, 2018 and for the interim period January 1, 2020 through June 5, 2020, neither the Company nor anyone acting on behalf of the Company has consulted with EY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EY concluded was an important factor considered by the Company in reaching a decision as to any accounting, auditing, or financial reporting issue, (ii) any matter that was subject of a disagreement within the meaning of Item 304(a)(1)(iv) of Regulation S-K, or (iii) any “reportable event” within the meaning of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b w:val="1"/>
                <w:bCs w:val="1"/>
                <w:color w:val="auto"/>
                <w:w w:val="91"/>
              </w:rPr>
              <w:t>Exhibit Number</w:t>
            </w:r>
          </w:p>
        </w:tc>
        <w:tc>
          <w:tcPr>
            <w:tcW w:w="7080" w:type="dxa"/>
            <w:vAlign w:val="bottom"/>
            <w:gridSpan w:val="3"/>
          </w:tcPr>
          <w:p>
            <w:pPr>
              <w:ind w:left="1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507"/>
        </w:trPr>
        <w:tc>
          <w:tcPr>
            <w:tcW w:w="124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16.1</w:t>
              </w:r>
            </w:hyperlink>
          </w:p>
        </w:tc>
        <w:tc>
          <w:tcPr>
            <w:tcW w:w="7080" w:type="dxa"/>
            <w:vAlign w:val="bottom"/>
            <w:gridSpan w:val="3"/>
          </w:tcPr>
          <w:p>
            <w:pPr>
              <w:ind w:left="12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Letter from RSM US LLP, dated June 9, 2020</w:t>
              </w:r>
            </w:hyperlink>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7080" w:type="dxa"/>
            <w:vAlign w:val="bottom"/>
            <w:gridSpan w:val="3"/>
          </w:tcPr>
          <w:p>
            <w:pPr>
              <w:ind w:left="126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9, 2020</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By: /s/ Bradley J. Miller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Bradley J. Miller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General Counsel and Chief Risk Officer</w:t>
      </w:r>
    </w:p>
    <w:p>
      <w:pPr>
        <w:sectPr>
          <w:pgSz w:w="11900" w:h="16838" w:orient="portrait"/>
          <w:cols w:equalWidth="0" w:num="1">
            <w:col w:w="11240"/>
          </w:cols>
          <w:pgMar w:left="320" w:top="553" w:right="339" w:bottom="1440" w:gutter="0" w:footer="0" w:header="0"/>
        </w:sectPr>
      </w:pPr>
    </w:p>
    <w:bookmarkStart w:id="3" w:name="page4"/>
    <w:bookmarkEnd w:id="3"/>
    <w:p>
      <w:pPr>
        <w:ind w:left="7780"/>
        <w:spacing w:after="0"/>
        <w:rPr>
          <w:sz w:val="20"/>
          <w:szCs w:val="20"/>
          <w:color w:val="auto"/>
        </w:rPr>
      </w:pPr>
      <w:r>
        <w:rPr>
          <w:rFonts w:ascii="Arial" w:cs="Arial" w:eastAsia="Arial" w:hAnsi="Arial"/>
          <w:sz w:val="22"/>
          <w:szCs w:val="22"/>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June 9,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read Priority Technology Holdings, Inc.’s statements included under Item 4.01(a) of its Form 8-K filed on June 9, 2020 and we agree with such statements concerning our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2020-06-10T05:06:52Z</dcterms:created>
  <dcterms:modified xsi:type="dcterms:W3CDTF">2020-06-10T05:06:52Z</dcterms:modified>
</cp:coreProperties>
</file>