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546100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10-Q</w:t>
      </w:r>
    </w:p>
    <w:p>
      <w:pPr>
        <w:spacing w:after="0" w:line="162" w:lineRule="exact"/>
        <w:rPr>
          <w:sz w:val="24"/>
          <w:szCs w:val="24"/>
          <w:color w:val="auto"/>
        </w:rPr>
      </w:pPr>
    </w:p>
    <w:p>
      <w:pPr>
        <w:jc w:val="center"/>
        <w:ind w:left="4480" w:right="2840" w:hanging="1650"/>
        <w:spacing w:after="0" w:line="320" w:lineRule="auto"/>
        <w:tabs>
          <w:tab w:leader="none" w:pos="297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 For the quarterly period ended September 30, 2026</w:t>
      </w:r>
    </w:p>
    <w:p>
      <w:pPr>
        <w:jc w:val="center"/>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46" w:lineRule="exact"/>
        <w:rPr>
          <w:sz w:val="24"/>
          <w:szCs w:val="24"/>
          <w:color w:val="auto"/>
        </w:rPr>
      </w:pPr>
    </w:p>
    <w:p>
      <w:pPr>
        <w:ind w:left="2960" w:hanging="128"/>
        <w:spacing w:after="0"/>
        <w:tabs>
          <w:tab w:leader="none" w:pos="296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36" w:lineRule="exact"/>
        <w:rPr>
          <w:sz w:val="24"/>
          <w:szCs w:val="24"/>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11"/>
          <w:szCs w:val="11"/>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2760980</wp:posOffset>
            </wp:positionH>
            <wp:positionV relativeFrom="paragraph">
              <wp:posOffset>116205</wp:posOffset>
            </wp:positionV>
            <wp:extent cx="1645920"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628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tbl>
      <w:tblPr>
        <w:tblLayout w:type="fixed"/>
        <w:tblInd w:w="10" w:type="dxa"/>
        <w:tblCellMar>
          <w:top w:w="0" w:type="dxa"/>
          <w:left w:w="0" w:type="dxa"/>
          <w:bottom w:w="0" w:type="dxa"/>
          <w:right w:w="0" w:type="dxa"/>
        </w:tblCellMar>
      </w:tblPr>
      <w:tr>
        <w:trPr>
          <w:trHeight w:val="148"/>
        </w:trPr>
        <w:tc>
          <w:tcPr>
            <w:tcW w:w="4060" w:type="dxa"/>
            <w:vAlign w:val="bottom"/>
          </w:tcPr>
          <w:p>
            <w:pPr>
              <w:spacing w:after="0"/>
              <w:rPr>
                <w:sz w:val="12"/>
                <w:szCs w:val="12"/>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Priority Technology Holdings, Inc.</w:t>
            </w:r>
          </w:p>
        </w:tc>
        <w:tc>
          <w:tcPr>
            <w:tcW w:w="3720" w:type="dxa"/>
            <w:vAlign w:val="bottom"/>
          </w:tcPr>
          <w:p>
            <w:pPr>
              <w:spacing w:after="0"/>
              <w:rPr>
                <w:sz w:val="12"/>
                <w:szCs w:val="12"/>
                <w:color w:val="auto"/>
              </w:rPr>
            </w:pPr>
          </w:p>
        </w:tc>
      </w:tr>
      <w:tr>
        <w:trPr>
          <w:trHeight w:val="155"/>
        </w:trPr>
        <w:tc>
          <w:tcPr>
            <w:tcW w:w="4060" w:type="dxa"/>
            <w:vAlign w:val="bottom"/>
          </w:tcPr>
          <w:p>
            <w:pPr>
              <w:spacing w:after="0"/>
              <w:rPr>
                <w:sz w:val="13"/>
                <w:szCs w:val="13"/>
                <w:color w:val="auto"/>
              </w:rPr>
            </w:pPr>
          </w:p>
        </w:tc>
        <w:tc>
          <w:tcPr>
            <w:tcW w:w="3540" w:type="dxa"/>
            <w:vAlign w:val="bottom"/>
            <w:gridSpan w:val="3"/>
          </w:tcPr>
          <w:p>
            <w:pPr>
              <w:jc w:val="center"/>
              <w:ind w:right="3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720" w:type="dxa"/>
            <w:vAlign w:val="bottom"/>
          </w:tcPr>
          <w:p>
            <w:pPr>
              <w:spacing w:after="0"/>
              <w:rPr>
                <w:sz w:val="13"/>
                <w:szCs w:val="13"/>
                <w:color w:val="auto"/>
              </w:rPr>
            </w:pPr>
          </w:p>
        </w:tc>
      </w:tr>
      <w:tr>
        <w:trPr>
          <w:trHeight w:val="171"/>
        </w:trPr>
        <w:tc>
          <w:tcPr>
            <w:tcW w:w="4060" w:type="dxa"/>
            <w:vAlign w:val="bottom"/>
            <w:tcBorders>
              <w:bottom w:val="single" w:sz="8" w:color="auto"/>
            </w:tcBorders>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jc w:val="right"/>
              <w:ind w:right="2023"/>
              <w:spacing w:after="0"/>
              <w:rPr>
                <w:sz w:val="20"/>
                <w:szCs w:val="20"/>
                <w:color w:val="auto"/>
              </w:rPr>
            </w:pPr>
            <w:r>
              <w:rPr>
                <w:rFonts w:ascii="Times New Roman" w:cs="Times New Roman" w:eastAsia="Times New Roman" w:hAnsi="Times New Roman"/>
                <w:sz w:val="12"/>
                <w:szCs w:val="12"/>
                <w:b w:val="1"/>
                <w:bCs w:val="1"/>
                <w:color w:val="auto"/>
              </w:rPr>
              <w:t>47-4257046</w:t>
            </w:r>
          </w:p>
        </w:tc>
      </w:tr>
      <w:tr>
        <w:trPr>
          <w:trHeight w:val="97"/>
        </w:trPr>
        <w:tc>
          <w:tcPr>
            <w:tcW w:w="4060" w:type="dxa"/>
            <w:vAlign w:val="bottom"/>
          </w:tcPr>
          <w:p>
            <w:pPr>
              <w:jc w:val="center"/>
              <w:ind w:left="2482"/>
              <w:spacing w:after="0" w:line="97" w:lineRule="exact"/>
              <w:rPr>
                <w:sz w:val="20"/>
                <w:szCs w:val="20"/>
                <w:color w:val="auto"/>
              </w:rPr>
            </w:pPr>
            <w:r>
              <w:rPr>
                <w:rFonts w:ascii="Times New Roman" w:cs="Times New Roman" w:eastAsia="Times New Roman" w:hAnsi="Times New Roman"/>
                <w:sz w:val="11"/>
                <w:szCs w:val="11"/>
                <w:color w:val="auto"/>
                <w:w w:val="97"/>
              </w:rPr>
              <w:t>(State or other jurisdiction of</w:t>
            </w:r>
          </w:p>
        </w:tc>
        <w:tc>
          <w:tcPr>
            <w:tcW w:w="7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720" w:type="dxa"/>
            <w:vAlign w:val="bottom"/>
          </w:tcPr>
          <w:p>
            <w:pPr>
              <w:jc w:val="center"/>
              <w:ind w:right="963"/>
              <w:spacing w:after="0" w:line="97"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4060" w:type="dxa"/>
            <w:vAlign w:val="bottom"/>
          </w:tcPr>
          <w:p>
            <w:pPr>
              <w:jc w:val="center"/>
              <w:ind w:left="2462"/>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720" w:type="dxa"/>
            <w:vAlign w:val="bottom"/>
          </w:tcPr>
          <w:p>
            <w:pPr>
              <w:jc w:val="center"/>
              <w:ind w:right="963"/>
              <w:spacing w:after="0"/>
              <w:rPr>
                <w:sz w:val="20"/>
                <w:szCs w:val="20"/>
                <w:color w:val="auto"/>
              </w:rPr>
            </w:pPr>
            <w:r>
              <w:rPr>
                <w:rFonts w:ascii="Times New Roman" w:cs="Times New Roman" w:eastAsia="Times New Roman" w:hAnsi="Times New Roman"/>
                <w:sz w:val="11"/>
                <w:szCs w:val="11"/>
                <w:color w:val="auto"/>
              </w:rPr>
              <w:t>Identification No.)</w:t>
            </w:r>
          </w:p>
        </w:tc>
      </w:tr>
      <w:tr>
        <w:trPr>
          <w:trHeight w:val="286"/>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w w:val="98"/>
              </w:rPr>
              <w:t>2001 Westside Parkway</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53"/>
        </w:trPr>
        <w:tc>
          <w:tcPr>
            <w:tcW w:w="4060" w:type="dxa"/>
            <w:vAlign w:val="bottom"/>
          </w:tcPr>
          <w:p>
            <w:pPr>
              <w:jc w:val="center"/>
              <w:ind w:left="2482"/>
              <w:spacing w:after="0"/>
              <w:rPr>
                <w:sz w:val="20"/>
                <w:szCs w:val="20"/>
                <w:color w:val="auto"/>
              </w:rPr>
            </w:pPr>
            <w:r>
              <w:rPr>
                <w:rFonts w:ascii="Times New Roman" w:cs="Times New Roman" w:eastAsia="Times New Roman" w:hAnsi="Times New Roman"/>
                <w:sz w:val="12"/>
                <w:szCs w:val="12"/>
                <w:b w:val="1"/>
                <w:bCs w:val="1"/>
                <w:color w:val="auto"/>
              </w:rPr>
              <w:t>Suite 155</w:t>
            </w:r>
          </w:p>
        </w:tc>
        <w:tc>
          <w:tcPr>
            <w:tcW w:w="7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159"/>
        </w:trPr>
        <w:tc>
          <w:tcPr>
            <w:tcW w:w="4060" w:type="dxa"/>
            <w:vAlign w:val="bottom"/>
            <w:tcBorders>
              <w:bottom w:val="single" w:sz="8" w:color="auto"/>
            </w:tcBorders>
          </w:tcPr>
          <w:p>
            <w:pPr>
              <w:jc w:val="center"/>
              <w:ind w:left="542"/>
              <w:spacing w:after="0"/>
              <w:rPr>
                <w:sz w:val="20"/>
                <w:szCs w:val="20"/>
                <w:color w:val="auto"/>
              </w:rPr>
            </w:pPr>
            <w:r>
              <w:rPr>
                <w:rFonts w:ascii="Times New Roman" w:cs="Times New Roman" w:eastAsia="Times New Roman" w:hAnsi="Times New Roman"/>
                <w:sz w:val="12"/>
                <w:szCs w:val="12"/>
                <w:b w:val="1"/>
                <w:bCs w:val="1"/>
                <w:color w:val="auto"/>
                <w:w w:val="98"/>
              </w:rPr>
              <w:t>Alpharetta,</w:t>
            </w:r>
          </w:p>
        </w:tc>
        <w:tc>
          <w:tcPr>
            <w:tcW w:w="7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Georgia</w:t>
            </w:r>
          </w:p>
        </w:tc>
        <w:tc>
          <w:tcPr>
            <w:tcW w:w="3720" w:type="dxa"/>
            <w:vAlign w:val="bottom"/>
            <w:tcBorders>
              <w:bottom w:val="single" w:sz="8" w:color="auto"/>
            </w:tcBorders>
          </w:tcPr>
          <w:p>
            <w:pPr>
              <w:jc w:val="right"/>
              <w:ind w:right="2163"/>
              <w:spacing w:after="0"/>
              <w:rPr>
                <w:sz w:val="20"/>
                <w:szCs w:val="20"/>
                <w:color w:val="auto"/>
              </w:rPr>
            </w:pPr>
            <w:r>
              <w:rPr>
                <w:rFonts w:ascii="Times New Roman" w:cs="Times New Roman" w:eastAsia="Times New Roman" w:hAnsi="Times New Roman"/>
                <w:sz w:val="12"/>
                <w:szCs w:val="12"/>
                <w:b w:val="1"/>
                <w:bCs w:val="1"/>
                <w:color w:val="auto"/>
              </w:rPr>
              <w:t>30004</w:t>
            </w:r>
          </w:p>
        </w:tc>
      </w:tr>
      <w:tr>
        <w:trPr>
          <w:trHeight w:val="129"/>
        </w:trPr>
        <w:tc>
          <w:tcPr>
            <w:tcW w:w="4060" w:type="dxa"/>
            <w:vAlign w:val="bottom"/>
          </w:tcPr>
          <w:p>
            <w:pPr>
              <w:jc w:val="center"/>
              <w:ind w:left="542"/>
              <w:spacing w:after="0"/>
              <w:rPr>
                <w:sz w:val="20"/>
                <w:szCs w:val="20"/>
                <w:color w:val="auto"/>
              </w:rPr>
            </w:pPr>
            <w:r>
              <w:rPr>
                <w:rFonts w:ascii="Times New Roman" w:cs="Times New Roman" w:eastAsia="Times New Roman" w:hAnsi="Times New Roman"/>
                <w:sz w:val="11"/>
                <w:szCs w:val="11"/>
                <w:color w:val="auto"/>
                <w:w w:val="97"/>
              </w:rPr>
              <w:t>(Address of principal executive offices)</w:t>
            </w: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720" w:type="dxa"/>
            <w:vAlign w:val="bottom"/>
          </w:tcPr>
          <w:p>
            <w:pPr>
              <w:jc w:val="center"/>
              <w:ind w:right="943"/>
              <w:spacing w:after="0"/>
              <w:rPr>
                <w:sz w:val="20"/>
                <w:szCs w:val="20"/>
                <w:color w:val="auto"/>
              </w:rPr>
            </w:pPr>
            <w:r>
              <w:rPr>
                <w:rFonts w:ascii="Times New Roman" w:cs="Times New Roman" w:eastAsia="Times New Roman" w:hAnsi="Times New Roman"/>
                <w:sz w:val="11"/>
                <w:szCs w:val="11"/>
                <w:color w:val="auto"/>
                <w:w w:val="98"/>
              </w:rPr>
              <w:t>(Zip Code)</w:t>
            </w:r>
          </w:p>
        </w:tc>
      </w:tr>
      <w:tr>
        <w:trPr>
          <w:trHeight w:val="326"/>
        </w:trPr>
        <w:tc>
          <w:tcPr>
            <w:tcW w:w="4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 (404) 952-2107</w:t>
            </w:r>
          </w:p>
        </w:tc>
        <w:tc>
          <w:tcPr>
            <w:tcW w:w="3720" w:type="dxa"/>
            <w:vAlign w:val="bottom"/>
            <w:tcBorders>
              <w:bottom w:val="single" w:sz="8" w:color="auto"/>
            </w:tcBorders>
          </w:tcPr>
          <w:p>
            <w:pPr>
              <w:spacing w:after="0"/>
              <w:rPr>
                <w:sz w:val="24"/>
                <w:szCs w:val="24"/>
                <w:color w:val="auto"/>
              </w:rPr>
            </w:pPr>
          </w:p>
        </w:tc>
      </w:tr>
      <w:tr>
        <w:trPr>
          <w:trHeight w:val="268"/>
        </w:trPr>
        <w:tc>
          <w:tcPr>
            <w:tcW w:w="40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2"/>
          </w:tcPr>
          <w:p>
            <w:pPr>
              <w:jc w:val="center"/>
              <w:ind w:right="1140"/>
              <w:spacing w:after="0"/>
              <w:rPr>
                <w:sz w:val="20"/>
                <w:szCs w:val="20"/>
                <w:color w:val="auto"/>
              </w:rPr>
            </w:pPr>
            <w:r>
              <w:rPr>
                <w:rFonts w:ascii="Times New Roman" w:cs="Times New Roman" w:eastAsia="Times New Roman" w:hAnsi="Times New Roman"/>
                <w:sz w:val="11"/>
                <w:szCs w:val="11"/>
                <w:color w:val="auto"/>
                <w:w w:val="99"/>
              </w:rPr>
              <w:t>Not applicable</w:t>
            </w:r>
          </w:p>
        </w:tc>
        <w:tc>
          <w:tcPr>
            <w:tcW w:w="3720" w:type="dxa"/>
            <w:vAlign w:val="bottom"/>
            <w:tcBorders>
              <w:bottom w:val="single" w:sz="8" w:color="auto"/>
            </w:tcBorders>
          </w:tcPr>
          <w:p>
            <w:pPr>
              <w:spacing w:after="0"/>
              <w:rPr>
                <w:sz w:val="23"/>
                <w:szCs w:val="23"/>
                <w:color w:val="auto"/>
              </w:rPr>
            </w:pPr>
          </w:p>
        </w:tc>
      </w:tr>
      <w:tr>
        <w:trPr>
          <w:trHeight w:val="131"/>
        </w:trPr>
        <w:tc>
          <w:tcPr>
            <w:tcW w:w="7600" w:type="dxa"/>
            <w:vAlign w:val="bottom"/>
            <w:gridSpan w:val="4"/>
          </w:tcPr>
          <w:p>
            <w:pPr>
              <w:jc w:val="center"/>
              <w:ind w:left="3642"/>
              <w:spacing w:after="0"/>
              <w:rPr>
                <w:sz w:val="20"/>
                <w:szCs w:val="20"/>
                <w:color w:val="auto"/>
              </w:rPr>
            </w:pPr>
            <w:r>
              <w:rPr>
                <w:rFonts w:ascii="Times New Roman" w:cs="Times New Roman" w:eastAsia="Times New Roman" w:hAnsi="Times New Roman"/>
                <w:sz w:val="11"/>
                <w:szCs w:val="11"/>
                <w:color w:val="auto"/>
                <w:w w:val="98"/>
              </w:rPr>
              <w:t>(Former name, former address and former fiscal year, if changed since last report)</w:t>
            </w:r>
          </w:p>
        </w:tc>
        <w:tc>
          <w:tcPr>
            <w:tcW w:w="3720" w:type="dxa"/>
            <w:vAlign w:val="bottom"/>
          </w:tcPr>
          <w:p>
            <w:pPr>
              <w:spacing w:after="0"/>
              <w:rPr>
                <w:sz w:val="11"/>
                <w:szCs w:val="11"/>
                <w:color w:val="auto"/>
              </w:rPr>
            </w:pPr>
          </w:p>
        </w:tc>
      </w:tr>
      <w:tr>
        <w:trPr>
          <w:trHeight w:val="355"/>
        </w:trPr>
        <w:tc>
          <w:tcPr>
            <w:tcW w:w="406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162"/>
        </w:trPr>
        <w:tc>
          <w:tcPr>
            <w:tcW w:w="40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r>
      <w:tr>
        <w:trPr>
          <w:trHeight w:val="142"/>
        </w:trPr>
        <w:tc>
          <w:tcPr>
            <w:tcW w:w="4060" w:type="dxa"/>
            <w:vAlign w:val="bottom"/>
            <w:tcBorders>
              <w:left w:val="single" w:sz="8" w:color="auto"/>
              <w:bottom w:val="single" w:sz="8" w:color="auto"/>
            </w:tcBorders>
          </w:tcPr>
          <w:p>
            <w:pPr>
              <w:jc w:val="center"/>
              <w:ind w:left="662"/>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2"/>
        </w:trPr>
        <w:tc>
          <w:tcPr>
            <w:tcW w:w="4060" w:type="dxa"/>
            <w:vAlign w:val="bottom"/>
            <w:tcBorders>
              <w:left w:val="single" w:sz="8" w:color="auto"/>
              <w:bottom w:val="single" w:sz="8" w:color="auto"/>
            </w:tcBorders>
          </w:tcPr>
          <w:p>
            <w:pPr>
              <w:jc w:val="center"/>
              <w:ind w:left="682"/>
              <w:spacing w:after="0"/>
              <w:rPr>
                <w:sz w:val="20"/>
                <w:szCs w:val="20"/>
                <w:color w:val="auto"/>
              </w:rPr>
            </w:pPr>
            <w:r>
              <w:rPr>
                <w:rFonts w:ascii="Times New Roman" w:cs="Times New Roman" w:eastAsia="Times New Roman" w:hAnsi="Times New Roman"/>
                <w:sz w:val="12"/>
                <w:szCs w:val="12"/>
                <w:color w:val="auto"/>
                <w:w w:val="99"/>
              </w:rPr>
              <w:t>Common Stock, par value $0.001</w:t>
            </w:r>
          </w:p>
        </w:tc>
        <w:tc>
          <w:tcPr>
            <w:tcW w:w="76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PRTH</w:t>
            </w:r>
          </w:p>
        </w:tc>
        <w:tc>
          <w:tcPr>
            <w:tcW w:w="1100" w:type="dxa"/>
            <w:vAlign w:val="bottom"/>
            <w:tcBorders>
              <w:bottom w:val="single" w:sz="8" w:color="auto"/>
            </w:tcBorders>
          </w:tcPr>
          <w:p>
            <w:pPr>
              <w:spacing w:after="0"/>
              <w:rPr>
                <w:sz w:val="12"/>
                <w:szCs w:val="12"/>
                <w:color w:val="auto"/>
              </w:rPr>
            </w:pPr>
          </w:p>
        </w:tc>
        <w:tc>
          <w:tcPr>
            <w:tcW w:w="3720" w:type="dxa"/>
            <w:vAlign w:val="bottom"/>
            <w:tcBorders>
              <w:bottom w:val="single" w:sz="8" w:color="auto"/>
              <w:right w:val="single" w:sz="8" w:color="auto"/>
            </w:tcBorders>
          </w:tcPr>
          <w:p>
            <w:pPr>
              <w:jc w:val="center"/>
              <w:ind w:right="1083"/>
              <w:spacing w:after="0"/>
              <w:rPr>
                <w:sz w:val="20"/>
                <w:szCs w:val="20"/>
                <w:color w:val="auto"/>
              </w:rPr>
            </w:pPr>
            <w:r>
              <w:rPr>
                <w:rFonts w:ascii="Times New Roman" w:cs="Times New Roman" w:eastAsia="Times New Roman" w:hAnsi="Times New Roman"/>
                <w:sz w:val="12"/>
                <w:szCs w:val="12"/>
                <w:color w:val="auto"/>
                <w:w w:val="99"/>
              </w:rPr>
              <w:t>NASDAQ</w:t>
            </w:r>
          </w:p>
        </w:tc>
      </w:tr>
    </w:tbl>
    <w:p>
      <w:pPr>
        <w:spacing w:after="0" w:line="187" w:lineRule="exact"/>
        <w:rPr>
          <w:sz w:val="24"/>
          <w:szCs w:val="24"/>
          <w:color w:val="auto"/>
        </w:rPr>
      </w:pPr>
    </w:p>
    <w:p>
      <w:pPr>
        <w:ind w:right="8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ind w:right="10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4" w:lineRule="exact"/>
        <w:rPr>
          <w:sz w:val="24"/>
          <w:szCs w:val="24"/>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3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020" w:type="dxa"/>
            <w:vAlign w:val="bottom"/>
          </w:tcPr>
          <w:p>
            <w:pPr>
              <w:ind w:left="220"/>
              <w:spacing w:after="0" w:line="121" w:lineRule="exact"/>
              <w:rPr>
                <w:sz w:val="20"/>
                <w:szCs w:val="20"/>
                <w:color w:val="auto"/>
              </w:rPr>
            </w:pPr>
            <w:r>
              <w:rPr>
                <w:rFonts w:ascii="MS PGothic" w:cs="MS PGothic" w:eastAsia="MS PGothic" w:hAnsi="MS PGothic"/>
                <w:sz w:val="12"/>
                <w:szCs w:val="12"/>
                <w:color w:val="auto"/>
              </w:rPr>
              <w:t>☐</w:t>
            </w: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87" w:lineRule="exact"/>
        <w:rPr>
          <w:sz w:val="24"/>
          <w:szCs w:val="24"/>
          <w:color w:val="auto"/>
        </w:rPr>
      </w:pPr>
    </w:p>
    <w:p>
      <w:pPr>
        <w:ind w:right="80" w:firstLine="3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w:t>
      </w:r>
    </w:p>
    <w:p>
      <w:pPr>
        <w:spacing w:after="0" w:line="122" w:lineRule="exact"/>
        <w:rPr>
          <w:sz w:val="24"/>
          <w:szCs w:val="24"/>
          <w:color w:val="auto"/>
        </w:rPr>
      </w:pPr>
    </w:p>
    <w:p>
      <w:pPr>
        <w:ind w:left="20"/>
        <w:spacing w:after="0" w:line="138" w:lineRule="exact"/>
        <w:tabs>
          <w:tab w:leader="none" w:pos="46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October 30, 2026, the number of the registrant's Common Stock outstanding was 82,573,861.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409575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4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585"/>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color w:val="auto"/>
              </w:rPr>
              <w:t>Page</w:t>
            </w:r>
          </w:p>
        </w:tc>
      </w:tr>
      <w:tr>
        <w:trPr>
          <w:trHeight w:val="124"/>
        </w:trPr>
        <w:tc>
          <w:tcPr>
            <w:tcW w:w="1480" w:type="dxa"/>
            <w:vAlign w:val="bottom"/>
            <w:tcBorders>
              <w:bottom w:val="single" w:sz="8" w:color="0000FF"/>
            </w:tcBorders>
            <w:gridSpan w:val="14"/>
          </w:tcPr>
          <w:p>
            <w:pPr>
              <w:spacing w:after="0" w:line="124" w:lineRule="exact"/>
              <w:rPr>
                <w:sz w:val="20"/>
                <w:szCs w:val="20"/>
                <w:color w:val="auto"/>
              </w:rPr>
            </w:pPr>
            <w:r>
              <w:rPr>
                <w:rFonts w:ascii="Times New Roman" w:cs="Times New Roman" w:eastAsia="Times New Roman" w:hAnsi="Times New Roman"/>
                <w:sz w:val="11"/>
                <w:szCs w:val="11"/>
                <w:color w:val="0000FF"/>
                <w:w w:val="92"/>
              </w:rPr>
              <w:t>Commonly Used or Defined Terms</w:t>
            </w:r>
          </w:p>
        </w:tc>
        <w:tc>
          <w:tcPr>
            <w:tcW w:w="3360" w:type="dxa"/>
            <w:vAlign w:val="bottom"/>
            <w:gridSpan w:val="14"/>
          </w:tcPr>
          <w:p>
            <w:pPr>
              <w:spacing w:after="0"/>
              <w:rPr>
                <w:sz w:val="10"/>
                <w:szCs w:val="10"/>
                <w:color w:val="auto"/>
              </w:rPr>
            </w:pPr>
          </w:p>
        </w:tc>
        <w:tc>
          <w:tcPr>
            <w:tcW w:w="6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1"/>
                <w:szCs w:val="11"/>
                <w:u w:val="single" w:color="auto"/>
                <w:color w:val="0000FF"/>
                <w:w w:val="97"/>
              </w:rPr>
              <w:t>ii</w:t>
            </w:r>
          </w:p>
        </w:tc>
      </w:tr>
      <w:tr>
        <w:trPr>
          <w:trHeight w:val="124"/>
        </w:trPr>
        <w:tc>
          <w:tcPr>
            <w:tcW w:w="1740" w:type="dxa"/>
            <w:vAlign w:val="bottom"/>
            <w:tcBorders>
              <w:bottom w:val="single" w:sz="8" w:color="0000FF"/>
            </w:tcBorders>
            <w:gridSpan w:val="17"/>
          </w:tcPr>
          <w:p>
            <w:pPr>
              <w:spacing w:after="0" w:line="124" w:lineRule="exact"/>
              <w:rPr>
                <w:sz w:val="20"/>
                <w:szCs w:val="20"/>
                <w:color w:val="auto"/>
              </w:rPr>
            </w:pPr>
            <w:r>
              <w:rPr>
                <w:rFonts w:ascii="Times New Roman" w:cs="Times New Roman" w:eastAsia="Times New Roman" w:hAnsi="Times New Roman"/>
                <w:sz w:val="11"/>
                <w:szCs w:val="11"/>
                <w:color w:val="0000FF"/>
                <w:w w:val="96"/>
              </w:rPr>
              <w:t>PART I. FINANCIAL INFORMATION</w:t>
            </w: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180" w:type="dxa"/>
            <w:vAlign w:val="bottom"/>
            <w:tcBorders>
              <w:bottom w:val="single" w:sz="8" w:color="0000FF"/>
            </w:tcBorders>
            <w:gridSpan w:val="11"/>
          </w:tcPr>
          <w:p>
            <w:pPr>
              <w:spacing w:after="0" w:line="124" w:lineRule="exact"/>
              <w:rPr>
                <w:sz w:val="20"/>
                <w:szCs w:val="20"/>
                <w:color w:val="auto"/>
              </w:rPr>
            </w:pPr>
            <w:r>
              <w:rPr>
                <w:rFonts w:ascii="Times New Roman" w:cs="Times New Roman" w:eastAsia="Times New Roman" w:hAnsi="Times New Roman"/>
                <w:sz w:val="11"/>
                <w:szCs w:val="11"/>
                <w:color w:val="0000FF"/>
                <w:w w:val="92"/>
              </w:rPr>
              <w:t>Item 1. Financial Statements</w:t>
            </w:r>
          </w:p>
        </w:tc>
        <w:tc>
          <w:tcPr>
            <w:tcW w:w="3520" w:type="dxa"/>
            <w:vAlign w:val="bottom"/>
            <w:gridSpan w:val="1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680" w:type="dxa"/>
            <w:vAlign w:val="bottom"/>
            <w:tcBorders>
              <w:bottom w:val="single" w:sz="8" w:color="0000FF"/>
            </w:tcBorders>
            <w:gridSpan w:val="18"/>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Balance Sheets</w:t>
            </w:r>
          </w:p>
        </w:tc>
        <w:tc>
          <w:tcPr>
            <w:tcW w:w="3020" w:type="dxa"/>
            <w:vAlign w:val="bottom"/>
            <w:gridSpan w:val="9"/>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1</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Operations and Comprehensive Income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2</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Unaudited Consolidated Statements of Changes in Stockholders' Deficit and Non-Controlling Interest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3</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9"/>
          </w:tcPr>
          <w:p>
            <w:pPr>
              <w:spacing w:after="0" w:line="124" w:lineRule="exact"/>
              <w:rPr>
                <w:sz w:val="20"/>
                <w:szCs w:val="20"/>
                <w:color w:val="auto"/>
              </w:rPr>
            </w:pPr>
            <w:r>
              <w:rPr>
                <w:rFonts w:ascii="Times New Roman" w:cs="Times New Roman" w:eastAsia="Times New Roman" w:hAnsi="Times New Roman"/>
                <w:sz w:val="11"/>
                <w:szCs w:val="11"/>
                <w:color w:val="0000FF"/>
                <w:w w:val="94"/>
              </w:rPr>
              <w:t>Unaudited Consolidated Statements of Cash Flows</w:t>
            </w:r>
          </w:p>
        </w:tc>
        <w:tc>
          <w:tcPr>
            <w:tcW w:w="2180" w:type="dxa"/>
            <w:vAlign w:val="bottom"/>
            <w:tcBorders>
              <w:top w:val="single" w:sz="8" w:color="0000FF"/>
            </w:tcBorders>
            <w:gridSpan w:val="7"/>
          </w:tcPr>
          <w:p>
            <w:pPr>
              <w:spacing w:after="0"/>
              <w:rPr>
                <w:sz w:val="10"/>
                <w:szCs w:val="10"/>
                <w:color w:val="auto"/>
              </w:rPr>
            </w:pPr>
          </w:p>
        </w:tc>
        <w:tc>
          <w:tcPr>
            <w:tcW w:w="380" w:type="dxa"/>
            <w:vAlign w:val="bottom"/>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5</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470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Notes to Unaudited Consolidated Financial Statements</w:t>
            </w:r>
            <w:r>
              <w:rPr>
                <w:rFonts w:ascii="Times New Roman" w:cs="Times New Roman" w:eastAsia="Times New Roman" w:hAnsi="Times New Roman"/>
                <w:sz w:val="11"/>
                <w:szCs w:val="11"/>
                <w:color w:val="000000"/>
              </w:rPr>
              <w: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Borders>
              <w:bottom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1.</w:t>
            </w:r>
          </w:p>
        </w:tc>
        <w:tc>
          <w:tcPr>
            <w:tcW w:w="2520" w:type="dxa"/>
            <w:vAlign w:val="bottom"/>
            <w:tcBorders>
              <w:bottom w:val="single" w:sz="8" w:color="0000FF"/>
            </w:tcBorders>
            <w:gridSpan w:val="20"/>
          </w:tcPr>
          <w:p>
            <w:pPr>
              <w:ind w:left="20"/>
              <w:spacing w:after="0" w:line="124" w:lineRule="exact"/>
              <w:rPr>
                <w:sz w:val="20"/>
                <w:szCs w:val="20"/>
                <w:color w:val="auto"/>
              </w:rPr>
            </w:pPr>
            <w:r>
              <w:rPr>
                <w:rFonts w:ascii="Times New Roman" w:cs="Times New Roman" w:eastAsia="Times New Roman" w:hAnsi="Times New Roman"/>
                <w:sz w:val="11"/>
                <w:szCs w:val="11"/>
                <w:color w:val="0000FF"/>
                <w:w w:val="97"/>
              </w:rPr>
              <w:t>Basis of Presentation and Significant Accounting Policies</w:t>
            </w:r>
          </w:p>
        </w:tc>
        <w:tc>
          <w:tcPr>
            <w:tcW w:w="2080" w:type="dxa"/>
            <w:vAlign w:val="bottom"/>
            <w:gridSpan w:val="6"/>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7</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2.</w:t>
            </w:r>
          </w:p>
        </w:tc>
        <w:tc>
          <w:tcPr>
            <w:tcW w:w="46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Acquisitions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u w:val="single" w:color="auto"/>
                <w:color w:val="0000FF"/>
              </w:rPr>
              <w:t>9</w:t>
            </w:r>
          </w:p>
        </w:tc>
        <w:tc>
          <w:tcPr>
            <w:tcW w:w="60" w:type="dxa"/>
            <w:vAlign w:val="bottom"/>
          </w:tcPr>
          <w:p>
            <w:pPr>
              <w:spacing w:after="0"/>
              <w:rPr>
                <w:sz w:val="10"/>
                <w:szCs w:val="10"/>
                <w:color w:val="auto"/>
              </w:rPr>
            </w:pPr>
          </w:p>
        </w:tc>
      </w:tr>
      <w:tr>
        <w:trPr>
          <w:trHeight w:val="124"/>
        </w:trPr>
        <w:tc>
          <w:tcPr>
            <w:tcW w:w="140" w:type="dxa"/>
            <w:vAlign w:val="bottom"/>
          </w:tcPr>
          <w:p>
            <w:pPr>
              <w:spacing w:after="0"/>
              <w:rPr>
                <w:sz w:val="10"/>
                <w:szCs w:val="10"/>
                <w:color w:val="auto"/>
              </w:rPr>
            </w:pPr>
          </w:p>
        </w:tc>
        <w:tc>
          <w:tcPr>
            <w:tcW w:w="100" w:type="dxa"/>
            <w:vAlign w:val="bottom"/>
            <w:tcBorders>
              <w:top w:val="single" w:sz="8" w:color="0000FF"/>
            </w:tcBorders>
          </w:tcPr>
          <w:p>
            <w:pPr>
              <w:spacing w:after="0" w:line="124" w:lineRule="exact"/>
              <w:rPr>
                <w:sz w:val="20"/>
                <w:szCs w:val="20"/>
                <w:color w:val="auto"/>
              </w:rPr>
            </w:pPr>
            <w:r>
              <w:rPr>
                <w:rFonts w:ascii="Times New Roman" w:cs="Times New Roman" w:eastAsia="Times New Roman" w:hAnsi="Times New Roman"/>
                <w:sz w:val="11"/>
                <w:szCs w:val="11"/>
                <w:color w:val="0000FF"/>
                <w:w w:val="96"/>
              </w:rPr>
              <w:t>3.</w:t>
            </w:r>
          </w:p>
        </w:tc>
        <w:tc>
          <w:tcPr>
            <w:tcW w:w="440" w:type="dxa"/>
            <w:vAlign w:val="bottom"/>
            <w:tcBorders>
              <w:top w:val="single" w:sz="8" w:color="0000FF"/>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Revenues</w:t>
            </w:r>
          </w:p>
        </w:tc>
        <w:tc>
          <w:tcPr>
            <w:tcW w:w="120" w:type="dxa"/>
            <w:vAlign w:val="bottom"/>
            <w:tcBorders>
              <w:top w:val="single" w:sz="8" w:color="0000FF"/>
            </w:tcBorders>
            <w:gridSpan w:val="2"/>
          </w:tcPr>
          <w:p>
            <w:pPr>
              <w:spacing w:after="0"/>
              <w:rPr>
                <w:sz w:val="10"/>
                <w:szCs w:val="10"/>
                <w:color w:val="auto"/>
              </w:rPr>
            </w:pPr>
          </w:p>
        </w:tc>
        <w:tc>
          <w:tcPr>
            <w:tcW w:w="4040" w:type="dxa"/>
            <w:vAlign w:val="bottom"/>
            <w:gridSpan w:val="2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4.</w:t>
            </w:r>
          </w:p>
        </w:tc>
        <w:tc>
          <w:tcPr>
            <w:tcW w:w="46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Settlement Assets and Obligations</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15</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5.</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0"/>
              </w:rPr>
              <w:t>Notes Receivable</w:t>
            </w:r>
          </w:p>
        </w:tc>
        <w:tc>
          <w:tcPr>
            <w:tcW w:w="740" w:type="dxa"/>
            <w:vAlign w:val="bottom"/>
            <w:gridSpan w:val="9"/>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6.</w:t>
            </w:r>
          </w:p>
        </w:tc>
        <w:tc>
          <w:tcPr>
            <w:tcW w:w="4600" w:type="dxa"/>
            <w:vAlign w:val="bottom"/>
            <w:gridSpan w:val="26"/>
          </w:tcPr>
          <w:p>
            <w:pPr>
              <w:ind w:left="20"/>
              <w:spacing w:after="0" w:line="124" w:lineRule="exact"/>
              <w:rPr>
                <w:sz w:val="20"/>
                <w:szCs w:val="20"/>
                <w:color w:val="auto"/>
              </w:rPr>
            </w:pPr>
            <w:r>
              <w:rPr>
                <w:rFonts w:ascii="Times New Roman" w:cs="Times New Roman" w:eastAsia="Times New Roman" w:hAnsi="Times New Roman"/>
                <w:sz w:val="11"/>
                <w:szCs w:val="11"/>
                <w:color w:val="0000FF"/>
              </w:rPr>
              <w:t>Property, Equipment and Software</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7.</w:t>
            </w:r>
          </w:p>
        </w:tc>
        <w:tc>
          <w:tcPr>
            <w:tcW w:w="1500" w:type="dxa"/>
            <w:vAlign w:val="bottom"/>
            <w:gridSpan w:val="15"/>
          </w:tcPr>
          <w:p>
            <w:pPr>
              <w:ind w:left="20"/>
              <w:spacing w:after="0" w:line="124" w:lineRule="exact"/>
              <w:rPr>
                <w:sz w:val="20"/>
                <w:szCs w:val="20"/>
                <w:color w:val="auto"/>
              </w:rPr>
            </w:pPr>
            <w:r>
              <w:rPr>
                <w:rFonts w:ascii="Times New Roman" w:cs="Times New Roman" w:eastAsia="Times New Roman" w:hAnsi="Times New Roman"/>
                <w:sz w:val="11"/>
                <w:szCs w:val="11"/>
                <w:color w:val="0000FF"/>
              </w:rPr>
              <w:t>Goodwill and Intangible Assets</w:t>
            </w: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19</w:t>
            </w:r>
          </w:p>
        </w:tc>
        <w:tc>
          <w:tcPr>
            <w:tcW w:w="60" w:type="dxa"/>
            <w:vAlign w:val="bottom"/>
          </w:tcPr>
          <w:p>
            <w:pPr>
              <w:spacing w:after="0"/>
              <w:rPr>
                <w:sz w:val="10"/>
                <w:szCs w:val="10"/>
                <w:color w:val="auto"/>
              </w:rPr>
            </w:pPr>
          </w:p>
        </w:tc>
      </w:tr>
      <w:tr>
        <w:trPr>
          <w:trHeight w:val="20"/>
        </w:trPr>
        <w:tc>
          <w:tcPr>
            <w:tcW w:w="24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8.</w:t>
            </w:r>
          </w:p>
        </w:tc>
        <w:tc>
          <w:tcPr>
            <w:tcW w:w="760" w:type="dxa"/>
            <w:vAlign w:val="bottom"/>
            <w:gridSpan w:val="6"/>
          </w:tcPr>
          <w:p>
            <w:pPr>
              <w:ind w:left="20"/>
              <w:spacing w:after="0" w:line="124" w:lineRule="exact"/>
              <w:rPr>
                <w:sz w:val="20"/>
                <w:szCs w:val="20"/>
                <w:color w:val="auto"/>
              </w:rPr>
            </w:pPr>
            <w:r>
              <w:rPr>
                <w:rFonts w:ascii="Times New Roman" w:cs="Times New Roman" w:eastAsia="Times New Roman" w:hAnsi="Times New Roman"/>
                <w:sz w:val="11"/>
                <w:szCs w:val="11"/>
                <w:color w:val="0000FF"/>
                <w:w w:val="92"/>
              </w:rPr>
              <w:t>Debt Obligations</w:t>
            </w:r>
          </w:p>
        </w:tc>
        <w:tc>
          <w:tcPr>
            <w:tcW w:w="740" w:type="dxa"/>
            <w:vAlign w:val="bottom"/>
            <w:gridSpan w:val="9"/>
          </w:tcPr>
          <w:p>
            <w:pPr>
              <w:spacing w:after="0"/>
              <w:rPr>
                <w:sz w:val="10"/>
                <w:szCs w:val="10"/>
                <w:color w:val="auto"/>
              </w:rPr>
            </w:pPr>
          </w:p>
        </w:tc>
        <w:tc>
          <w:tcPr>
            <w:tcW w:w="3100" w:type="dxa"/>
            <w:vAlign w:val="bottom"/>
            <w:gridSpan w:val="11"/>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21</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1"/>
                <w:szCs w:val="11"/>
                <w:color w:val="0000FF"/>
                <w:w w:val="96"/>
              </w:rPr>
              <w:t>9.</w:t>
            </w:r>
          </w:p>
        </w:tc>
        <w:tc>
          <w:tcPr>
            <w:tcW w:w="620" w:type="dxa"/>
            <w:vAlign w:val="bottom"/>
            <w:gridSpan w:val="5"/>
          </w:tcPr>
          <w:p>
            <w:pPr>
              <w:ind w:left="20"/>
              <w:spacing w:after="0" w:line="124" w:lineRule="exact"/>
              <w:rPr>
                <w:sz w:val="20"/>
                <w:szCs w:val="20"/>
                <w:color w:val="auto"/>
              </w:rPr>
            </w:pPr>
            <w:r>
              <w:rPr>
                <w:rFonts w:ascii="Times New Roman" w:cs="Times New Roman" w:eastAsia="Times New Roman" w:hAnsi="Times New Roman"/>
                <w:sz w:val="11"/>
                <w:szCs w:val="11"/>
                <w:color w:val="0000FF"/>
                <w:w w:val="93"/>
              </w:rPr>
              <w:t>Income Taxes</w:t>
            </w:r>
          </w:p>
        </w:tc>
        <w:tc>
          <w:tcPr>
            <w:tcW w:w="140" w:type="dxa"/>
            <w:vAlign w:val="bottom"/>
          </w:tcPr>
          <w:p>
            <w:pPr>
              <w:spacing w:after="0"/>
              <w:rPr>
                <w:sz w:val="10"/>
                <w:szCs w:val="10"/>
                <w:color w:val="auto"/>
              </w:rPr>
            </w:pPr>
          </w:p>
        </w:tc>
        <w:tc>
          <w:tcPr>
            <w:tcW w:w="3840" w:type="dxa"/>
            <w:vAlign w:val="bottom"/>
            <w:gridSpan w:val="2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700" w:type="dxa"/>
            <w:vAlign w:val="bottom"/>
            <w:gridSpan w:val="27"/>
          </w:tcPr>
          <w:p>
            <w:pPr>
              <w:spacing w:after="0" w:line="124" w:lineRule="exact"/>
              <w:rPr>
                <w:sz w:val="20"/>
                <w:szCs w:val="20"/>
                <w:color w:val="auto"/>
              </w:rPr>
            </w:pPr>
            <w:r>
              <w:rPr>
                <w:rFonts w:ascii="Times New Roman" w:cs="Times New Roman" w:eastAsia="Times New Roman" w:hAnsi="Times New Roman"/>
                <w:sz w:val="11"/>
                <w:szCs w:val="11"/>
                <w:color w:val="0000FF"/>
              </w:rPr>
              <w:t>10. Stockholders' Deficit</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5"/>
              </w:rPr>
              <w:t>11. Stock-based Compensation</w:t>
            </w:r>
          </w:p>
        </w:tc>
        <w:tc>
          <w:tcPr>
            <w:tcW w:w="336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7"/>
          </w:tcPr>
          <w:p>
            <w:pPr>
              <w:spacing w:after="0" w:line="124" w:lineRule="exact"/>
              <w:rPr>
                <w:sz w:val="20"/>
                <w:szCs w:val="20"/>
                <w:color w:val="auto"/>
              </w:rPr>
            </w:pPr>
            <w:r>
              <w:rPr>
                <w:rFonts w:ascii="Times New Roman" w:cs="Times New Roman" w:eastAsia="Times New Roman" w:hAnsi="Times New Roman"/>
                <w:sz w:val="11"/>
                <w:szCs w:val="11"/>
                <w:color w:val="0000FF"/>
              </w:rPr>
              <w:t>12. Commitments and Contingencies</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24</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20" w:type="dxa"/>
            <w:vAlign w:val="bottom"/>
            <w:gridSpan w:val="4"/>
          </w:tcPr>
          <w:p>
            <w:pPr>
              <w:spacing w:after="0" w:line="124" w:lineRule="exact"/>
              <w:rPr>
                <w:sz w:val="20"/>
                <w:szCs w:val="20"/>
                <w:color w:val="auto"/>
              </w:rPr>
            </w:pPr>
            <w:r>
              <w:rPr>
                <w:rFonts w:ascii="Times New Roman" w:cs="Times New Roman" w:eastAsia="Times New Roman" w:hAnsi="Times New Roman"/>
                <w:sz w:val="11"/>
                <w:szCs w:val="11"/>
                <w:color w:val="0000FF"/>
                <w:w w:val="94"/>
              </w:rPr>
              <w:t>13. Fair Value</w:t>
            </w:r>
          </w:p>
        </w:tc>
        <w:tc>
          <w:tcPr>
            <w:tcW w:w="1040" w:type="dxa"/>
            <w:vAlign w:val="bottom"/>
            <w:gridSpan w:val="13"/>
          </w:tcPr>
          <w:p>
            <w:pPr>
              <w:spacing w:after="0"/>
              <w:rPr>
                <w:sz w:val="10"/>
                <w:szCs w:val="10"/>
                <w:color w:val="auto"/>
              </w:rPr>
            </w:pP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25</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92"/>
              </w:rPr>
              <w:t>14. Segment Information</w:t>
            </w:r>
          </w:p>
        </w:tc>
        <w:tc>
          <w:tcPr>
            <w:tcW w:w="3640" w:type="dxa"/>
            <w:vAlign w:val="bottom"/>
            <w:gridSpan w:val="1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27</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7"/>
          </w:tcPr>
          <w:p>
            <w:pPr>
              <w:spacing w:after="0" w:line="124" w:lineRule="exact"/>
              <w:rPr>
                <w:sz w:val="20"/>
                <w:szCs w:val="20"/>
                <w:color w:val="auto"/>
              </w:rPr>
            </w:pPr>
            <w:r>
              <w:rPr>
                <w:rFonts w:ascii="Times New Roman" w:cs="Times New Roman" w:eastAsia="Times New Roman" w:hAnsi="Times New Roman"/>
                <w:sz w:val="11"/>
                <w:szCs w:val="11"/>
                <w:color w:val="0000FF"/>
              </w:rPr>
              <w:t>15. Earnings per Common Share</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660" w:type="dxa"/>
            <w:vAlign w:val="bottom"/>
            <w:gridSpan w:val="17"/>
          </w:tcPr>
          <w:p>
            <w:pPr>
              <w:spacing w:after="0" w:line="124" w:lineRule="exact"/>
              <w:rPr>
                <w:sz w:val="20"/>
                <w:szCs w:val="20"/>
                <w:color w:val="auto"/>
              </w:rPr>
            </w:pPr>
            <w:r>
              <w:rPr>
                <w:rFonts w:ascii="Times New Roman" w:cs="Times New Roman" w:eastAsia="Times New Roman" w:hAnsi="Times New Roman"/>
                <w:sz w:val="11"/>
                <w:szCs w:val="11"/>
                <w:color w:val="0000FF"/>
              </w:rPr>
              <w:t>16. Related Party Transaction</w:t>
            </w:r>
          </w:p>
        </w:tc>
        <w:tc>
          <w:tcPr>
            <w:tcW w:w="3040" w:type="dxa"/>
            <w:vAlign w:val="bottom"/>
            <w:gridSpan w:val="10"/>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32</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280" w:type="dxa"/>
            <w:vAlign w:val="bottom"/>
            <w:gridSpan w:val="12"/>
          </w:tcPr>
          <w:p>
            <w:pPr>
              <w:spacing w:after="0" w:line="124" w:lineRule="exact"/>
              <w:rPr>
                <w:sz w:val="20"/>
                <w:szCs w:val="20"/>
                <w:color w:val="auto"/>
              </w:rPr>
            </w:pPr>
            <w:r>
              <w:rPr>
                <w:rFonts w:ascii="Times New Roman" w:cs="Times New Roman" w:eastAsia="Times New Roman" w:hAnsi="Times New Roman"/>
                <w:sz w:val="11"/>
                <w:szCs w:val="11"/>
                <w:color w:val="0000FF"/>
              </w:rPr>
              <w:t>17. Subsequent Events</w:t>
            </w:r>
          </w:p>
        </w:tc>
        <w:tc>
          <w:tcPr>
            <w:tcW w:w="3420" w:type="dxa"/>
            <w:vAlign w:val="bottom"/>
            <w:gridSpan w:val="1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33</w:t>
            </w:r>
          </w:p>
        </w:tc>
        <w:tc>
          <w:tcPr>
            <w:tcW w:w="60" w:type="dxa"/>
            <w:vAlign w:val="bottom"/>
          </w:tcPr>
          <w:p>
            <w:pPr>
              <w:spacing w:after="0"/>
              <w:rPr>
                <w:sz w:val="10"/>
                <w:szCs w:val="10"/>
                <w:color w:val="auto"/>
              </w:rPr>
            </w:pPr>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4140" w:type="dxa"/>
            <w:vAlign w:val="bottom"/>
            <w:gridSpan w:val="25"/>
          </w:tcPr>
          <w:p>
            <w:pPr>
              <w:spacing w:after="0" w:line="124" w:lineRule="exact"/>
              <w:rPr>
                <w:sz w:val="20"/>
                <w:szCs w:val="20"/>
                <w:color w:val="auto"/>
              </w:rPr>
            </w:pPr>
            <w:r>
              <w:rPr>
                <w:rFonts w:ascii="Times New Roman" w:cs="Times New Roman" w:eastAsia="Times New Roman" w:hAnsi="Times New Roman"/>
                <w:sz w:val="11"/>
                <w:szCs w:val="11"/>
                <w:color w:val="0000FF"/>
                <w:w w:val="96"/>
              </w:rPr>
              <w:t>Item 2. Management's Discussion and Analysis of Financial Condition and Results of Operations</w:t>
            </w:r>
          </w:p>
        </w:tc>
        <w:tc>
          <w:tcPr>
            <w:tcW w:w="560" w:type="dxa"/>
            <w:vAlign w:val="bottom"/>
            <w:gridSpan w:val="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34</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60" w:type="dxa"/>
            <w:vAlign w:val="bottom"/>
            <w:gridSpan w:val="22"/>
          </w:tcPr>
          <w:p>
            <w:pPr>
              <w:spacing w:after="0" w:line="124" w:lineRule="exact"/>
              <w:rPr>
                <w:sz w:val="20"/>
                <w:szCs w:val="20"/>
                <w:color w:val="auto"/>
              </w:rPr>
            </w:pPr>
            <w:r>
              <w:rPr>
                <w:rFonts w:ascii="Times New Roman" w:cs="Times New Roman" w:eastAsia="Times New Roman" w:hAnsi="Times New Roman"/>
                <w:sz w:val="11"/>
                <w:szCs w:val="11"/>
                <w:color w:val="0000FF"/>
                <w:w w:val="95"/>
              </w:rPr>
              <w:t>Item 3. Qualitative and Quantitative Disclosures about Market Risk</w:t>
            </w:r>
          </w:p>
        </w:tc>
        <w:tc>
          <w:tcPr>
            <w:tcW w:w="1280" w:type="dxa"/>
            <w:vAlign w:val="bottom"/>
            <w:gridSpan w:val="3"/>
          </w:tcPr>
          <w:p>
            <w:pPr>
              <w:spacing w:after="0"/>
              <w:rPr>
                <w:sz w:val="10"/>
                <w:szCs w:val="10"/>
                <w:color w:val="auto"/>
              </w:rPr>
            </w:pPr>
          </w:p>
        </w:tc>
        <w:tc>
          <w:tcPr>
            <w:tcW w:w="560" w:type="dxa"/>
            <w:vAlign w:val="bottom"/>
            <w:gridSpan w:val="2"/>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Controls and Procedures</w:t>
            </w:r>
          </w:p>
        </w:tc>
        <w:tc>
          <w:tcPr>
            <w:tcW w:w="1520" w:type="dxa"/>
            <w:vAlign w:val="bottom"/>
            <w:gridSpan w:val="9"/>
          </w:tcPr>
          <w:p>
            <w:pPr>
              <w:spacing w:after="0"/>
              <w:rPr>
                <w:sz w:val="10"/>
                <w:szCs w:val="10"/>
                <w:color w:val="auto"/>
              </w:rPr>
            </w:pPr>
          </w:p>
        </w:tc>
        <w:tc>
          <w:tcPr>
            <w:tcW w:w="1840" w:type="dxa"/>
            <w:vAlign w:val="bottom"/>
            <w:gridSpan w:val="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45</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840" w:type="dxa"/>
            <w:vAlign w:val="bottom"/>
            <w:gridSpan w:val="28"/>
          </w:tcPr>
          <w:p>
            <w:pPr>
              <w:spacing w:after="0" w:line="124" w:lineRule="exact"/>
              <w:rPr>
                <w:sz w:val="20"/>
                <w:szCs w:val="20"/>
                <w:color w:val="auto"/>
              </w:rPr>
            </w:pPr>
            <w:r>
              <w:rPr>
                <w:rFonts w:ascii="Times New Roman" w:cs="Times New Roman" w:eastAsia="Times New Roman" w:hAnsi="Times New Roman"/>
                <w:sz w:val="11"/>
                <w:szCs w:val="11"/>
                <w:color w:val="0000FF"/>
              </w:rPr>
              <w:t>PART II. OTHER INFORMATION</w:t>
            </w: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rPr>
              <w:t>Item 1. Legal Proceedings</w:t>
            </w:r>
          </w:p>
        </w:tc>
        <w:tc>
          <w:tcPr>
            <w:tcW w:w="336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900" w:type="dxa"/>
            <w:vAlign w:val="bottom"/>
            <w:gridSpan w:val="8"/>
          </w:tcPr>
          <w:p>
            <w:pPr>
              <w:spacing w:after="0" w:line="124" w:lineRule="exact"/>
              <w:rPr>
                <w:sz w:val="20"/>
                <w:szCs w:val="20"/>
                <w:color w:val="auto"/>
              </w:rPr>
            </w:pPr>
            <w:r>
              <w:rPr>
                <w:rFonts w:ascii="Times New Roman" w:cs="Times New Roman" w:eastAsia="Times New Roman" w:hAnsi="Times New Roman"/>
                <w:sz w:val="11"/>
                <w:szCs w:val="11"/>
                <w:color w:val="0000FF"/>
                <w:w w:val="90"/>
              </w:rPr>
              <w:t>Item 1A. Risk Factors</w:t>
            </w:r>
          </w:p>
        </w:tc>
        <w:tc>
          <w:tcPr>
            <w:tcW w:w="160" w:type="dxa"/>
            <w:vAlign w:val="bottom"/>
            <w:gridSpan w:val="2"/>
          </w:tcPr>
          <w:p>
            <w:pPr>
              <w:spacing w:after="0"/>
              <w:rPr>
                <w:sz w:val="10"/>
                <w:szCs w:val="10"/>
                <w:color w:val="auto"/>
              </w:rPr>
            </w:pPr>
          </w:p>
        </w:tc>
        <w:tc>
          <w:tcPr>
            <w:tcW w:w="3640" w:type="dxa"/>
            <w:vAlign w:val="bottom"/>
            <w:gridSpan w:val="1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3"/>
          </w:tcPr>
          <w:p>
            <w:pPr>
              <w:spacing w:after="0" w:line="124" w:lineRule="exact"/>
              <w:rPr>
                <w:sz w:val="20"/>
                <w:szCs w:val="20"/>
                <w:color w:val="auto"/>
              </w:rPr>
            </w:pPr>
            <w:r>
              <w:rPr>
                <w:rFonts w:ascii="Times New Roman" w:cs="Times New Roman" w:eastAsia="Times New Roman" w:hAnsi="Times New Roman"/>
                <w:sz w:val="11"/>
                <w:szCs w:val="11"/>
                <w:color w:val="0000FF"/>
                <w:w w:val="95"/>
              </w:rPr>
              <w:t>Item 2. Unregistered Sales of Equity Securities and Use of Proceeds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46</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2880" w:type="dxa"/>
            <w:vAlign w:val="bottom"/>
            <w:gridSpan w:val="23"/>
          </w:tcPr>
          <w:p>
            <w:pPr>
              <w:spacing w:after="0" w:line="124" w:lineRule="exact"/>
              <w:rPr>
                <w:sz w:val="20"/>
                <w:szCs w:val="20"/>
                <w:color w:val="auto"/>
              </w:rPr>
            </w:pPr>
            <w:r>
              <w:rPr>
                <w:rFonts w:ascii="Times New Roman" w:cs="Times New Roman" w:eastAsia="Times New Roman" w:hAnsi="Times New Roman"/>
                <w:sz w:val="11"/>
                <w:szCs w:val="11"/>
                <w:color w:val="0000FF"/>
              </w:rPr>
              <w:t>Item 3. Defaults Upon Senior Securities</w:t>
            </w:r>
          </w:p>
        </w:tc>
        <w:tc>
          <w:tcPr>
            <w:tcW w:w="1820" w:type="dxa"/>
            <w:vAlign w:val="bottom"/>
            <w:gridSpan w:val="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360" w:type="dxa"/>
            <w:vAlign w:val="bottom"/>
            <w:tcBorders>
              <w:left w:val="single" w:sz="8" w:color="0000FF"/>
            </w:tcBorders>
            <w:gridSpan w:val="14"/>
            <w:shd w:val="clear" w:color="auto" w:fill="0000FF"/>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340" w:type="dxa"/>
            <w:vAlign w:val="bottom"/>
            <w:gridSpan w:val="13"/>
          </w:tcPr>
          <w:p>
            <w:pPr>
              <w:spacing w:after="0" w:line="124" w:lineRule="exact"/>
              <w:rPr>
                <w:sz w:val="20"/>
                <w:szCs w:val="20"/>
                <w:color w:val="auto"/>
              </w:rPr>
            </w:pPr>
            <w:r>
              <w:rPr>
                <w:rFonts w:ascii="Times New Roman" w:cs="Times New Roman" w:eastAsia="Times New Roman" w:hAnsi="Times New Roman"/>
                <w:sz w:val="11"/>
                <w:szCs w:val="11"/>
                <w:color w:val="0000FF"/>
                <w:w w:val="91"/>
              </w:rPr>
              <w:t>Item 4. Mine Safety Disclosures</w:t>
            </w:r>
          </w:p>
        </w:tc>
        <w:tc>
          <w:tcPr>
            <w:tcW w:w="336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w w:val="89"/>
              </w:rPr>
              <w:t>Item 5. Other Information</w:t>
            </w:r>
          </w:p>
        </w:tc>
        <w:tc>
          <w:tcPr>
            <w:tcW w:w="280" w:type="dxa"/>
            <w:vAlign w:val="bottom"/>
            <w:gridSpan w:val="3"/>
          </w:tcPr>
          <w:p>
            <w:pPr>
              <w:spacing w:after="0"/>
              <w:rPr>
                <w:sz w:val="10"/>
                <w:szCs w:val="10"/>
                <w:color w:val="auto"/>
              </w:rPr>
            </w:pPr>
          </w:p>
        </w:tc>
        <w:tc>
          <w:tcPr>
            <w:tcW w:w="3360" w:type="dxa"/>
            <w:vAlign w:val="bottom"/>
            <w:gridSpan w:val="14"/>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3640" w:type="dxa"/>
            <w:vAlign w:val="bottom"/>
            <w:gridSpan w:val="17"/>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1060" w:type="dxa"/>
            <w:vAlign w:val="bottom"/>
            <w:gridSpan w:val="10"/>
          </w:tcPr>
          <w:p>
            <w:pPr>
              <w:spacing w:after="0" w:line="124" w:lineRule="exact"/>
              <w:rPr>
                <w:sz w:val="20"/>
                <w:szCs w:val="20"/>
                <w:color w:val="auto"/>
              </w:rPr>
            </w:pPr>
            <w:r>
              <w:rPr>
                <w:rFonts w:ascii="Times New Roman" w:cs="Times New Roman" w:eastAsia="Times New Roman" w:hAnsi="Times New Roman"/>
                <w:sz w:val="11"/>
                <w:szCs w:val="11"/>
                <w:color w:val="0000FF"/>
              </w:rPr>
              <w:t>Item 6. Exhibits</w:t>
            </w:r>
          </w:p>
        </w:tc>
        <w:tc>
          <w:tcPr>
            <w:tcW w:w="3640" w:type="dxa"/>
            <w:vAlign w:val="bottom"/>
            <w:gridSpan w:val="17"/>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47</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80" w:type="dxa"/>
            <w:vAlign w:val="bottom"/>
            <w:gridSpan w:val="23"/>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4"/>
        </w:trPr>
        <w:tc>
          <w:tcPr>
            <w:tcW w:w="460" w:type="dxa"/>
            <w:vAlign w:val="bottom"/>
            <w:gridSpan w:val="3"/>
          </w:tcPr>
          <w:p>
            <w:pPr>
              <w:spacing w:after="0" w:line="124" w:lineRule="exact"/>
              <w:rPr>
                <w:sz w:val="20"/>
                <w:szCs w:val="20"/>
                <w:color w:val="auto"/>
              </w:rPr>
            </w:pPr>
            <w:r>
              <w:rPr>
                <w:rFonts w:ascii="Times New Roman" w:cs="Times New Roman" w:eastAsia="Times New Roman" w:hAnsi="Times New Roman"/>
                <w:sz w:val="11"/>
                <w:szCs w:val="11"/>
                <w:color w:val="0000FF"/>
                <w:w w:val="94"/>
              </w:rPr>
              <w:t>Signatures</w:t>
            </w:r>
          </w:p>
        </w:tc>
        <w:tc>
          <w:tcPr>
            <w:tcW w:w="4380" w:type="dxa"/>
            <w:vAlign w:val="bottom"/>
            <w:gridSpan w:val="25"/>
          </w:tcPr>
          <w:p>
            <w:pPr>
              <w:spacing w:after="0"/>
              <w:rPr>
                <w:sz w:val="10"/>
                <w:szCs w:val="10"/>
                <w:color w:val="auto"/>
              </w:rPr>
            </w:pPr>
          </w:p>
        </w:tc>
        <w:tc>
          <w:tcPr>
            <w:tcW w:w="6180" w:type="dxa"/>
            <w:vAlign w:val="bottom"/>
            <w:gridSpan w:val="3"/>
          </w:tcPr>
          <w:p>
            <w:pPr>
              <w:jc w:val="center"/>
              <w:ind w:left="6026"/>
              <w:spacing w:after="0" w:line="124" w:lineRule="exact"/>
              <w:rPr>
                <w:sz w:val="20"/>
                <w:szCs w:val="20"/>
                <w:color w:val="auto"/>
              </w:rPr>
            </w:pPr>
            <w:r>
              <w:rPr>
                <w:rFonts w:ascii="Times New Roman" w:cs="Times New Roman" w:eastAsia="Times New Roman" w:hAnsi="Times New Roman"/>
                <w:sz w:val="11"/>
                <w:szCs w:val="11"/>
                <w:color w:val="0000FF"/>
                <w:w w:val="90"/>
              </w:rPr>
              <w:t>50</w:t>
            </w:r>
          </w:p>
        </w:tc>
        <w:tc>
          <w:tcPr>
            <w:tcW w:w="60" w:type="dxa"/>
            <w:vAlign w:val="bottom"/>
          </w:tcPr>
          <w:p>
            <w:pPr>
              <w:spacing w:after="0"/>
              <w:rPr>
                <w:sz w:val="10"/>
                <w:szCs w:val="10"/>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80"/>
          </w:cols>
          <w:pgMar w:left="300" w:top="1025"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Commonly Used 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Term</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Definition</w:t>
            </w:r>
          </w:p>
        </w:tc>
      </w:tr>
      <w:tr>
        <w:trPr>
          <w:trHeight w:val="142"/>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2018 Plan</w:t>
            </w:r>
          </w:p>
        </w:tc>
        <w:tc>
          <w:tcPr>
            <w:tcW w:w="60" w:type="dxa"/>
            <w:vAlign w:val="bottom"/>
            <w:tcBorders>
              <w:top w:val="single" w:sz="8" w:color="CCEEFF"/>
            </w:tcBorders>
            <w:shd w:val="clear" w:color="auto" w:fill="CCEEFF"/>
          </w:tcPr>
          <w:p>
            <w:pPr>
              <w:spacing w:after="0"/>
              <w:rPr>
                <w:sz w:val="12"/>
                <w:szCs w:val="12"/>
                <w:color w:val="auto"/>
              </w:rPr>
            </w:pPr>
          </w:p>
        </w:tc>
        <w:tc>
          <w:tcPr>
            <w:tcW w:w="8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2018 Equity Incentive Plan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2021 Stock Purchase Plan</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2021 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 Share Repurchase Program</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Priority Technology Holdings, Inc. 2022 Share Repurchase Program</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AOCI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Accumulated other comprehensive income/loss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Codification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APIC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Additional paid-in capital</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ASU</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Accounting Standards Update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B2C</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Business-to-consumer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CEO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CFO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Company's Common Stock, par value $0.001</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Credit Agreement</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and Guaranty Agreement with Truist Bank dated as of May 16, 2024</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EAETR</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212529"/>
              </w:rPr>
              <w:t>Estimated annual effective tax rate</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ESPP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Employee Stock Purchase Plan</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Exchange Act</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Exchange Act of 1934</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FASB</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Accounting Standards Board</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FDIC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Federal Deposit Insurance Corporation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FBO</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 the benefit of</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Financial institution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GAAP</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U.S. Generally Accepted Accounting Principles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ISO</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Independent sales organization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ISV</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Independent software vendor</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MTL</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Money Transmission Licenses</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NCI</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Residual Finance Credit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Credit Agreement with VP Capital, L.P.</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2024 Revolving Credit Facility</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$100.0 million line issued under the 2024 Credit Agreement</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SEC</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and Exchange Commission</w:t>
            </w:r>
          </w:p>
        </w:tc>
      </w:tr>
      <w:tr>
        <w:trPr>
          <w:trHeight w:val="153"/>
        </w:trPr>
        <w:tc>
          <w:tcPr>
            <w:tcW w:w="3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SOFR</w:t>
            </w:r>
          </w:p>
        </w:tc>
        <w:tc>
          <w:tcPr>
            <w:tcW w:w="82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Secured Overnight Financing Rate</w:t>
            </w:r>
          </w:p>
        </w:tc>
      </w:tr>
      <w:tr>
        <w:trPr>
          <w:trHeight w:val="153"/>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w:t>
            </w:r>
          </w:p>
        </w:tc>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Term loan facility issued under the 2024 Credit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i w:val="1"/>
          <w:iCs w:val="1"/>
          <w:color w:val="auto"/>
        </w:rPr>
        <w:t>(in thousands, except share data)</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60" w:type="dxa"/>
            <w:vAlign w:val="bottom"/>
          </w:tcPr>
          <w:p>
            <w:pPr>
              <w:spacing w:after="0"/>
              <w:rPr>
                <w:sz w:val="13"/>
                <w:szCs w:val="13"/>
                <w:color w:val="auto"/>
              </w:rPr>
            </w:pPr>
          </w:p>
        </w:tc>
        <w:tc>
          <w:tcPr>
            <w:tcW w:w="164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7280" w:type="dxa"/>
            <w:vAlign w:val="bottom"/>
            <w:tcBorders>
              <w:top w:val="single" w:sz="8" w:color="CCEEFF"/>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135,648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77,192</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Restricted cash</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16,457</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receivable, net of allowances of $4,705 and $6,297,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83,684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91,300</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32,145</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Current portion of notes receivable, net of allowance of $0 and $0, respectively</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w:t>
            </w:r>
          </w:p>
        </w:tc>
      </w:tr>
      <w:tr>
        <w:trPr>
          <w:trHeight w:val="153"/>
        </w:trPr>
        <w:tc>
          <w:tcPr>
            <w:tcW w:w="72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2"/>
                <w:szCs w:val="12"/>
                <w:color w:val="auto"/>
              </w:rPr>
              <w:t>Settlement assets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1,504,904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1,295,896</w:t>
            </w:r>
          </w:p>
        </w:tc>
      </w:tr>
      <w:tr>
        <w:trPr>
          <w:trHeight w:val="142"/>
        </w:trPr>
        <w:tc>
          <w:tcPr>
            <w:tcW w:w="7280" w:type="dxa"/>
            <w:vAlign w:val="bottom"/>
            <w:gridSpan w:val="3"/>
            <w:shd w:val="clear" w:color="auto" w:fill="CCEEFF"/>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1,773,226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1,515,052</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Notes receivable, less current portion</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17,629</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65,325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58,636</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416,641</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Intangible assets, net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292,135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315,190</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43,986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30,707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29,306</w:t>
            </w:r>
          </w:p>
        </w:tc>
      </w:tr>
      <w:tr>
        <w:trPr>
          <w:trHeight w:val="158"/>
        </w:trPr>
        <w:tc>
          <w:tcPr>
            <w:tcW w:w="728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2,649,241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r>
      <w:tr>
        <w:trPr>
          <w:trHeight w:val="135"/>
        </w:trPr>
        <w:tc>
          <w:tcPr>
            <w:tcW w:w="728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Stockholders' Deficit and Non-controlling interest</w:t>
            </w:r>
          </w:p>
        </w:tc>
        <w:tc>
          <w:tcPr>
            <w:tcW w:w="2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62,488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70,636</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Accrued residual commissions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40,463</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deposits and advance payments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1,972</w:t>
            </w: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Settlement obligations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1,506,105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1,297,263</w:t>
            </w:r>
          </w:p>
        </w:tc>
      </w:tr>
      <w:tr>
        <w:trPr>
          <w:trHeight w:val="142"/>
        </w:trPr>
        <w:tc>
          <w:tcPr>
            <w:tcW w:w="7280" w:type="dxa"/>
            <w:vAlign w:val="bottom"/>
            <w:gridSpan w:val="3"/>
          </w:tcPr>
          <w:p>
            <w:pPr>
              <w:ind w:left="300"/>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1,617,965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1,410,334</w:t>
            </w:r>
          </w:p>
        </w:tc>
      </w:tr>
      <w:tr>
        <w:trPr>
          <w:trHeight w:val="153"/>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 net of current portion, discounts and debt issuance costs</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1,044,409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1,039,358</w:t>
            </w:r>
          </w:p>
        </w:tc>
      </w:tr>
      <w:tr>
        <w:trPr>
          <w:trHeight w:val="153"/>
        </w:trPr>
        <w:tc>
          <w:tcPr>
            <w:tcW w:w="72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44,347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41,484</w:t>
            </w:r>
          </w:p>
        </w:tc>
      </w:tr>
      <w:tr>
        <w:trPr>
          <w:trHeight w:val="142"/>
        </w:trPr>
        <w:tc>
          <w:tcPr>
            <w:tcW w:w="72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8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2,706,721</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2,491,176</w:t>
            </w:r>
          </w:p>
        </w:tc>
      </w:tr>
      <w:tr>
        <w:trPr>
          <w:trHeight w:val="113"/>
        </w:trPr>
        <w:tc>
          <w:tcPr>
            <w:tcW w:w="728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2"/>
                <w:szCs w:val="12"/>
                <w:color w:val="auto"/>
              </w:rPr>
              <w:t>Commitments and contingencies (</w:t>
            </w:r>
            <w:r>
              <w:rPr>
                <w:rFonts w:ascii="Times New Roman" w:cs="Times New Roman" w:eastAsia="Times New Roman" w:hAnsi="Times New Roman"/>
                <w:sz w:val="12"/>
                <w:szCs w:val="12"/>
                <w:color w:val="0000FF"/>
              </w:rPr>
              <w:t>Note 12</w:t>
            </w:r>
            <w:r>
              <w:rPr>
                <w:rFonts w:ascii="Times New Roman" w:cs="Times New Roman" w:eastAsia="Times New Roman" w:hAnsi="Times New Roman"/>
                <w:sz w:val="12"/>
                <w:szCs w:val="12"/>
                <w:color w:val="auto"/>
              </w:rPr>
              <w:t>)</w:t>
            </w:r>
          </w:p>
        </w:tc>
        <w:tc>
          <w:tcPr>
            <w:tcW w:w="2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3"/>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Stockholders' deficit:</w:t>
            </w:r>
          </w:p>
        </w:tc>
        <w:tc>
          <w:tcPr>
            <w:tcW w:w="380" w:type="dxa"/>
            <w:vAlign w:val="bottom"/>
            <w:tcBorders>
              <w:top w:val="single" w:sz="8" w:color="0000FF"/>
            </w:tcBorders>
            <w:shd w:val="clear" w:color="auto" w:fill="CCEEFF"/>
          </w:tcPr>
          <w:p>
            <w:pPr>
              <w:spacing w:after="0"/>
              <w:rPr>
                <w:sz w:val="13"/>
                <w:szCs w:val="13"/>
                <w:color w:val="auto"/>
              </w:rPr>
            </w:pPr>
          </w:p>
        </w:tc>
        <w:tc>
          <w:tcPr>
            <w:tcW w:w="5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728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Preferred stock, $0.001 par value; 100,000,000 shares authorized; 0 issued or outstanding at September 30, 2026 and December 31, 2025</w:t>
            </w:r>
          </w:p>
        </w:tc>
        <w:tc>
          <w:tcPr>
            <w:tcW w:w="280" w:type="dxa"/>
            <w:vAlign w:val="bottom"/>
          </w:tcPr>
          <w:p>
            <w:pPr>
              <w:spacing w:after="0"/>
              <w:rPr>
                <w:sz w:val="13"/>
                <w:szCs w:val="13"/>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7280" w:type="dxa"/>
            <w:vAlign w:val="bottom"/>
            <w:gridSpan w:val="3"/>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Common Stock, $0.001 par value; 1,000,000,000 shares authorized; 87,592,070 and 86,639,593 shares issued at September 30, 2026 and</w:t>
            </w:r>
          </w:p>
        </w:tc>
        <w:tc>
          <w:tcPr>
            <w:tcW w:w="2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r>
      <w:tr>
        <w:trPr>
          <w:trHeight w:val="162"/>
        </w:trPr>
        <w:tc>
          <w:tcPr>
            <w:tcW w:w="7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31, 2025, respectively; and 82,548,886 and 81,907,304 shares outstanding at September 30, 2026 and December 31, 2025, respectively</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r>
      <w:tr>
        <w:trPr>
          <w:trHeight w:val="153"/>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Treasury stock at cost, 5,043,184 and 4,732,289 shares at September 30, 2026 and December 31, 2025, respectively</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(24,568)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(22,759)</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19,204</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13,925</w:t>
            </w:r>
          </w:p>
        </w:tc>
      </w:tr>
      <w:tr>
        <w:trPr>
          <w:trHeight w:val="153"/>
        </w:trPr>
        <w:tc>
          <w:tcPr>
            <w:tcW w:w="728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r>
      <w:tr>
        <w:trPr>
          <w:trHeight w:val="153"/>
        </w:trPr>
        <w:tc>
          <w:tcPr>
            <w:tcW w:w="7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(59,607)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(91,453)</w:t>
            </w:r>
          </w:p>
        </w:tc>
      </w:tr>
      <w:tr>
        <w:trPr>
          <w:trHeight w:val="142"/>
        </w:trPr>
        <w:tc>
          <w:tcPr>
            <w:tcW w:w="72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 attributable to stockholders of Priority Commerce</w:t>
            </w:r>
          </w:p>
        </w:tc>
        <w:tc>
          <w:tcPr>
            <w:tcW w:w="28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(100,415)</w:t>
            </w:r>
          </w:p>
        </w:tc>
      </w:tr>
      <w:tr>
        <w:trPr>
          <w:trHeight w:val="153"/>
        </w:trPr>
        <w:tc>
          <w:tcPr>
            <w:tcW w:w="7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Non-controlling interests in consolidated subsidiaries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8,150</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8,043</w:t>
            </w:r>
          </w:p>
        </w:tc>
      </w:tr>
      <w:tr>
        <w:trPr>
          <w:trHeight w:val="142"/>
        </w:trPr>
        <w:tc>
          <w:tcPr>
            <w:tcW w:w="72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(57,480)</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(92,372)</w:t>
            </w:r>
          </w:p>
        </w:tc>
      </w:tr>
      <w:tr>
        <w:trPr>
          <w:trHeight w:val="158"/>
        </w:trPr>
        <w:tc>
          <w:tcPr>
            <w:tcW w:w="72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2"/>
                <w:szCs w:val="12"/>
                <w:b w:val="1"/>
                <w:bCs w:val="1"/>
                <w:color w:val="auto"/>
              </w:rPr>
              <w:t>Total liabilities, stockholders' deficit and Non-controlling interest</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2,649,241</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2,398,804</w:t>
            </w:r>
          </w:p>
        </w:tc>
      </w:tr>
    </w:tbl>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thousands, except per share data)</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20" w:type="dxa"/>
            <w:vAlign w:val="bottom"/>
          </w:tcPr>
          <w:p>
            <w:pPr>
              <w:spacing w:after="0"/>
              <w:rPr>
                <w:sz w:val="12"/>
                <w:szCs w:val="12"/>
                <w:color w:val="auto"/>
              </w:rPr>
            </w:pPr>
          </w:p>
        </w:tc>
        <w:tc>
          <w:tcPr>
            <w:tcW w:w="2620" w:type="dxa"/>
            <w:vAlign w:val="bottom"/>
            <w:gridSpan w:val="6"/>
            <w:vMerge w:val="restart"/>
          </w:tcPr>
          <w:p>
            <w:pPr>
              <w:ind w:left="3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8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14"/>
                <w:szCs w:val="14"/>
                <w:color w:val="auto"/>
              </w:rPr>
            </w:pPr>
          </w:p>
        </w:tc>
        <w:tc>
          <w:tcPr>
            <w:tcW w:w="2620" w:type="dxa"/>
            <w:vAlign w:val="bottom"/>
            <w:gridSpan w:val="6"/>
            <w:vMerge w:val="continue"/>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1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14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268,623</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780,437</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c>
          <w:tcPr>
            <w:tcW w:w="0" w:type="dxa"/>
            <w:vAlign w:val="bottom"/>
          </w:tcPr>
          <w:p>
            <w:pPr>
              <w:spacing w:after="0"/>
              <w:rPr>
                <w:sz w:val="1"/>
                <w:szCs w:val="1"/>
                <w:color w:val="auto"/>
              </w:rPr>
            </w:pPr>
          </w:p>
        </w:tc>
      </w:tr>
      <w:tr>
        <w:trPr>
          <w:trHeight w:val="133"/>
        </w:trPr>
        <w:tc>
          <w:tcPr>
            <w:tcW w:w="61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165,908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146,681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479,053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431,433</w:t>
            </w:r>
          </w:p>
        </w:tc>
        <w:tc>
          <w:tcPr>
            <w:tcW w:w="0" w:type="dxa"/>
            <w:vAlign w:val="bottom"/>
          </w:tcPr>
          <w:p>
            <w:pPr>
              <w:spacing w:after="0"/>
              <w:rPr>
                <w:sz w:val="1"/>
                <w:szCs w:val="1"/>
                <w:color w:val="auto"/>
              </w:rPr>
            </w:pPr>
          </w:p>
        </w:tc>
      </w:tr>
      <w:tr>
        <w:trPr>
          <w:trHeight w:val="153"/>
        </w:trPr>
        <w:tc>
          <w:tcPr>
            <w:tcW w:w="6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28,950</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86,625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78,975</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56,739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42,992</w:t>
            </w:r>
          </w:p>
        </w:tc>
        <w:tc>
          <w:tcPr>
            <w:tcW w:w="0" w:type="dxa"/>
            <w:vAlign w:val="bottom"/>
          </w:tcPr>
          <w:p>
            <w:pPr>
              <w:spacing w:after="0"/>
              <w:rPr>
                <w:sz w:val="1"/>
                <w:szCs w:val="1"/>
                <w:color w:val="auto"/>
              </w:rPr>
            </w:pPr>
          </w:p>
        </w:tc>
      </w:tr>
      <w:tr>
        <w:trPr>
          <w:trHeight w:val="153"/>
        </w:trPr>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19,647</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15,724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55,699</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44,734</w:t>
            </w:r>
          </w:p>
        </w:tc>
        <w:tc>
          <w:tcPr>
            <w:tcW w:w="0" w:type="dxa"/>
            <w:vAlign w:val="bottom"/>
          </w:tcPr>
          <w:p>
            <w:pPr>
              <w:spacing w:after="0"/>
              <w:rPr>
                <w:sz w:val="1"/>
                <w:szCs w:val="1"/>
                <w:color w:val="auto"/>
              </w:rPr>
            </w:pPr>
          </w:p>
        </w:tc>
      </w:tr>
      <w:tr>
        <w:trPr>
          <w:trHeight w:val="142"/>
        </w:trPr>
        <w:tc>
          <w:tcPr>
            <w:tcW w:w="61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operating expenses</w:t>
            </w: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232,736</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203,667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678,116</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598,134</w:t>
            </w: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income</w:t>
            </w:r>
          </w:p>
        </w:tc>
        <w:tc>
          <w:tcPr>
            <w:tcW w:w="7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35,887</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37,772</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102,321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107,747</w:t>
            </w:r>
          </w:p>
        </w:tc>
        <w:tc>
          <w:tcPr>
            <w:tcW w:w="0" w:type="dxa"/>
            <w:vAlign w:val="bottom"/>
          </w:tcPr>
          <w:p>
            <w:pPr>
              <w:spacing w:after="0"/>
              <w:rPr>
                <w:sz w:val="1"/>
                <w:szCs w:val="1"/>
                <w:color w:val="auto"/>
              </w:rPr>
            </w:pPr>
          </w:p>
        </w:tc>
      </w:tr>
      <w:tr>
        <w:trPr>
          <w:trHeight w:val="133"/>
        </w:trPr>
        <w:tc>
          <w:tcPr>
            <w:tcW w:w="6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(21,190)</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(63,257)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(68,693)</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7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0" w:type="dxa"/>
            <w:vAlign w:val="bottom"/>
          </w:tcPr>
          <w:p>
            <w:pPr>
              <w:spacing w:after="0"/>
              <w:rPr>
                <w:sz w:val="1"/>
                <w:szCs w:val="1"/>
                <w:color w:val="auto"/>
              </w:rPr>
            </w:pPr>
          </w:p>
        </w:tc>
      </w:tr>
      <w:tr>
        <w:trPr>
          <w:trHeight w:val="153"/>
        </w:trPr>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4,554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4,573</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6,667</w:t>
            </w:r>
          </w:p>
        </w:tc>
        <w:tc>
          <w:tcPr>
            <w:tcW w:w="0" w:type="dxa"/>
            <w:vAlign w:val="bottom"/>
          </w:tcPr>
          <w:p>
            <w:pPr>
              <w:spacing w:after="0"/>
              <w:rPr>
                <w:sz w:val="1"/>
                <w:szCs w:val="1"/>
                <w:color w:val="auto"/>
              </w:rPr>
            </w:pPr>
          </w:p>
        </w:tc>
      </w:tr>
      <w:tr>
        <w:trPr>
          <w:trHeight w:val="142"/>
        </w:trPr>
        <w:tc>
          <w:tcPr>
            <w:tcW w:w="61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 other expense, net</w:t>
            </w:r>
          </w:p>
        </w:tc>
        <w:tc>
          <w:tcPr>
            <w:tcW w:w="7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(19,293)</w:t>
            </w:r>
          </w:p>
        </w:tc>
        <w:tc>
          <w:tcPr>
            <w:tcW w:w="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(30,385)</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(58,684)</w:t>
            </w:r>
          </w:p>
        </w:tc>
        <w:tc>
          <w:tcPr>
            <w:tcW w:w="10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(74,540)</w:t>
            </w:r>
          </w:p>
        </w:tc>
        <w:tc>
          <w:tcPr>
            <w:tcW w:w="0" w:type="dxa"/>
            <w:vAlign w:val="bottom"/>
          </w:tcPr>
          <w:p>
            <w:pPr>
              <w:spacing w:after="0"/>
              <w:rPr>
                <w:sz w:val="1"/>
                <w:szCs w:val="1"/>
                <w:color w:val="auto"/>
              </w:rPr>
            </w:pPr>
          </w:p>
        </w:tc>
      </w:tr>
      <w:tr>
        <w:trPr>
          <w:trHeight w:val="142"/>
        </w:trPr>
        <w:tc>
          <w:tcPr>
            <w:tcW w:w="61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16,594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7,387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43,637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33,207</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7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4,371</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(20,201)</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11,791</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(13,528)</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income attributable to common stockholders</w:t>
            </w: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12,223</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31,846</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46,735</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0" w:type="dxa"/>
            <w:vAlign w:val="bottom"/>
          </w:tcPr>
          <w:p>
            <w:pPr>
              <w:spacing w:after="0"/>
              <w:rPr>
                <w:sz w:val="1"/>
                <w:szCs w:val="1"/>
                <w:color w:val="auto"/>
              </w:rPr>
            </w:pPr>
          </w:p>
        </w:tc>
      </w:tr>
      <w:tr>
        <w:trPr>
          <w:trHeight w:val="158"/>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76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12,155</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27,309</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31,314</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46,716</w:t>
            </w:r>
          </w:p>
        </w:tc>
        <w:tc>
          <w:tcPr>
            <w:tcW w:w="0" w:type="dxa"/>
            <w:vAlign w:val="bottom"/>
          </w:tcPr>
          <w:p>
            <w:pPr>
              <w:spacing w:after="0"/>
              <w:rPr>
                <w:sz w:val="1"/>
                <w:szCs w:val="1"/>
                <w:color w:val="auto"/>
              </w:rPr>
            </w:pPr>
          </w:p>
        </w:tc>
      </w:tr>
      <w:tr>
        <w:trPr>
          <w:trHeight w:val="153"/>
        </w:trPr>
        <w:tc>
          <w:tcPr>
            <w:tcW w:w="6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100" w:type="dxa"/>
            <w:vAlign w:val="bottom"/>
          </w:tcPr>
          <w:p>
            <w:pPr>
              <w:spacing w:after="0"/>
              <w:rPr>
                <w:sz w:val="13"/>
                <w:szCs w:val="13"/>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0.58</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Weighted-average common shares outstanding:</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w:t>
            </w:r>
          </w:p>
        </w:tc>
        <w:tc>
          <w:tcPr>
            <w:tcW w:w="7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81,663</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81,530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79,366</w:t>
            </w: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Diluted</w:t>
            </w: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84,293</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81,116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83,923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80" w:type="dxa"/>
            <w:vAlign w:val="bottom"/>
          </w:tcPr>
          <w:p>
            <w:pPr>
              <w:spacing w:after="0"/>
              <w:rPr>
                <w:sz w:val="11"/>
                <w:szCs w:val="1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80" w:type="dxa"/>
            <w:vAlign w:val="bottom"/>
          </w:tcPr>
          <w:p>
            <w:pPr>
              <w:spacing w:after="0"/>
              <w:rPr>
                <w:sz w:val="3"/>
                <w:szCs w:val="3"/>
                <w:color w:val="auto"/>
              </w:rPr>
            </w:pPr>
          </w:p>
        </w:tc>
        <w:tc>
          <w:tcPr>
            <w:tcW w:w="78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81,907</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4,732</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(22,759)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13,925</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(91,453)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(100,415)</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8,043</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(92,372)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561</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82,301</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82</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4,899</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(23,643)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15,902</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(563)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(81,693)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(89,915)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8,079</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(81,836)</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1,636</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216</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9,863</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June 30, 2026</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82,420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4,996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(24,282)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17,538</w:t>
            </w:r>
          </w:p>
        </w:tc>
        <w:tc>
          <w:tcPr>
            <w:tcW w:w="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(79,166)</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8,115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(71,051)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174</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0" w:type="dxa"/>
            <w:vAlign w:val="bottom"/>
          </w:tcPr>
          <w:p>
            <w:pPr>
              <w:spacing w:after="0"/>
              <w:rPr>
                <w:sz w:val="1"/>
                <w:szCs w:val="1"/>
                <w:color w:val="auto"/>
              </w:rPr>
            </w:pPr>
          </w:p>
        </w:tc>
      </w:tr>
      <w:tr>
        <w:trPr>
          <w:trHeight w:val="140"/>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12,223</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12,223</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12,223</w:t>
            </w:r>
          </w:p>
        </w:tc>
        <w:tc>
          <w:tcPr>
            <w:tcW w:w="0" w:type="dxa"/>
            <w:vAlign w:val="bottom"/>
          </w:tcPr>
          <w:p>
            <w:pPr>
              <w:spacing w:after="0"/>
              <w:rPr>
                <w:sz w:val="1"/>
                <w:szCs w:val="1"/>
                <w:color w:val="auto"/>
              </w:rPr>
            </w:pPr>
          </w:p>
        </w:tc>
      </w:tr>
      <w:tr>
        <w:trPr>
          <w:trHeight w:val="136"/>
        </w:trPr>
        <w:tc>
          <w:tcPr>
            <w:tcW w:w="4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82,549</w:t>
            </w: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83</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5,043</w:t>
            </w: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(24,568)</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19,204</w:t>
            </w:r>
          </w:p>
        </w:tc>
        <w:tc>
          <w:tcPr>
            <w:tcW w:w="16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(742)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(59,607)</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(65,630)</w:t>
            </w: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8,150</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(57,480)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Changes in Stockholders' Deficit and Non-Controlling Interest</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1"/>
                <w:szCs w:val="11"/>
                <w:color w:val="auto"/>
              </w:rPr>
            </w:pPr>
          </w:p>
        </w:tc>
        <w:tc>
          <w:tcPr>
            <w:tcW w:w="1040" w:type="dxa"/>
            <w:vAlign w:val="bottom"/>
            <w:gridSpan w:val="2"/>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4020" w:type="dxa"/>
            <w:vAlign w:val="bottom"/>
          </w:tcPr>
          <w:p>
            <w:pPr>
              <w:spacing w:after="0"/>
              <w:rPr>
                <w:sz w:val="3"/>
                <w:szCs w:val="3"/>
                <w:color w:val="auto"/>
              </w:rPr>
            </w:pPr>
          </w:p>
        </w:tc>
        <w:tc>
          <w:tcPr>
            <w:tcW w:w="1040" w:type="dxa"/>
            <w:vAlign w:val="bottom"/>
            <w:gridSpan w:val="2"/>
            <w:vMerge w:val="restart"/>
          </w:tcPr>
          <w:p>
            <w:pPr>
              <w:jc w:val="right"/>
              <w:ind w:right="22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vMerge w:val="restart"/>
          </w:tcPr>
          <w:p>
            <w:pPr>
              <w:jc w:val="right"/>
              <w:ind w:right="46"/>
              <w:spacing w:after="0" w:line="124" w:lineRule="exact"/>
              <w:rPr>
                <w:sz w:val="20"/>
                <w:szCs w:val="20"/>
                <w:color w:val="auto"/>
              </w:rPr>
            </w:pPr>
            <w:r>
              <w:rPr>
                <w:rFonts w:ascii="Times New Roman" w:cs="Times New Roman" w:eastAsia="Times New Roman" w:hAnsi="Times New Roman"/>
                <w:sz w:val="11"/>
                <w:szCs w:val="11"/>
                <w:b w:val="1"/>
                <w:bCs w:val="1"/>
                <w:color w:val="auto"/>
              </w:rPr>
              <w:t>Stock</w:t>
            </w: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4020" w:type="dxa"/>
            <w:vAlign w:val="bottom"/>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820" w:type="dxa"/>
            <w:vAlign w:val="bottom"/>
          </w:tcPr>
          <w:p>
            <w:pPr>
              <w:jc w:val="center"/>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Attributable to</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APIC</w:t>
            </w: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AOCI</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Stockholders</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NCIs</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4"/>
        </w:trPr>
        <w:tc>
          <w:tcPr>
            <w:tcW w:w="40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77,480</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4,386</w:t>
            </w:r>
          </w:p>
        </w:tc>
        <w:tc>
          <w:tcPr>
            <w:tcW w:w="24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(19,607)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(147,134)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(166,840)</w:t>
            </w:r>
          </w:p>
        </w:tc>
        <w:tc>
          <w:tcPr>
            <w:tcW w:w="1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1,815</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534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warrants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1,804</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March 31,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79,712</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4,508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(21,077)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(133)</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(138,866)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(158,327)</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1,902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(156,425)</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270</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34</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10,879</w:t>
            </w:r>
          </w:p>
        </w:tc>
        <w:tc>
          <w:tcPr>
            <w:tcW w:w="0" w:type="dxa"/>
            <w:vAlign w:val="bottom"/>
          </w:tcPr>
          <w:p>
            <w:pPr>
              <w:spacing w:after="0"/>
              <w:rPr>
                <w:sz w:val="1"/>
                <w:szCs w:val="1"/>
                <w:color w:val="auto"/>
              </w:rPr>
            </w:pPr>
          </w:p>
        </w:tc>
      </w:tr>
      <w:tr>
        <w:trPr>
          <w:trHeight w:val="132"/>
        </w:trPr>
        <w:tc>
          <w:tcPr>
            <w:tcW w:w="4020" w:type="dxa"/>
            <w:vAlign w:val="bottom"/>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June 30, 2025</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79,898</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80</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4,626</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(21,921)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3,629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84</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(127,987)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(146,115)</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1,981</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(144,134)</w:t>
            </w:r>
          </w:p>
        </w:tc>
        <w:tc>
          <w:tcPr>
            <w:tcW w:w="0" w:type="dxa"/>
            <w:vAlign w:val="bottom"/>
          </w:tcPr>
          <w:p>
            <w:pPr>
              <w:spacing w:after="0"/>
              <w:rPr>
                <w:sz w:val="1"/>
                <w:szCs w:val="1"/>
                <w:color w:val="auto"/>
              </w:rPr>
            </w:pPr>
          </w:p>
        </w:tc>
      </w:tr>
      <w:tr>
        <w:trPr>
          <w:trHeight w:val="145"/>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Equity-classified stock-based compensation</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Vesting of stock awards and ESPP purchases</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231</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Shares issued as part of Boom asset purchase</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1,766</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13,459</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13,461</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13,461</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Plastiq NCI repurchase</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(5,670)</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Issuance of profit interests in subsidiaries</w:t>
            </w:r>
          </w:p>
        </w:tc>
        <w:tc>
          <w:tcPr>
            <w:tcW w:w="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0" w:type="dxa"/>
            <w:vAlign w:val="bottom"/>
          </w:tcPr>
          <w:p>
            <w:pPr>
              <w:spacing w:after="0"/>
              <w:rPr>
                <w:sz w:val="1"/>
                <w:szCs w:val="1"/>
                <w:color w:val="auto"/>
              </w:rPr>
            </w:pPr>
          </w:p>
        </w:tc>
      </w:tr>
      <w:tr>
        <w:trPr>
          <w:trHeight w:val="142"/>
        </w:trPr>
        <w:tc>
          <w:tcPr>
            <w:tcW w:w="40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46"/>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27,588</w:t>
            </w:r>
          </w:p>
        </w:tc>
        <w:tc>
          <w:tcPr>
            <w:tcW w:w="0" w:type="dxa"/>
            <w:vAlign w:val="bottom"/>
          </w:tcPr>
          <w:p>
            <w:pPr>
              <w:spacing w:after="0"/>
              <w:rPr>
                <w:sz w:val="1"/>
                <w:szCs w:val="1"/>
                <w:color w:val="auto"/>
              </w:rPr>
            </w:pPr>
          </w:p>
        </w:tc>
      </w:tr>
      <w:tr>
        <w:trPr>
          <w:trHeight w:val="132"/>
        </w:trPr>
        <w:tc>
          <w:tcPr>
            <w:tcW w:w="40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81,821</w:t>
            </w: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4,710</w:t>
            </w: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5"/>
              </w:rPr>
              <w:t>(22,613)</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12,827</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(100,399)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(110,298)</w:t>
            </w:r>
          </w:p>
        </w:tc>
        <w:tc>
          <w:tcPr>
            <w:tcW w:w="1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1,784</w:t>
            </w:r>
          </w:p>
        </w:tc>
        <w:tc>
          <w:tcPr>
            <w:tcW w:w="2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(108,514)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359"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72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00" w:type="dxa"/>
            <w:vAlign w:val="bottom"/>
            <w:tcBorders>
              <w:bottom w:val="single" w:sz="8" w:color="auto"/>
            </w:tcBorders>
          </w:tcPr>
          <w:p>
            <w:pPr>
              <w:spacing w:after="0"/>
              <w:rPr>
                <w:sz w:val="12"/>
                <w:szCs w:val="12"/>
                <w:color w:val="auto"/>
              </w:rPr>
            </w:pPr>
          </w:p>
        </w:tc>
      </w:tr>
      <w:tr>
        <w:trPr>
          <w:trHeight w:val="134"/>
        </w:trPr>
        <w:tc>
          <w:tcPr>
            <w:tcW w:w="12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3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31,846</w:t>
            </w:r>
          </w:p>
        </w:tc>
        <w:tc>
          <w:tcPr>
            <w:tcW w:w="12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46,735</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 of assets</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56,739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42,992</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Stock-based compensation, ESPP, and incentive units compensation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6,023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7,119</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discounts</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1,449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w:t>
            </w:r>
          </w:p>
        </w:tc>
      </w:tr>
      <w:tr>
        <w:trPr>
          <w:trHeight w:val="146"/>
        </w:trPr>
        <w:tc>
          <w:tcPr>
            <w:tcW w:w="7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Debt extinguishment and modification costs</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12,514</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Deferred income tax</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2,007</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(16,090)</w:t>
            </w:r>
          </w:p>
        </w:tc>
      </w:tr>
      <w:tr>
        <w:trPr>
          <w:trHeight w:val="146"/>
        </w:trPr>
        <w:tc>
          <w:tcPr>
            <w:tcW w:w="7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contingent consideration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2,449</w:t>
            </w:r>
          </w:p>
        </w:tc>
      </w:tr>
      <w:tr>
        <w:trPr>
          <w:trHeight w:val="142"/>
        </w:trPr>
        <w:tc>
          <w:tcPr>
            <w:tcW w:w="78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Bargain purchase adjustment/(gain)</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354</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(3,506)</w:t>
            </w:r>
          </w:p>
        </w:tc>
      </w:tr>
      <w:tr>
        <w:trPr>
          <w:trHeight w:val="146"/>
        </w:trPr>
        <w:tc>
          <w:tcPr>
            <w:tcW w:w="78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non-cash items, net</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Change in operating assets and liabilities, net of effects of acquisitions: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Accounts receivable</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8,851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(22,995)</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(2,054)</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Income taxes</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5,035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(7,669)</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1,498</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residual commissions</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459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w:t>
            </w:r>
          </w:p>
        </w:tc>
      </w:tr>
      <w:tr>
        <w:trPr>
          <w:trHeight w:val="142"/>
        </w:trPr>
        <w:tc>
          <w:tcPr>
            <w:tcW w:w="7880" w:type="dxa"/>
            <w:vAlign w:val="bottom"/>
            <w:gridSpan w:val="3"/>
          </w:tcPr>
          <w:p>
            <w:pPr>
              <w:ind w:left="140"/>
              <w:spacing w:after="0"/>
              <w:rPr>
                <w:sz w:val="20"/>
                <w:szCs w:val="20"/>
                <w:color w:val="auto"/>
              </w:rPr>
            </w:pPr>
            <w:r>
              <w:rPr>
                <w:rFonts w:ascii="Times New Roman" w:cs="Times New Roman" w:eastAsia="Times New Roman" w:hAnsi="Times New Roman"/>
                <w:sz w:val="11"/>
                <w:szCs w:val="11"/>
                <w:color w:val="auto"/>
              </w:rPr>
              <w:t>Customer deposits and advance payments</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778</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146"/>
        </w:trPr>
        <w:tc>
          <w:tcPr>
            <w:tcW w:w="7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assets, net</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1,352</w:t>
            </w:r>
          </w:p>
        </w:tc>
      </w:tr>
      <w:tr>
        <w:trPr>
          <w:trHeight w:val="142"/>
        </w:trPr>
        <w:tc>
          <w:tcPr>
            <w:tcW w:w="78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1"/>
                <w:szCs w:val="11"/>
                <w:color w:val="auto"/>
              </w:rPr>
              <w:t>Other liabilities, net</w:t>
            </w:r>
          </w:p>
        </w:tc>
        <w:tc>
          <w:tcPr>
            <w:tcW w:w="9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(1,507)</w:t>
            </w: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(1,359)</w:t>
            </w:r>
          </w:p>
        </w:tc>
      </w:tr>
      <w:tr>
        <w:trPr>
          <w:trHeight w:val="13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98,025</w:t>
            </w:r>
          </w:p>
        </w:tc>
        <w:tc>
          <w:tcPr>
            <w:tcW w:w="12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63,161</w:t>
            </w:r>
          </w:p>
        </w:tc>
      </w:tr>
      <w:tr>
        <w:trPr>
          <w:trHeight w:val="123"/>
        </w:trPr>
        <w:tc>
          <w:tcPr>
            <w:tcW w:w="78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4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(11,456)</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(77,369)</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Additions to property, equipment and software</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(20,430)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(18,952)</w:t>
            </w:r>
          </w:p>
        </w:tc>
      </w:tr>
      <w:tr>
        <w:trPr>
          <w:trHeight w:val="119"/>
        </w:trPr>
        <w:tc>
          <w:tcPr>
            <w:tcW w:w="7880" w:type="dxa"/>
            <w:vAlign w:val="bottom"/>
            <w:gridSpan w:val="3"/>
            <w:shd w:val="clear" w:color="auto" w:fill="CCEEFF"/>
          </w:tcPr>
          <w:p>
            <w:pPr>
              <w:ind w:left="80"/>
              <w:spacing w:after="0" w:line="119" w:lineRule="exact"/>
              <w:rPr>
                <w:sz w:val="20"/>
                <w:szCs w:val="20"/>
                <w:color w:val="auto"/>
              </w:rPr>
            </w:pPr>
            <w:r>
              <w:rPr>
                <w:rFonts w:ascii="Times New Roman" w:cs="Times New Roman" w:eastAsia="Times New Roman" w:hAnsi="Times New Roman"/>
                <w:sz w:val="11"/>
                <w:szCs w:val="11"/>
                <w:color w:val="auto"/>
              </w:rPr>
              <w:t xml:space="preserve">Notes receivable, net (see </w:t>
            </w:r>
            <w:r>
              <w:rPr>
                <w:rFonts w:ascii="Times New Roman" w:cs="Times New Roman" w:eastAsia="Times New Roman" w:hAnsi="Times New Roman"/>
                <w:sz w:val="11"/>
                <w:szCs w:val="11"/>
                <w:color w:val="0000FF"/>
              </w:rPr>
              <w:t>Note 5</w:t>
            </w:r>
            <w:r>
              <w:rPr>
                <w:rFonts w:ascii="Times New Roman" w:cs="Times New Roman" w:eastAsia="Times New Roman" w:hAnsi="Times New Roman"/>
                <w:sz w:val="11"/>
                <w:szCs w:val="11"/>
                <w:color w:val="auto"/>
              </w:rPr>
              <w:t>)</w:t>
            </w: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(4,106)</w:t>
            </w: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9" w:lineRule="exact"/>
              <w:rPr>
                <w:sz w:val="20"/>
                <w:szCs w:val="20"/>
                <w:color w:val="auto"/>
              </w:rPr>
            </w:pPr>
            <w:r>
              <w:rPr>
                <w:rFonts w:ascii="Times New Roman" w:cs="Times New Roman" w:eastAsia="Times New Roman" w:hAnsi="Times New Roman"/>
                <w:sz w:val="11"/>
                <w:szCs w:val="11"/>
                <w:color w:val="auto"/>
              </w:rPr>
              <w:t>(5,060)</w:t>
            </w:r>
          </w:p>
        </w:tc>
      </w:tr>
      <w:tr>
        <w:trPr>
          <w:trHeight w:val="27"/>
        </w:trPr>
        <w:tc>
          <w:tcPr>
            <w:tcW w:w="1220" w:type="dxa"/>
            <w:vAlign w:val="bottom"/>
            <w:shd w:val="clear" w:color="auto" w:fill="CCEE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Short-term investments, net</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(46,667)</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investing activities</w:t>
            </w: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(11,197)</w:t>
            </w: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(3,850)</w:t>
            </w:r>
          </w:p>
        </w:tc>
      </w:tr>
      <w:tr>
        <w:trPr>
          <w:trHeight w:val="13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9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(547,189)</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(151,898)</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Proceeds from issuance of long-term debt, net of issue discount</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9,493</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1,019,714</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Debt issuance and modification costs paid</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(4,725)</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Repayments of long-term debt</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(945,537)</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withheld for taxes</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(3,006)</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Proceeds from exercise of stock options</w:t>
            </w:r>
          </w:p>
        </w:tc>
        <w:tc>
          <w:tcPr>
            <w:tcW w:w="98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Settlement obligations, net</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215,155</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247,531</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Payment of deferred/contingent consideration related to business combination</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(19,756)</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NCI repurchase</w:t>
            </w:r>
          </w:p>
        </w:tc>
        <w:tc>
          <w:tcPr>
            <w:tcW w:w="9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(6,000)</w:t>
            </w:r>
          </w:p>
        </w:tc>
      </w:tr>
      <w:tr>
        <w:trPr>
          <w:trHeight w:val="132"/>
        </w:trPr>
        <w:tc>
          <w:tcPr>
            <w:tcW w:w="788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9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222,493</w:t>
            </w:r>
          </w:p>
        </w:tc>
        <w:tc>
          <w:tcPr>
            <w:tcW w:w="120" w:type="dxa"/>
            <w:vAlign w:val="bottom"/>
            <w:tcBorders>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288,634</w:t>
            </w:r>
          </w:p>
        </w:tc>
      </w:tr>
      <w:tr>
        <w:trPr>
          <w:trHeight w:val="125"/>
        </w:trPr>
        <w:tc>
          <w:tcPr>
            <w:tcW w:w="788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b w:val="1"/>
                <w:bCs w:val="1"/>
                <w:color w:val="auto"/>
              </w:rPr>
              <w:t>Net change in cash and cash equivalents and restricted cash:</w:t>
            </w:r>
          </w:p>
        </w:tc>
        <w:tc>
          <w:tcPr>
            <w:tcW w:w="9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Net (decrease)/increase in cash and cash equivalents, and restricted cash</w:t>
            </w:r>
          </w:p>
        </w:tc>
        <w:tc>
          <w:tcPr>
            <w:tcW w:w="9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(226,671)</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199,897</w:t>
            </w:r>
          </w:p>
        </w:tc>
      </w:tr>
      <w:tr>
        <w:trPr>
          <w:trHeight w:val="144"/>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1,345,998</w:t>
            </w: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993,864</w:t>
            </w:r>
          </w:p>
        </w:tc>
      </w:tr>
      <w:tr>
        <w:trPr>
          <w:trHeight w:val="135"/>
        </w:trPr>
        <w:tc>
          <w:tcPr>
            <w:tcW w:w="7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 and restricted cash at end of period</w:t>
            </w:r>
          </w:p>
        </w:tc>
        <w:tc>
          <w:tcPr>
            <w:tcW w:w="980" w:type="dxa"/>
            <w:vAlign w:val="bottom"/>
            <w:tcBorders>
              <w:bottom w:val="single" w:sz="8" w:color="auto"/>
            </w:tcBorders>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1,119,327</w:t>
            </w: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1,193,761</w:t>
            </w:r>
          </w:p>
        </w:tc>
      </w:tr>
      <w:tr>
        <w:trPr>
          <w:trHeight w:val="20"/>
        </w:trPr>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Unaudited Consolidated Statements of Cash Flows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720" w:type="dxa"/>
            <w:vAlign w:val="bottom"/>
            <w:tcBorders>
              <w:bottom w:val="single" w:sz="8" w:color="auto"/>
            </w:tcBorders>
            <w:gridSpan w:val="4"/>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00" w:type="dxa"/>
            <w:vAlign w:val="bottom"/>
            <w:tcBorders>
              <w:bottom w:val="single" w:sz="8" w:color="auto"/>
            </w:tcBorders>
          </w:tcPr>
          <w:p>
            <w:pPr>
              <w:spacing w:after="0"/>
              <w:rPr>
                <w:sz w:val="12"/>
                <w:szCs w:val="12"/>
                <w:color w:val="auto"/>
              </w:rPr>
            </w:pPr>
          </w:p>
        </w:tc>
      </w:tr>
      <w:tr>
        <w:trPr>
          <w:trHeight w:val="134"/>
        </w:trPr>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9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r>
      <w:tr>
        <w:trPr>
          <w:trHeight w:val="152"/>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Reconciliation of cash and cash equivalents, and restricted cash:</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135,648</w:t>
            </w:r>
          </w:p>
        </w:tc>
        <w:tc>
          <w:tcPr>
            <w:tcW w:w="12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56,978</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Restricted cash</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16,009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12,984</w:t>
            </w:r>
          </w:p>
        </w:tc>
      </w:tr>
      <w:tr>
        <w:trPr>
          <w:trHeight w:val="117"/>
        </w:trPr>
        <w:tc>
          <w:tcPr>
            <w:tcW w:w="7880" w:type="dxa"/>
            <w:vAlign w:val="bottom"/>
            <w:gridSpan w:val="3"/>
          </w:tcPr>
          <w:p>
            <w:pPr>
              <w:ind w:left="80"/>
              <w:spacing w:after="0" w:line="117" w:lineRule="exact"/>
              <w:rPr>
                <w:sz w:val="20"/>
                <w:szCs w:val="20"/>
                <w:color w:val="auto"/>
              </w:rPr>
            </w:pPr>
            <w:r>
              <w:rPr>
                <w:rFonts w:ascii="Times New Roman" w:cs="Times New Roman" w:eastAsia="Times New Roman" w:hAnsi="Times New Roman"/>
                <w:sz w:val="11"/>
                <w:szCs w:val="11"/>
                <w:color w:val="auto"/>
              </w:rPr>
              <w:t xml:space="preserve">Cash and cash equivalents included in settlement assets (restricted in nature) (see </w:t>
            </w:r>
            <w:r>
              <w:rPr>
                <w:rFonts w:ascii="Times New Roman" w:cs="Times New Roman" w:eastAsia="Times New Roman" w:hAnsi="Times New Roman"/>
                <w:sz w:val="11"/>
                <w:szCs w:val="11"/>
                <w:color w:val="0000FF"/>
              </w:rPr>
              <w:t>Note 4</w:t>
            </w:r>
            <w:r>
              <w:rPr>
                <w:rFonts w:ascii="Times New Roman" w:cs="Times New Roman" w:eastAsia="Times New Roman" w:hAnsi="Times New Roman"/>
                <w:sz w:val="11"/>
                <w:szCs w:val="11"/>
                <w:color w:val="auto"/>
              </w:rPr>
              <w:t>)</w:t>
            </w:r>
          </w:p>
        </w:tc>
        <w:tc>
          <w:tcPr>
            <w:tcW w:w="980" w:type="dxa"/>
            <w:vAlign w:val="bottom"/>
          </w:tcPr>
          <w:p>
            <w:pPr>
              <w:spacing w:after="0"/>
              <w:rPr>
                <w:sz w:val="10"/>
                <w:szCs w:val="10"/>
                <w:color w:val="auto"/>
              </w:rPr>
            </w:pPr>
          </w:p>
        </w:tc>
        <w:tc>
          <w:tcPr>
            <w:tcW w:w="580" w:type="dxa"/>
            <w:vAlign w:val="bottom"/>
          </w:tcPr>
          <w:p>
            <w:pPr>
              <w:jc w:val="right"/>
              <w:ind w:right="6"/>
              <w:spacing w:after="0" w:line="117" w:lineRule="exact"/>
              <w:rPr>
                <w:sz w:val="20"/>
                <w:szCs w:val="20"/>
                <w:color w:val="auto"/>
              </w:rPr>
            </w:pPr>
            <w:r>
              <w:rPr>
                <w:rFonts w:ascii="Times New Roman" w:cs="Times New Roman" w:eastAsia="Times New Roman" w:hAnsi="Times New Roman"/>
                <w:sz w:val="11"/>
                <w:szCs w:val="11"/>
                <w:color w:val="auto"/>
              </w:rPr>
              <w:t>967,670</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1,123,799</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0000FF"/>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6"/>
        </w:trPr>
        <w:tc>
          <w:tcPr>
            <w:tcW w:w="7880" w:type="dxa"/>
            <w:vAlign w:val="bottom"/>
            <w:tcBorders>
              <w:bottom w:val="single" w:sz="8" w:color="CCEEFF"/>
            </w:tcBorders>
            <w:gridSpan w:val="3"/>
            <w:shd w:val="clear" w:color="auto" w:fill="CCEEFF"/>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Total cash and cash equivalents, and restricted cash</w:t>
            </w:r>
          </w:p>
        </w:tc>
        <w:tc>
          <w:tcPr>
            <w:tcW w:w="980" w:type="dxa"/>
            <w:vAlign w:val="bottom"/>
            <w:tcBorders>
              <w:bottom w:val="single" w:sz="8" w:color="auto"/>
            </w:tcBorders>
            <w:shd w:val="clear" w:color="auto" w:fill="CCEEFF"/>
          </w:tcPr>
          <w:p>
            <w:pPr>
              <w:jc w:val="right"/>
              <w:ind w:right="846"/>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b w:val="1"/>
                <w:bCs w:val="1"/>
                <w:color w:val="auto"/>
              </w:rPr>
              <w:t>1,119,327</w:t>
            </w:r>
          </w:p>
        </w:tc>
        <w:tc>
          <w:tcPr>
            <w:tcW w:w="1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ind w:right="926"/>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rPr>
              <w:t>1,193,761</w:t>
            </w:r>
          </w:p>
        </w:tc>
      </w:tr>
      <w:tr>
        <w:trPr>
          <w:trHeight w:val="153"/>
        </w:trPr>
        <w:tc>
          <w:tcPr>
            <w:tcW w:w="3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4"/>
        </w:trPr>
        <w:tc>
          <w:tcPr>
            <w:tcW w:w="7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Supplemental cash flow information: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Cash paid for interest</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61,119</w:t>
            </w:r>
          </w:p>
        </w:tc>
        <w:tc>
          <w:tcPr>
            <w:tcW w:w="12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64,478</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paid for income taxes, net of refunds</w:t>
            </w:r>
          </w:p>
        </w:tc>
        <w:tc>
          <w:tcPr>
            <w:tcW w:w="98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4,811</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10,211</w:t>
            </w:r>
          </w:p>
        </w:tc>
      </w:tr>
      <w:tr>
        <w:trPr>
          <w:trHeight w:val="143"/>
        </w:trPr>
        <w:tc>
          <w:tcPr>
            <w:tcW w:w="7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5"/>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Common stock issued for Boom Commerce asset purchase</w:t>
            </w:r>
          </w:p>
        </w:tc>
        <w:tc>
          <w:tcPr>
            <w:tcW w:w="98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13,461</w:t>
            </w:r>
          </w:p>
        </w:tc>
      </w:tr>
      <w:tr>
        <w:trPr>
          <w:trHeight w:val="142"/>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Foreign currency adjustment to goodwill and intangibles</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295</w:t>
            </w:r>
          </w:p>
        </w:tc>
        <w:tc>
          <w:tcPr>
            <w:tcW w:w="12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w:t>
            </w:r>
          </w:p>
        </w:tc>
      </w:tr>
      <w:tr>
        <w:trPr>
          <w:trHeight w:val="146"/>
        </w:trPr>
        <w:tc>
          <w:tcPr>
            <w:tcW w:w="78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Residual buyout from note receivable</w:t>
            </w:r>
          </w:p>
        </w:tc>
        <w:tc>
          <w:tcPr>
            <w:tcW w:w="980" w:type="dxa"/>
            <w:vAlign w:val="bottom"/>
            <w:shd w:val="clear" w:color="auto" w:fill="CCEEFF"/>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78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Deferred/contingent consideration</w:t>
            </w:r>
          </w:p>
        </w:tc>
        <w:tc>
          <w:tcPr>
            <w:tcW w:w="980" w:type="dxa"/>
            <w:vAlign w:val="bottom"/>
          </w:tcPr>
          <w:p>
            <w:pPr>
              <w:jc w:val="right"/>
              <w:ind w:right="84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3,020</w:t>
            </w:r>
          </w:p>
        </w:tc>
        <w:tc>
          <w:tcPr>
            <w:tcW w:w="120" w:type="dxa"/>
            <w:vAlign w:val="bottom"/>
          </w:tcPr>
          <w:p>
            <w:pPr>
              <w:spacing w:after="0"/>
              <w:rPr>
                <w:sz w:val="12"/>
                <w:szCs w:val="12"/>
                <w:color w:val="auto"/>
              </w:rPr>
            </w:pPr>
          </w:p>
        </w:tc>
        <w:tc>
          <w:tcPr>
            <w:tcW w:w="1040" w:type="dxa"/>
            <w:vAlign w:val="bottom"/>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8,824</w:t>
            </w:r>
          </w:p>
        </w:tc>
      </w:tr>
    </w:tbl>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46"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Priority Technology Holdings, Inc.</w:t>
      </w:r>
    </w:p>
    <w:p>
      <w:pPr>
        <w:spacing w:after="0" w:line="2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Unaudited Consolidated Financial Statements</w:t>
      </w:r>
    </w:p>
    <w:p>
      <w:pPr>
        <w:spacing w:after="0" w:line="200" w:lineRule="exact"/>
        <w:rPr>
          <w:sz w:val="20"/>
          <w:szCs w:val="20"/>
          <w:color w:val="auto"/>
        </w:rPr>
      </w:pPr>
    </w:p>
    <w:p>
      <w:pPr>
        <w:spacing w:after="0" w:line="277"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Significant Accounting Policies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Business, Consolidation and Presentation</w:t>
      </w:r>
    </w:p>
    <w:p>
      <w:pPr>
        <w:spacing w:after="0" w:line="152"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Priority Technology Holdings, Inc. and its consolidated subsidiaries are referred to herein collectively as "Priority Commerce," the "Company," "we," "our" or "us," unless the context requires otherwise. Priority Commerce delivers payments and banking solutions that power connected commerce. Through a unified platform of payables, merchant services, and banking and treasury, Priority Commerce helps businesses manage money more effectively and unlock growth. The Priority Commerce Engine accelerates cash flow, improves working capital, reduces costs, and creates new revenue opportunities.</w:t>
      </w:r>
    </w:p>
    <w:p>
      <w:pPr>
        <w:spacing w:after="0" w:line="119"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The Company operates on a calendar year ending each December 31 and reports quarterly results on four calendar quarters ending on March 31, June 30, September 30 and December 31 of each year. Results of operations reported for interim periods are not necessarily indicative of results for the entire year.</w:t>
      </w:r>
    </w:p>
    <w:p>
      <w:pPr>
        <w:spacing w:after="0" w:line="11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2025 was derived from the audited consolidated financial statements included in the Company's Annual Report on Form 10-K for the year ended December 31, 2025, but does not include all disclosures required by GAAP for annual consolidated financial statements.</w:t>
      </w:r>
    </w:p>
    <w:p>
      <w:pPr>
        <w:spacing w:after="0" w:line="122"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NCI represents the equity interest in certain consolidated entities in which the Company owns less than 100% of the profit interests. Changes in the Company's ownership interest while the Company retains its controlling interest are accounted for as equity transactions. As of September 30, 2026, there was no income attributable to NCI in accordance with the applicable operating agreements.</w:t>
      </w:r>
    </w:p>
    <w:p>
      <w:pPr>
        <w:spacing w:after="0" w:line="111" w:lineRule="exact"/>
        <w:rPr>
          <w:sz w:val="20"/>
          <w:szCs w:val="20"/>
          <w:color w:val="auto"/>
        </w:rPr>
      </w:pPr>
    </w:p>
    <w:p>
      <w:pPr>
        <w:ind w:left="8" w:right="60"/>
        <w:spacing w:after="0" w:line="265" w:lineRule="auto"/>
        <w:rPr>
          <w:sz w:val="20"/>
          <w:szCs w:val="20"/>
          <w:color w:val="auto"/>
        </w:rPr>
      </w:pPr>
      <w:r>
        <w:rPr>
          <w:rFonts w:ascii="Times New Roman" w:cs="Times New Roman" w:eastAsia="Times New Roman" w:hAnsi="Times New Roman"/>
          <w:sz w:val="12"/>
          <w:szCs w:val="12"/>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2025.</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Certain amounts from prior periods have been reclassified to conform to the current period’s presentation. The effect of these reclassifications on our Company’s previously reported consolidated financial statements was not material.</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Segment Renaming</w:t>
      </w:r>
    </w:p>
    <w:p>
      <w:pPr>
        <w:spacing w:after="0" w:line="152" w:lineRule="exact"/>
        <w:rPr>
          <w:sz w:val="20"/>
          <w:szCs w:val="20"/>
          <w:color w:val="auto"/>
        </w:rPr>
      </w:pPr>
    </w:p>
    <w:p>
      <w:pPr>
        <w:ind w:left="8" w:right="60"/>
        <w:spacing w:after="0" w:line="279" w:lineRule="auto"/>
        <w:rPr>
          <w:sz w:val="20"/>
          <w:szCs w:val="20"/>
          <w:color w:val="auto"/>
        </w:rPr>
      </w:pPr>
      <w:r>
        <w:rPr>
          <w:rFonts w:ascii="Times New Roman" w:cs="Times New Roman" w:eastAsia="Times New Roman" w:hAnsi="Times New Roman"/>
          <w:sz w:val="12"/>
          <w:szCs w:val="12"/>
          <w:color w:val="auto"/>
        </w:rPr>
        <w:t xml:space="preserve">During the year ended December 31, 2025, the Company renamed its segments to align with the services offered. SMB Payments was renamed to Merchant Solutions, B2B Payments was renamed to Payables and Enterprise Payments was renamed to Treasury Solutions. There was no other change to the segments, see further information at </w:t>
      </w:r>
      <w:r>
        <w:rPr>
          <w:rFonts w:ascii="Times New Roman" w:cs="Times New Roman" w:eastAsia="Times New Roman" w:hAnsi="Times New Roman"/>
          <w:sz w:val="12"/>
          <w:szCs w:val="12"/>
          <w:u w:val="single" w:color="auto"/>
          <w:color w:val="0000FF"/>
        </w:rPr>
        <w:t>Note 14. Segment Information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Use of Estimates</w:t>
      </w:r>
    </w:p>
    <w:p>
      <w:pPr>
        <w:spacing w:after="0" w:line="152" w:lineRule="exact"/>
        <w:rPr>
          <w:sz w:val="20"/>
          <w:szCs w:val="20"/>
          <w:color w:val="auto"/>
        </w:rPr>
      </w:pPr>
    </w:p>
    <w:p>
      <w:pPr>
        <w:ind w:left="8" w:right="60"/>
        <w:spacing w:after="0" w:line="327" w:lineRule="auto"/>
        <w:rPr>
          <w:sz w:val="20"/>
          <w:szCs w:val="20"/>
          <w:color w:val="auto"/>
        </w:rPr>
      </w:pPr>
      <w:r>
        <w:rPr>
          <w:rFonts w:ascii="Times New Roman" w:cs="Times New Roman" w:eastAsia="Times New Roman" w:hAnsi="Times New Roman"/>
          <w:sz w:val="11"/>
          <w:szCs w:val="11"/>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Foreign Currency</w:t>
      </w:r>
    </w:p>
    <w:p>
      <w:pPr>
        <w:spacing w:after="0" w:line="152" w:lineRule="exact"/>
        <w:rPr>
          <w:sz w:val="20"/>
          <w:szCs w:val="20"/>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The Company's reporting currency is the U.S. dollar. The functional currency of the Indian subsidiary of the Company is the Indian Rupee. The functional currency of the Canadian subsidiaries of the Company is the Canadian Dollar. Accordingly, assets and liabilities denominated in a foreign currency are translated into U.S. dollars at the current exchange rate on the last day of</w:t>
      </w:r>
    </w:p>
    <w:p>
      <w:pPr>
        <w:spacing w:after="0" w:line="200" w:lineRule="exact"/>
        <w:rPr>
          <w:sz w:val="20"/>
          <w:szCs w:val="20"/>
          <w:color w:val="auto"/>
        </w:rPr>
      </w:pPr>
    </w:p>
    <w:p>
      <w:pPr>
        <w:spacing w:after="0" w:line="37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color w:val="auto"/>
        </w:rPr>
        <w:t>the reporting period. Revenues and expenses are translated using the average exchange rate in effect during the reporting period. Translation adjustments are reported as a component of accumulated other comprehensive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Allowance for Expected Losses</w:t>
            </w: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88"/>
        </w:trPr>
        <w:tc>
          <w:tcPr>
            <w:tcW w:w="7020" w:type="dxa"/>
            <w:vAlign w:val="bottom"/>
          </w:tcPr>
          <w:p>
            <w:pPr>
              <w:spacing w:after="0"/>
              <w:rPr>
                <w:sz w:val="20"/>
                <w:szCs w:val="20"/>
                <w:color w:val="auto"/>
              </w:rPr>
            </w:pPr>
            <w:r>
              <w:rPr>
                <w:rFonts w:ascii="Times New Roman" w:cs="Times New Roman" w:eastAsia="Times New Roman" w:hAnsi="Times New Roman"/>
                <w:sz w:val="12"/>
                <w:szCs w:val="12"/>
                <w:color w:val="auto"/>
              </w:rPr>
              <w:t>A reconciliation of the beginning and ending amount of allowance for expected losses is as follows:</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40" w:type="dxa"/>
            <w:vAlign w:val="bottom"/>
          </w:tcPr>
          <w:p>
            <w:pPr>
              <w:spacing w:after="0"/>
              <w:rPr>
                <w:sz w:val="24"/>
                <w:szCs w:val="24"/>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Accounts receivable</w:t>
            </w:r>
          </w:p>
        </w:tc>
        <w:tc>
          <w:tcPr>
            <w:tcW w:w="32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Settlement assets</w:t>
            </w:r>
          </w:p>
        </w:tc>
      </w:tr>
      <w:tr>
        <w:trPr>
          <w:trHeight w:val="142"/>
        </w:trPr>
        <w:tc>
          <w:tcPr>
            <w:tcW w:w="70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top w:val="single" w:sz="8" w:color="auto"/>
            </w:tcBorders>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(6,297)</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720" w:type="dxa"/>
            <w:vAlign w:val="bottom"/>
            <w:tcBorders>
              <w:top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(7,069)</w:t>
            </w:r>
          </w:p>
        </w:tc>
      </w:tr>
      <w:tr>
        <w:trPr>
          <w:trHeight w:val="153"/>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Charge-offs (recoveries), net</w:t>
            </w:r>
          </w:p>
        </w:tc>
        <w:tc>
          <w:tcPr>
            <w:tcW w:w="340" w:type="dxa"/>
            <w:vAlign w:val="bottom"/>
          </w:tcPr>
          <w:p>
            <w:pPr>
              <w:spacing w:after="0"/>
              <w:rPr>
                <w:sz w:val="13"/>
                <w:szCs w:val="13"/>
                <w:color w:val="auto"/>
              </w:rPr>
            </w:pPr>
          </w:p>
        </w:tc>
        <w:tc>
          <w:tcPr>
            <w:tcW w:w="1820" w:type="dxa"/>
            <w:vAlign w:val="bottom"/>
          </w:tcPr>
          <w:p>
            <w:pPr>
              <w:jc w:val="center"/>
              <w:ind w:left="1420"/>
              <w:spacing w:after="0"/>
              <w:rPr>
                <w:sz w:val="20"/>
                <w:szCs w:val="20"/>
                <w:color w:val="auto"/>
              </w:rPr>
            </w:pPr>
            <w:r>
              <w:rPr>
                <w:rFonts w:ascii="Times New Roman" w:cs="Times New Roman" w:eastAsia="Times New Roman" w:hAnsi="Times New Roman"/>
                <w:sz w:val="12"/>
                <w:szCs w:val="12"/>
                <w:color w:val="auto"/>
                <w:w w:val="96"/>
              </w:rPr>
              <w:t>2,980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tcPr>
          <w:p>
            <w:pPr>
              <w:jc w:val="center"/>
              <w:ind w:left="1280"/>
              <w:spacing w:after="0"/>
              <w:rPr>
                <w:sz w:val="20"/>
                <w:szCs w:val="20"/>
                <w:color w:val="auto"/>
              </w:rPr>
            </w:pPr>
            <w:r>
              <w:rPr>
                <w:rFonts w:ascii="Times New Roman" w:cs="Times New Roman" w:eastAsia="Times New Roman" w:hAnsi="Times New Roman"/>
                <w:sz w:val="12"/>
                <w:szCs w:val="12"/>
                <w:color w:val="auto"/>
                <w:w w:val="96"/>
              </w:rPr>
              <w:t>8,087</w:t>
            </w:r>
          </w:p>
        </w:tc>
      </w:tr>
      <w:tr>
        <w:trPr>
          <w:trHeight w:val="153"/>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Provision</w:t>
            </w:r>
          </w:p>
        </w:tc>
        <w:tc>
          <w:tcPr>
            <w:tcW w:w="340" w:type="dxa"/>
            <w:vAlign w:val="bottom"/>
            <w:tcBorders>
              <w:bottom w:val="single" w:sz="8" w:color="auto"/>
            </w:tcBorders>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(1,388)</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center"/>
              <w:ind w:left="1260"/>
              <w:spacing w:after="0"/>
              <w:rPr>
                <w:sz w:val="20"/>
                <w:szCs w:val="20"/>
                <w:color w:val="auto"/>
              </w:rPr>
            </w:pPr>
            <w:r>
              <w:rPr>
                <w:rFonts w:ascii="Times New Roman" w:cs="Times New Roman" w:eastAsia="Times New Roman" w:hAnsi="Times New Roman"/>
                <w:sz w:val="12"/>
                <w:szCs w:val="12"/>
                <w:color w:val="auto"/>
              </w:rPr>
              <w:t>(6,826)</w:t>
            </w:r>
          </w:p>
        </w:tc>
      </w:tr>
      <w:tr>
        <w:trPr>
          <w:trHeight w:val="142"/>
        </w:trPr>
        <w:tc>
          <w:tcPr>
            <w:tcW w:w="70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820" w:type="dxa"/>
            <w:vAlign w:val="bottom"/>
            <w:tcBorders>
              <w:bottom w:val="single" w:sz="8" w:color="auto"/>
            </w:tcBorders>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rPr>
              <w:t>(4,705)</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20" w:type="dxa"/>
            <w:vAlign w:val="bottom"/>
            <w:tcBorders>
              <w:bottom w:val="single" w:sz="8" w:color="auto"/>
            </w:tcBorders>
          </w:tcPr>
          <w:p>
            <w:pPr>
              <w:jc w:val="center"/>
              <w:ind w:left="1260"/>
              <w:spacing w:after="0"/>
              <w:rPr>
                <w:sz w:val="20"/>
                <w:szCs w:val="20"/>
                <w:color w:val="auto"/>
              </w:rPr>
            </w:pPr>
            <w:r>
              <w:rPr>
                <w:rFonts w:ascii="Times New Roman" w:cs="Times New Roman" w:eastAsia="Times New Roman" w:hAnsi="Times New Roman"/>
                <w:sz w:val="12"/>
                <w:szCs w:val="12"/>
                <w:b w:val="1"/>
                <w:bCs w:val="1"/>
                <w:color w:val="auto"/>
              </w:rPr>
              <w:t>(5,808)</w:t>
            </w:r>
          </w:p>
        </w:tc>
      </w:tr>
      <w:tr>
        <w:trPr>
          <w:trHeight w:val="20"/>
        </w:trPr>
        <w:tc>
          <w:tcPr>
            <w:tcW w:w="7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elected not to measure expected losses for accrued interest on notes receivable but instead recognize losses for accrued interest within the period losses are determined to be uncollectible.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Adopted Accounting Standards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Measurement of Credit Losses for Accounts Receivable and Contract Assets ASU 2025-05</w:t>
      </w:r>
    </w:p>
    <w:p>
      <w:pPr>
        <w:spacing w:after="0" w:line="15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color w:val="auto"/>
        </w:rPr>
        <w:t xml:space="preserve">In July 2025, the FASB issued ASU 2025-05, </w:t>
      </w:r>
      <w:r>
        <w:rPr>
          <w:rFonts w:ascii="Times New Roman" w:cs="Times New Roman" w:eastAsia="Times New Roman" w:hAnsi="Times New Roman"/>
          <w:sz w:val="12"/>
          <w:szCs w:val="12"/>
          <w:i w:val="1"/>
          <w:iCs w:val="1"/>
          <w:color w:val="auto"/>
        </w:rPr>
        <w:t>Financial Instruments - Credit Losses (Topic 326)</w:t>
      </w:r>
      <w:r>
        <w:rPr>
          <w:rFonts w:ascii="Times New Roman" w:cs="Times New Roman" w:eastAsia="Times New Roman" w:hAnsi="Times New Roman"/>
          <w:sz w:val="12"/>
          <w:szCs w:val="12"/>
          <w:color w:val="auto"/>
        </w:rPr>
        <w:t xml:space="preserve"> ("ASU 2025-05") providing a practical expedient when estimating expected credit losses which assumes current conditions as of the balance sheet date do not change for the remaining life of the accounts receivable and contract asset. The ASU is effective for fiscal years beginning after December 15, 2025, and interim reporting periods within those annual reporting periods. Adoption of this standard did not have any material impact on results of operations, financial position, cash flows or disclosures.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Standards Pending Adoption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Disaggregation of Income Statement Expenses ASU 2024-03</w:t>
      </w:r>
    </w:p>
    <w:p>
      <w:pPr>
        <w:spacing w:after="0" w:line="15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2"/>
          <w:szCs w:val="12"/>
          <w:color w:val="auto"/>
        </w:rPr>
        <w:t xml:space="preserve">In November 2024, the FASB issued ASU 2024-03, </w:t>
      </w:r>
      <w:r>
        <w:rPr>
          <w:rFonts w:ascii="Times New Roman" w:cs="Times New Roman" w:eastAsia="Times New Roman" w:hAnsi="Times New Roman"/>
          <w:sz w:val="12"/>
          <w:szCs w:val="12"/>
          <w:i w:val="1"/>
          <w:iCs w:val="1"/>
          <w:color w:val="auto"/>
        </w:rPr>
        <w:t>Income Statement-Reporting Comprehensive Income-Expense Disaggregation Disclosures (Subtopic 220-40)</w:t>
      </w:r>
      <w:r>
        <w:rPr>
          <w:rFonts w:ascii="Times New Roman" w:cs="Times New Roman" w:eastAsia="Times New Roman" w:hAnsi="Times New Roman"/>
          <w:sz w:val="12"/>
          <w:szCs w:val="12"/>
          <w:color w:val="auto"/>
        </w:rPr>
        <w:t xml:space="preserve"> ("ASU 2024-03") requiring additional disaggregated disclosures in the notes to financial statements for certain categories of expenses that are included on the face of the income statement. The ASU is effective for fiscal years beginning after December 15, 2026 and interim periods within annual reporting periods beginning after December 15, 2027. Early adoption is permitted. The Company will adopt this guidance for the year ended December 31, 2027. This guidance is expected to only impact the disclosures with no impact on the results of operations, financial position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Accounting for Internal-Use Software ASU 2025-06</w:t>
      </w:r>
    </w:p>
    <w:p>
      <w:pPr>
        <w:spacing w:after="0" w:line="1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2"/>
          <w:szCs w:val="12"/>
          <w:color w:val="auto"/>
        </w:rPr>
        <w:t xml:space="preserve">In September 2025, the FASB issued ASU 2025-06, </w:t>
      </w:r>
      <w:r>
        <w:rPr>
          <w:rFonts w:ascii="Times New Roman" w:cs="Times New Roman" w:eastAsia="Times New Roman" w:hAnsi="Times New Roman"/>
          <w:sz w:val="12"/>
          <w:szCs w:val="12"/>
          <w:i w:val="1"/>
          <w:iCs w:val="1"/>
          <w:color w:val="auto"/>
        </w:rPr>
        <w:t>Intangibles-Goodwill and Other-Internal-Use Software (Subtopic 350-40)</w:t>
      </w:r>
      <w:r>
        <w:rPr>
          <w:rFonts w:ascii="Times New Roman" w:cs="Times New Roman" w:eastAsia="Times New Roman" w:hAnsi="Times New Roman"/>
          <w:sz w:val="12"/>
          <w:szCs w:val="12"/>
          <w:color w:val="auto"/>
        </w:rPr>
        <w:t xml:space="preserve"> ("ASU 2025-06") for targeted improvements to the accounting for internal-use software. The amendment updates guidance to consider different methods of software development, updating the requirements for capitalization of software costs. This ASU is effective for annual reporting periods beginning after December 15, 2027, and interim reporting periods within those annual reporting periods, with early adoption permitted. The Company is currently evaluating the impact this ASU will have on its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Interim Reporting ASU 2025-11</w:t>
      </w:r>
    </w:p>
    <w:p>
      <w:pPr>
        <w:spacing w:after="0" w:line="150"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12"/>
          <w:szCs w:val="12"/>
          <w:color w:val="auto"/>
        </w:rPr>
        <w:t xml:space="preserve">In December 2025, the FASB issued ASU 2025-11, </w:t>
      </w:r>
      <w:r>
        <w:rPr>
          <w:rFonts w:ascii="Times New Roman" w:cs="Times New Roman" w:eastAsia="Times New Roman" w:hAnsi="Times New Roman"/>
          <w:sz w:val="12"/>
          <w:szCs w:val="12"/>
          <w:i w:val="1"/>
          <w:iCs w:val="1"/>
          <w:color w:val="auto"/>
        </w:rPr>
        <w:t>Interim Reporting (Topic 270)</w:t>
      </w:r>
      <w:r>
        <w:rPr>
          <w:rFonts w:ascii="Times New Roman" w:cs="Times New Roman" w:eastAsia="Times New Roman" w:hAnsi="Times New Roman"/>
          <w:sz w:val="12"/>
          <w:szCs w:val="12"/>
          <w:color w:val="auto"/>
        </w:rPr>
        <w:t xml:space="preserve"> ("ASU 2025-11") provides clarity about the current requirements for a comprehensive list of interim disclosures and also requires the Company to disclose events since the end of the last annual reporting period which have a material impact on the Company. This ASU is effective for interim</w:t>
      </w:r>
    </w:p>
    <w:p>
      <w:pPr>
        <w:spacing w:after="0" w:line="200" w:lineRule="exact"/>
        <w:rPr>
          <w:sz w:val="20"/>
          <w:szCs w:val="20"/>
          <w:color w:val="auto"/>
        </w:rPr>
      </w:pPr>
    </w:p>
    <w:p>
      <w:pPr>
        <w:spacing w:after="0" w:line="37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1" w:name="page12"/>
    <w:bookmarkEnd w:id="11"/>
    <w:p>
      <w:pPr>
        <w:ind w:left="8" w:right="80"/>
        <w:spacing w:after="0" w:line="279" w:lineRule="auto"/>
        <w:rPr>
          <w:sz w:val="20"/>
          <w:szCs w:val="20"/>
          <w:color w:val="auto"/>
        </w:rPr>
      </w:pPr>
      <w:r>
        <w:rPr>
          <w:rFonts w:ascii="Times New Roman" w:cs="Times New Roman" w:eastAsia="Times New Roman" w:hAnsi="Times New Roman"/>
          <w:sz w:val="12"/>
          <w:szCs w:val="12"/>
          <w:color w:val="auto"/>
        </w:rPr>
        <w:t>reporting periods within annual reporting periods beginning after December 15, 2027 and early adoption is permitted. The Company is currently evaluating the impact this ASU will have on its interim consolidated financial statements and disclosures.</w:t>
      </w:r>
    </w:p>
    <w:p>
      <w:pPr>
        <w:spacing w:after="0" w:line="200" w:lineRule="exact"/>
        <w:rPr>
          <w:sz w:val="20"/>
          <w:szCs w:val="20"/>
          <w:color w:val="auto"/>
        </w:rPr>
      </w:pPr>
    </w:p>
    <w:p>
      <w:pPr>
        <w:spacing w:after="0" w:line="213" w:lineRule="exact"/>
        <w:rPr>
          <w:sz w:val="20"/>
          <w:szCs w:val="20"/>
          <w:color w:val="auto"/>
        </w:rPr>
      </w:pPr>
    </w:p>
    <w:p>
      <w:pPr>
        <w:ind w:left="8" w:right="10480" w:hanging="8"/>
        <w:spacing w:after="0" w:line="550" w:lineRule="auto"/>
        <w:tabs>
          <w:tab w:leader="none" w:pos="211" w:val="left"/>
        </w:tabs>
        <w:numPr>
          <w:ilvl w:val="0"/>
          <w:numId w:val="4"/>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Acquisitions IntelliPay</w:t>
      </w:r>
    </w:p>
    <w:p>
      <w:pPr>
        <w:ind w:left="8" w:right="180"/>
        <w:spacing w:after="0" w:line="257" w:lineRule="auto"/>
        <w:rPr>
          <w:sz w:val="20"/>
          <w:szCs w:val="20"/>
          <w:color w:val="auto"/>
        </w:rPr>
      </w:pPr>
      <w:r>
        <w:rPr>
          <w:rFonts w:ascii="Times New Roman" w:cs="Times New Roman" w:eastAsia="Times New Roman" w:hAnsi="Times New Roman"/>
          <w:sz w:val="12"/>
          <w:szCs w:val="12"/>
          <w:color w:val="auto"/>
        </w:rPr>
        <w:t xml:space="preserve">On August 25, 2026, Priority Commerce's wholly owned subsidiary, Priority Payments LLC, acquired 100% membership interest in Convenient Payments LLC ("IntelliPay"). IntelliPay is an all-in-one integrated payment processing platform supporting card-present and card-not-present transactions with solutions for markets including government, property management and others, supplementing the Company's services within the Merchant Solutions reportable segment.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xml:space="preserve"> The total purchase consideration was $15.6 million, consisting of $12.6 million in cash consideration funded by the Company's cash flows and contingent consideration of $3.0 million for a contractual earn-out. The earn-out will be paid as a percentage of gross profit. The purchase price allocation is considered preliminary pending finalization of customary adjustments from timing differences.</w:t>
      </w:r>
    </w:p>
    <w:p>
      <w:pPr>
        <w:spacing w:after="0" w:line="125" w:lineRule="exact"/>
        <w:rPr>
          <w:sz w:val="20"/>
          <w:szCs w:val="20"/>
          <w:color w:val="auto"/>
        </w:rPr>
      </w:pPr>
    </w:p>
    <w:p>
      <w:pPr>
        <w:ind w:left="8" w:right="140"/>
        <w:spacing w:after="0" w:line="279" w:lineRule="auto"/>
        <w:rPr>
          <w:sz w:val="20"/>
          <w:szCs w:val="20"/>
          <w:color w:val="auto"/>
        </w:rPr>
      </w:pPr>
      <w:r>
        <w:rPr>
          <w:rFonts w:ascii="Times New Roman" w:cs="Times New Roman" w:eastAsia="Times New Roman" w:hAnsi="Times New Roman"/>
          <w:sz w:val="12"/>
          <w:szCs w:val="12"/>
          <w:color w:val="auto"/>
        </w:rPr>
        <w:t>The earn-out was recorded at the fair value of $3.0 million on the acquisition date. The earn-outs will be paid quarterly subject to terms and conditions noted within the agreement over the two years and total payments will not exceed $3.5 million. As of September 30, 2026, $1.4 million is included in accounts payable and accrued expenses and $1.6 million is included in noncurrent liabilities on the Unaudited Consolidated Balance Sheets.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preliminary purchase price allocation is set forth in the table below:</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12,620</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(2)</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3,020</w:t>
            </w:r>
          </w:p>
        </w:tc>
      </w:tr>
      <w:tr>
        <w:trPr>
          <w:trHeight w:val="153"/>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(1,164)</w:t>
            </w:r>
          </w:p>
        </w:tc>
      </w:tr>
      <w:tr>
        <w:trPr>
          <w:trHeight w:val="158"/>
        </w:trPr>
        <w:tc>
          <w:tcPr>
            <w:tcW w:w="9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r>
              <w:rPr>
                <w:rFonts w:ascii="Times New Roman" w:cs="Times New Roman" w:eastAsia="Times New Roman" w:hAnsi="Times New Roman"/>
                <w:sz w:val="15"/>
                <w:szCs w:val="15"/>
                <w:b w:val="1"/>
                <w:bCs w:val="1"/>
                <w:color w:val="auto"/>
                <w:vertAlign w:val="superscript"/>
              </w:rPr>
              <w:t>(3)</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14,476</w:t>
            </w:r>
          </w:p>
        </w:tc>
      </w:tr>
      <w:tr>
        <w:trPr>
          <w:trHeight w:val="126"/>
        </w:trPr>
        <w:tc>
          <w:tcPr>
            <w:tcW w:w="9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8,793</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Referral partner relationships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1,369</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2,408</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2,106</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w:t>
            </w:r>
          </w:p>
        </w:tc>
      </w:tr>
      <w:tr>
        <w:trPr>
          <w:trHeight w:val="153"/>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w:t>
            </w:r>
          </w:p>
        </w:tc>
      </w:tr>
      <w:tr>
        <w:trPr>
          <w:trHeight w:val="15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14,476</w:t>
            </w:r>
          </w:p>
        </w:tc>
      </w:tr>
    </w:tbl>
    <w:p>
      <w:pPr>
        <w:spacing w:after="0" w:line="167" w:lineRule="exact"/>
        <w:rPr>
          <w:sz w:val="20"/>
          <w:szCs w:val="20"/>
          <w:color w:val="auto"/>
        </w:rPr>
      </w:pPr>
    </w:p>
    <w:p>
      <w:pPr>
        <w:ind w:left="428" w:hanging="212"/>
        <w:spacing w:after="0"/>
        <w:tabs>
          <w:tab w:leader="none" w:pos="428"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at closing.</w:t>
      </w:r>
    </w:p>
    <w:p>
      <w:pPr>
        <w:spacing w:after="0" w:line="61" w:lineRule="exact"/>
        <w:rPr>
          <w:rFonts w:ascii="Times New Roman" w:cs="Times New Roman" w:eastAsia="Times New Roman" w:hAnsi="Times New Roman"/>
          <w:sz w:val="16"/>
          <w:szCs w:val="16"/>
          <w:color w:val="auto"/>
          <w:vertAlign w:val="superscript"/>
        </w:rPr>
      </w:pPr>
    </w:p>
    <w:p>
      <w:pPr>
        <w:ind w:left="428" w:right="60" w:hanging="212"/>
        <w:spacing w:after="0" w:line="231" w:lineRule="auto"/>
        <w:tabs>
          <w:tab w:leader="none" w:pos="42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contingent consideration payments and were discounted to present value at a rate reflecting a risk associated with the payoffs. The fair value was estimated to be the average present value of the contingent consideration payments over all iterations of the simulation.</w:t>
      </w:r>
    </w:p>
    <w:p>
      <w:pPr>
        <w:spacing w:after="0" w:line="32" w:lineRule="exact"/>
        <w:rPr>
          <w:rFonts w:ascii="Times New Roman" w:cs="Times New Roman" w:eastAsia="Times New Roman" w:hAnsi="Times New Roman"/>
          <w:sz w:val="16"/>
          <w:szCs w:val="16"/>
          <w:color w:val="auto"/>
          <w:vertAlign w:val="superscript"/>
        </w:rPr>
      </w:pPr>
    </w:p>
    <w:p>
      <w:pPr>
        <w:ind w:left="428" w:hanging="212"/>
        <w:spacing w:after="0"/>
        <w:tabs>
          <w:tab w:leader="none" w:pos="428"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Does not include the contractual holdback amount.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12" w:name="page13"/>
    <w:bookmarkEnd w:id="12"/>
    <w:p>
      <w:pPr>
        <w:ind w:right="360"/>
        <w:spacing w:after="0" w:line="279" w:lineRule="auto"/>
        <w:rPr>
          <w:sz w:val="20"/>
          <w:szCs w:val="20"/>
          <w:color w:val="auto"/>
        </w:rPr>
      </w:pPr>
      <w:r>
        <w:rPr>
          <w:rFonts w:ascii="Times New Roman" w:cs="Times New Roman" w:eastAsia="Times New Roman" w:hAnsi="Times New Roman"/>
          <w:sz w:val="12"/>
          <w:szCs w:val="12"/>
          <w:color w:val="auto"/>
        </w:rPr>
        <w:t>Goodwill of $8.8 million arising from the acquisition primarily consists of the expected synergies and other benefits from combining operations. The goodwill was 100% allocated to the Company's Merchant Solutions reportable segment and is expected to be deductible for income tax purposes.</w:t>
      </w:r>
    </w:p>
    <w:p>
      <w:pPr>
        <w:spacing w:after="0" w:line="11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Company incurred $0.6 million in acquisition related costs which primarily consisted of consulting and legal expenses. These expenses were recorded in selling, general and administrative expenses in the Company's Unaudited Consolidated Statements of Operations and Comprehensive Income. Based on the purchase consideration and pre-acquisition operating results, this business combination did not meet the materiality requirements for pro forma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Results for IntelliPay since the acquisitions are included within the Merchant Solutions segment, which includes $1.5 million in revenue and net income of $0.0 million for the three and nine months ended September 30,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Acquisitions that occurred in prior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Payslate</w:t>
      </w:r>
    </w:p>
    <w:p>
      <w:pPr>
        <w:spacing w:after="0" w:line="15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 xml:space="preserve">On January 21, 2025, Priority Commerce’s wholly owned subsidiary, Priority Canada Acquisition Company, Inc., acquired 100% of the equity interest in Payslate Inc. (Canada), and its subsidiary Rentmoola Payment Solutions Ltd (United Kingdom) (jointly referred as "Letus business"). The Letus business is engaged in processing of rent payments for property management companies in the United States and Canada. The acquisition offers synergy opportunities to the Company's Treasury Solutions rent payment business and expand Priority Commerce's services in Canada.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Combinations</w:t>
      </w:r>
      <w:r>
        <w:rPr>
          <w:rFonts w:ascii="Times New Roman" w:cs="Times New Roman" w:eastAsia="Times New Roman" w:hAnsi="Times New Roman"/>
          <w:sz w:val="12"/>
          <w:szCs w:val="12"/>
          <w:color w:val="auto"/>
        </w:rPr>
        <w:t>. The total purchase consideration was $8.8 million, consisting of $4.4 million in cash consideration funded by the Company’s cash flows, deferred consideration of $4.3 million and contingent consideration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$0.1 million.</w:t>
      </w:r>
    </w:p>
    <w:p>
      <w:pPr>
        <w:spacing w:after="0" w:line="125"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The deferred consideration of $4.3 million was recorded at the fair value on the acquisition date. The deferred consideration is paid monthly equal to 40% of gross profit under the agreement and total payments will not exceed $6.5 million. Any amount remaining but unpaid will be paid in full by January 21, 2030. The Company continues to accrete interest expense on the deferred consideration throughout the period.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final purchase price allocation is set forth in the table below:</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Cash</w:t>
            </w:r>
            <w:r>
              <w:rPr>
                <w:rFonts w:ascii="Times New Roman" w:cs="Times New Roman" w:eastAsia="Times New Roman" w:hAnsi="Times New Roman"/>
                <w:sz w:val="15"/>
                <w:szCs w:val="15"/>
                <w:color w:val="auto"/>
                <w:vertAlign w:val="superscript"/>
              </w:rPr>
              <w:t>(1)</w:t>
            </w:r>
          </w:p>
        </w:tc>
        <w:tc>
          <w:tcPr>
            <w:tcW w:w="980" w:type="dxa"/>
            <w:vAlign w:val="bottom"/>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4,627</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Deferred consideration </w:t>
            </w:r>
            <w:r>
              <w:rPr>
                <w:rFonts w:ascii="Times New Roman" w:cs="Times New Roman" w:eastAsia="Times New Roman" w:hAnsi="Times New Roman"/>
                <w:sz w:val="15"/>
                <w:szCs w:val="15"/>
                <w:color w:val="auto"/>
                <w:vertAlign w:val="superscript"/>
              </w:rPr>
              <w:t>(2)</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4,282</w:t>
            </w:r>
          </w:p>
        </w:tc>
        <w:tc>
          <w:tcPr>
            <w:tcW w:w="0" w:type="dxa"/>
            <w:vAlign w:val="bottom"/>
          </w:tcPr>
          <w:p>
            <w:pPr>
              <w:spacing w:after="0"/>
              <w:rPr>
                <w:sz w:val="1"/>
                <w:szCs w:val="1"/>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(3)</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c>
          <w:tcPr>
            <w:tcW w:w="0" w:type="dxa"/>
            <w:vAlign w:val="bottom"/>
          </w:tcPr>
          <w:p>
            <w:pPr>
              <w:spacing w:after="0"/>
              <w:rPr>
                <w:sz w:val="1"/>
                <w:szCs w:val="1"/>
                <w:color w:val="auto"/>
              </w:rPr>
            </w:pPr>
          </w:p>
        </w:tc>
      </w:tr>
      <w:tr>
        <w:trPr>
          <w:trHeight w:val="126"/>
        </w:trPr>
        <w:tc>
          <w:tcPr>
            <w:tcW w:w="9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2"/>
                <w:szCs w:val="12"/>
                <w:b w:val="1"/>
                <w:bCs w:val="1"/>
                <w:color w:val="auto"/>
              </w:rPr>
              <w:t>:</w:t>
            </w:r>
          </w:p>
        </w:tc>
        <w:tc>
          <w:tcPr>
            <w:tcW w:w="9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8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Prepaid expenses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6,070</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1,555</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w:t>
            </w:r>
          </w:p>
        </w:tc>
        <w:tc>
          <w:tcPr>
            <w:tcW w:w="0" w:type="dxa"/>
            <w:vAlign w:val="bottom"/>
          </w:tcPr>
          <w:p>
            <w:pPr>
              <w:spacing w:after="0"/>
              <w:rPr>
                <w:sz w:val="1"/>
                <w:szCs w:val="1"/>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0" w:type="dxa"/>
            <w:vAlign w:val="bottom"/>
          </w:tcPr>
          <w:p>
            <w:pPr>
              <w:spacing w:after="0"/>
              <w:rPr>
                <w:sz w:val="1"/>
                <w:szCs w:val="1"/>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0" w:type="dxa"/>
            <w:vAlign w:val="bottom"/>
          </w:tcPr>
          <w:p>
            <w:pPr>
              <w:spacing w:after="0"/>
              <w:rPr>
                <w:sz w:val="1"/>
                <w:szCs w:val="1"/>
                <w:color w:val="auto"/>
              </w:rPr>
            </w:pP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8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8,838</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3020"/>
              <w:spacing w:after="0"/>
              <w:rPr>
                <w:sz w:val="20"/>
                <w:szCs w:val="20"/>
                <w:color w:val="auto"/>
              </w:rPr>
            </w:pPr>
            <w:r>
              <w:rPr>
                <w:rFonts w:ascii="Times New Roman" w:cs="Times New Roman" w:eastAsia="Times New Roman" w:hAnsi="Times New Roman"/>
                <w:sz w:val="12"/>
                <w:szCs w:val="12"/>
                <w:color w:val="auto"/>
              </w:rPr>
              <w:t>10</w:t>
            </w: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5"/>
        </w:trPr>
        <w:tc>
          <w:tcPr>
            <w:tcW w:w="91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3" w:name="page14"/>
    <w:bookmarkEnd w:id="13"/>
    <w:p>
      <w:pPr>
        <w:ind w:left="420" w:hanging="212"/>
        <w:spacing w:after="0"/>
        <w:tabs>
          <w:tab w:leader="none" w:pos="42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at closing net of adjustments from estimated net working capital to actual working capital.</w:t>
      </w:r>
    </w:p>
    <w:p>
      <w:pPr>
        <w:spacing w:after="0" w:line="45" w:lineRule="exact"/>
        <w:rPr>
          <w:rFonts w:ascii="Times New Roman" w:cs="Times New Roman" w:eastAsia="Times New Roman" w:hAnsi="Times New Roman"/>
          <w:sz w:val="16"/>
          <w:szCs w:val="16"/>
          <w:color w:val="auto"/>
          <w:vertAlign w:val="superscript"/>
        </w:rPr>
      </w:pPr>
    </w:p>
    <w:p>
      <w:pPr>
        <w:jc w:val="both"/>
        <w:ind w:left="420" w:right="40" w:hanging="212"/>
        <w:spacing w:after="0" w:line="201" w:lineRule="auto"/>
        <w:tabs>
          <w:tab w:leader="none" w:pos="412"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deferred consideration was determined utilizing a Monte Carlo simulation. The payments were calculated based on the path for the simulated metrics and the contractual terms of the deferred consideration payments and were discounted to present value at a rate reflecting a risk associated with the payoffs. The fair value was estimated to be the average present value of the deferred consideration payments over all iterations of the simulation.</w:t>
      </w:r>
    </w:p>
    <w:p>
      <w:pPr>
        <w:spacing w:after="0" w:line="6" w:lineRule="exact"/>
        <w:rPr>
          <w:rFonts w:ascii="Times New Roman" w:cs="Times New Roman" w:eastAsia="Times New Roman" w:hAnsi="Times New Roman"/>
          <w:sz w:val="16"/>
          <w:szCs w:val="16"/>
          <w:color w:val="auto"/>
          <w:vertAlign w:val="superscript"/>
        </w:rPr>
      </w:pPr>
    </w:p>
    <w:p>
      <w:pPr>
        <w:ind w:left="420" w:hanging="212"/>
        <w:spacing w:after="0"/>
        <w:tabs>
          <w:tab w:leader="none" w:pos="42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contingent consideration represents the fair value of the share of net operating loss carryforwards owed to the seller in the future.</w:t>
      </w:r>
    </w:p>
    <w:p>
      <w:pPr>
        <w:spacing w:after="0" w:line="54" w:lineRule="exact"/>
        <w:rPr>
          <w:rFonts w:ascii="Times New Roman" w:cs="Times New Roman" w:eastAsia="Times New Roman" w:hAnsi="Times New Roman"/>
          <w:sz w:val="16"/>
          <w:szCs w:val="16"/>
          <w:color w:val="auto"/>
          <w:vertAlign w:val="superscript"/>
        </w:rPr>
      </w:pPr>
    </w:p>
    <w:p>
      <w:pPr>
        <w:ind w:left="420" w:hanging="212"/>
        <w:spacing w:after="0" w:line="187" w:lineRule="auto"/>
        <w:tabs>
          <w:tab w:leader="none" w:pos="42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deferred tax asset of $3.8 million which has a full valuation allowance.</w:t>
      </w:r>
    </w:p>
    <w:p>
      <w:pPr>
        <w:spacing w:after="0" w:line="46"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2"/>
          <w:szCs w:val="12"/>
          <w:color w:val="auto"/>
        </w:rPr>
        <w:t>Goodwill of $6.1 million arising from the acquisition primarily consists of the expected synergies and other benefits from combining operations. There was no goodwill deductible for income tax purposes. The goodwill was 100% allocated to the Company's Treasury Solutions reportable segment.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Sila</w:t>
      </w:r>
    </w:p>
    <w:p>
      <w:pPr>
        <w:spacing w:after="0" w:line="1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2"/>
          <w:szCs w:val="12"/>
          <w:color w:val="auto"/>
        </w:rPr>
        <w:t xml:space="preserve">On August 26, 2025, Priority Commerce's wholly owned subsidiary, Priority Tech Ventures, LLC, through its merger subsidiary, acquired total outstanding shares including all voting interests in Sila Inc. (the "Sila business" or "Sila"). Sila is a payment platform that enables ACH transfers, instant settlement, digital wallets and built-in compliance through a simple application programming interface. Technology acquired in this transaction supplements Priority Commerce's Treasury Solutions reportable segment.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$7.2 million, consisting of $3.4 million in cash consideration funded by the Company's cash flows, and contingent consideration of $3.9 million for contractual earn-outs and additional contingent consideration. Earn-outs will be paid as a percentage of gross profit when certain thresholds are met and additional contingent considerations will be paid based on utilization of the seller's carryforward tax losses.</w:t>
      </w:r>
    </w:p>
    <w:p>
      <w:pPr>
        <w:spacing w:after="0" w:line="122"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2"/>
          <w:szCs w:val="12"/>
          <w:color w:val="auto"/>
        </w:rPr>
        <w:t>The contingent consideration for the contractual earn-outs was recorded at the fair value of $3.9 million on the acquisition date. The contingent consideration will be paid quarterly subject to terms and conditions noted within the agreement over a period of</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991"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seven years and total payments will not exceed $17.0 million.</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88"/>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final purchase price allocation is set forth in the table below:</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7"/>
                <w:szCs w:val="17"/>
                <w:color w:val="auto"/>
                <w:vertAlign w:val="subscript"/>
              </w:rPr>
              <w:t>Cash</w:t>
            </w:r>
            <w:r>
              <w:rPr>
                <w:rFonts w:ascii="Times New Roman" w:cs="Times New Roman" w:eastAsia="Times New Roman" w:hAnsi="Times New Roman"/>
                <w:sz w:val="7"/>
                <w:szCs w:val="7"/>
                <w:color w:val="auto"/>
              </w:rPr>
              <w:t>(1)(4)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3,449</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 xml:space="preserve">Contingent consideration </w:t>
            </w:r>
            <w:r>
              <w:rPr>
                <w:rFonts w:ascii="Times New Roman" w:cs="Times New Roman" w:eastAsia="Times New Roman" w:hAnsi="Times New Roman"/>
                <w:sz w:val="15"/>
                <w:szCs w:val="15"/>
                <w:color w:val="auto"/>
                <w:vertAlign w:val="superscript"/>
              </w:rPr>
              <w:t>(2)(4)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r>
      <w:tr>
        <w:trPr>
          <w:trHeight w:val="153"/>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cash acquired</w:t>
            </w: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58"/>
        </w:trPr>
        <w:tc>
          <w:tcPr>
            <w:tcW w:w="9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7,230</w:t>
            </w:r>
          </w:p>
        </w:tc>
      </w:tr>
      <w:tr>
        <w:trPr>
          <w:trHeight w:val="126"/>
        </w:trPr>
        <w:tc>
          <w:tcPr>
            <w:tcW w:w="9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Accounts receivable</w:t>
            </w:r>
            <w:r>
              <w:rPr>
                <w:rFonts w:ascii="Times New Roman" w:cs="Times New Roman" w:eastAsia="Times New Roman" w:hAnsi="Times New Roman"/>
                <w:sz w:val="15"/>
                <w:szCs w:val="15"/>
                <w:color w:val="auto"/>
                <w:vertAlign w:val="superscript"/>
              </w:rPr>
              <w:t>(4)</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Prepaid expenses</w:t>
            </w:r>
            <w:r>
              <w:rPr>
                <w:rFonts w:ascii="Times New Roman" w:cs="Times New Roman" w:eastAsia="Times New Roman" w:hAnsi="Times New Roman"/>
                <w:sz w:val="15"/>
                <w:szCs w:val="15"/>
                <w:color w:val="auto"/>
                <w:vertAlign w:val="superscript"/>
              </w:rPr>
              <w:t>(4)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Other noncurrent assets</w:t>
            </w:r>
            <w:r>
              <w:rPr>
                <w:rFonts w:ascii="Times New Roman" w:cs="Times New Roman" w:eastAsia="Times New Roman" w:hAnsi="Times New Roman"/>
                <w:sz w:val="15"/>
                <w:szCs w:val="15"/>
                <w:color w:val="auto"/>
                <w:vertAlign w:val="superscript"/>
              </w:rPr>
              <w:t>(3)(4)(5)</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9,143</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Trademarks</w:t>
            </w:r>
            <w:r>
              <w:rPr>
                <w:rFonts w:ascii="Times New Roman" w:cs="Times New Roman" w:eastAsia="Times New Roman" w:hAnsi="Times New Roman"/>
                <w:sz w:val="15"/>
                <w:szCs w:val="15"/>
                <w:color w:val="auto"/>
                <w:vertAlign w:val="superscript"/>
              </w:rPr>
              <w:t>(4)</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w:t>
            </w:r>
          </w:p>
        </w:tc>
      </w:tr>
      <w:tr>
        <w:trPr>
          <w:trHeight w:val="153"/>
        </w:trPr>
        <w:tc>
          <w:tcPr>
            <w:tcW w:w="91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Technology</w:t>
            </w:r>
            <w:r>
              <w:rPr>
                <w:rFonts w:ascii="Times New Roman" w:cs="Times New Roman" w:eastAsia="Times New Roman" w:hAnsi="Times New Roman"/>
                <w:sz w:val="15"/>
                <w:szCs w:val="15"/>
                <w:color w:val="auto"/>
                <w:vertAlign w:val="superscript"/>
              </w:rPr>
              <w:t>(4)</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Accounts payable and accrued expenses</w:t>
            </w:r>
            <w:r>
              <w:rPr>
                <w:rFonts w:ascii="Times New Roman" w:cs="Times New Roman" w:eastAsia="Times New Roman" w:hAnsi="Times New Roman"/>
                <w:sz w:val="15"/>
                <w:szCs w:val="15"/>
                <w:color w:val="auto"/>
                <w:vertAlign w:val="superscript"/>
              </w:rPr>
              <w:t>(4)</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(386)</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deposits</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8"/>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Fair value of net assets acquired</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10,840</w:t>
            </w:r>
          </w:p>
        </w:tc>
      </w:tr>
      <w:tr>
        <w:trPr>
          <w:trHeight w:val="126"/>
        </w:trPr>
        <w:tc>
          <w:tcPr>
            <w:tcW w:w="91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r>
      <w:tr>
        <w:trPr>
          <w:trHeight w:val="142"/>
        </w:trPr>
        <w:tc>
          <w:tcPr>
            <w:tcW w:w="9100" w:type="dxa"/>
            <w:vAlign w:val="bottom"/>
          </w:tcPr>
          <w:p>
            <w:pPr>
              <w:spacing w:after="0" w:line="142" w:lineRule="exact"/>
              <w:rPr>
                <w:sz w:val="20"/>
                <w:szCs w:val="20"/>
                <w:color w:val="auto"/>
              </w:rPr>
            </w:pPr>
            <w:r>
              <w:rPr>
                <w:rFonts w:ascii="Times New Roman" w:cs="Times New Roman" w:eastAsia="Times New Roman" w:hAnsi="Times New Roman"/>
                <w:sz w:val="12"/>
                <w:szCs w:val="12"/>
                <w:b w:val="1"/>
                <w:bCs w:val="1"/>
                <w:color w:val="auto"/>
              </w:rPr>
              <w:t>Estimated bargain purchase gain</w:t>
            </w:r>
            <w:r>
              <w:rPr>
                <w:rFonts w:ascii="Times New Roman" w:cs="Times New Roman" w:eastAsia="Times New Roman" w:hAnsi="Times New Roman"/>
                <w:sz w:val="15"/>
                <w:szCs w:val="15"/>
                <w:b w:val="1"/>
                <w:bCs w:val="1"/>
                <w:color w:val="auto"/>
                <w:vertAlign w:val="superscript"/>
              </w:rPr>
              <w:t>(4)(5)</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3,610</w:t>
            </w: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Cash at closing net of adjustments from estimated net working capital and closing cash.</w:t>
      </w:r>
    </w:p>
    <w:p>
      <w:pPr>
        <w:spacing w:after="0" w:line="45" w:lineRule="exact"/>
        <w:rPr>
          <w:rFonts w:ascii="Times New Roman" w:cs="Times New Roman" w:eastAsia="Times New Roman" w:hAnsi="Times New Roman"/>
          <w:sz w:val="16"/>
          <w:szCs w:val="16"/>
          <w:color w:val="auto"/>
          <w:vertAlign w:val="superscript"/>
        </w:rPr>
      </w:pPr>
    </w:p>
    <w:p>
      <w:pPr>
        <w:ind w:left="420" w:right="60" w:hanging="212"/>
        <w:spacing w:after="0" w:line="201" w:lineRule="auto"/>
        <w:tabs>
          <w:tab w:leader="none" w:pos="412"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contingent consideration payments and were discounted to present value at a rate reflecting a risk associated with the payoffs. The fair value was estimated to be the average present value of the contingent consideration payments over all iterations of the simulation. The contingent consideration represents the fair value of the contractual earn-outs and the share of net operating loss carryforwards owed to the seller in the future.</w:t>
      </w:r>
    </w:p>
    <w:p>
      <w:pPr>
        <w:spacing w:after="0" w:line="6" w:lineRule="exact"/>
        <w:rPr>
          <w:rFonts w:ascii="Times New Roman" w:cs="Times New Roman" w:eastAsia="Times New Roman" w:hAnsi="Times New Roman"/>
          <w:sz w:val="16"/>
          <w:szCs w:val="16"/>
          <w:color w:val="auto"/>
          <w:vertAlign w:val="superscript"/>
        </w:rPr>
      </w:pPr>
    </w:p>
    <w:p>
      <w:pPr>
        <w:ind w:left="420" w:hanging="212"/>
        <w:spacing w:after="0"/>
        <w:tabs>
          <w:tab w:leader="none" w:pos="420" w:val="left"/>
        </w:tabs>
        <w:numPr>
          <w:ilvl w:val="0"/>
          <w:numId w:val="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a deferred tax asset of $9.1 million.</w:t>
      </w:r>
    </w:p>
    <w:p>
      <w:pPr>
        <w:spacing w:after="0" w:line="5" w:lineRule="exact"/>
        <w:rPr>
          <w:sz w:val="20"/>
          <w:szCs w:val="20"/>
          <w:color w:val="auto"/>
        </w:rPr>
      </w:pPr>
    </w:p>
    <w:p>
      <w:pPr>
        <w:ind w:left="200"/>
        <w:spacing w:after="0"/>
        <w:tabs>
          <w:tab w:leader="none" w:pos="400" w:val="left"/>
          <w:tab w:leader="none" w:pos="5780" w:val="left"/>
        </w:tabs>
        <w:rPr>
          <w:sz w:val="20"/>
          <w:szCs w:val="20"/>
          <w:color w:val="auto"/>
        </w:rPr>
      </w:pPr>
      <w:r>
        <w:rPr>
          <w:rFonts w:ascii="Times New Roman" w:cs="Times New Roman" w:eastAsia="Times New Roman" w:hAnsi="Times New Roman"/>
          <w:sz w:val="16"/>
          <w:szCs w:val="16"/>
          <w:color w:val="auto"/>
          <w:vertAlign w:val="superscript"/>
        </w:rPr>
        <w:t>(4)</w:t>
      </w:r>
      <w:r>
        <w:rPr>
          <w:sz w:val="20"/>
          <w:szCs w:val="20"/>
          <w:color w:val="auto"/>
        </w:rPr>
        <w:tab/>
      </w:r>
      <w:r>
        <w:rPr>
          <w:rFonts w:ascii="Times New Roman" w:cs="Times New Roman" w:eastAsia="Times New Roman" w:hAnsi="Times New Roman"/>
          <w:sz w:val="12"/>
          <w:szCs w:val="12"/>
          <w:color w:val="auto"/>
        </w:rPr>
        <w:t>During the fourth quarter of 2025, the Company recorded measurement period adjustments due to additional</w:t>
      </w:r>
      <w:r>
        <w:rPr>
          <w:sz w:val="20"/>
          <w:szCs w:val="20"/>
          <w:color w:val="auto"/>
        </w:rPr>
        <w:tab/>
      </w:r>
      <w:r>
        <w:rPr>
          <w:rFonts w:ascii="Times New Roman" w:cs="Times New Roman" w:eastAsia="Times New Roman" w:hAnsi="Times New Roman"/>
          <w:sz w:val="11"/>
          <w:szCs w:val="11"/>
          <w:color w:val="auto"/>
        </w:rPr>
        <w:t>information received that existed on the acquisition date.</w:t>
      </w:r>
    </w:p>
    <w:p>
      <w:pPr>
        <w:spacing w:after="0" w:line="86"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During the third quarter of 2026, the Company recorded a measurement period adjustment due to additional information received that existed on the acquisition date.</w:t>
      </w:r>
    </w:p>
    <w:p>
      <w:pPr>
        <w:spacing w:after="0" w:line="115"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2"/>
          <w:szCs w:val="12"/>
          <w:color w:val="auto"/>
        </w:rPr>
        <w:t>The fair value of acquired assets and assumed liabilities exceeded the consideration paid, resulting in a bargain purchase gain. The Company reviewed its acquisition accounting methods, confirmed all assets and liabilities were properly identified, and ensured measurements reflected all consideration as of the closing date. The gain was primarily due to recognizing a deferred tax asset recorded in accordance with ASC 740 related to Sila's historical net operating losses. The bargain purchase gain is recorded in other income, net, in the Unaudited Consolidated Statements of Operations and Comprehensive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DMS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doing business as Priority Commerce Automotive</w:t>
      </w:r>
      <w:r>
        <w:rPr>
          <w:rFonts w:ascii="Times New Roman" w:cs="Times New Roman" w:eastAsia="Times New Roman" w:hAnsi="Times New Roman"/>
          <w:sz w:val="12"/>
          <w:szCs w:val="12"/>
          <w:color w:val="auto"/>
        </w:rPr>
        <w:t>)</w:t>
      </w:r>
    </w:p>
    <w:p>
      <w:pPr>
        <w:spacing w:after="0" w:line="14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 xml:space="preserve">On October 1, 2025, Priority Commerce's subsidiary, Priority DMS, LLC, entered into the asset purchase and contribution agreement with DMSJV, LLC ("DMS"), to acquire substantially all of the assets of DMS. DMS provides credit card processing solutions to automotive dealerships via marketing and selling card and ACH processing services and ancillary services including POS systems, payment gateways, payment processing and authorization, clearing, and settlement for credit card, debit and ACH transactions, which supplements the Company's services within the Merchant Solutions reportable segment. The acquisition was accounted for under the acquisition method of accounting in accordance with ASC 805, </w:t>
      </w:r>
      <w:r>
        <w:rPr>
          <w:rFonts w:ascii="Times New Roman" w:cs="Times New Roman" w:eastAsia="Times New Roman" w:hAnsi="Times New Roman"/>
          <w:sz w:val="12"/>
          <w:szCs w:val="12"/>
          <w:i w:val="1"/>
          <w:iCs w:val="1"/>
          <w:color w:val="auto"/>
        </w:rPr>
        <w:t>Business Combinations</w:t>
      </w:r>
      <w:r>
        <w:rPr>
          <w:rFonts w:ascii="Times New Roman" w:cs="Times New Roman" w:eastAsia="Times New Roman" w:hAnsi="Times New Roman"/>
          <w:sz w:val="12"/>
          <w:szCs w:val="12"/>
          <w:color w:val="auto"/>
        </w:rPr>
        <w:t>. The total purchase consideration was $57.9 million, consisting of $31.5 million in cash consideration funded by</w:t>
      </w:r>
    </w:p>
    <w:p>
      <w:pPr>
        <w:spacing w:after="0" w:line="200" w:lineRule="exact"/>
        <w:rPr>
          <w:sz w:val="20"/>
          <w:szCs w:val="20"/>
          <w:color w:val="auto"/>
        </w:rPr>
      </w:pPr>
    </w:p>
    <w:p>
      <w:pPr>
        <w:spacing w:after="0" w:line="39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5" w:name="page16"/>
    <w:bookmarkEnd w:id="15"/>
    <w:p>
      <w:pPr>
        <w:ind w:right="40"/>
        <w:spacing w:after="0" w:line="279" w:lineRule="auto"/>
        <w:rPr>
          <w:sz w:val="20"/>
          <w:szCs w:val="20"/>
          <w:color w:val="auto"/>
        </w:rPr>
      </w:pPr>
      <w:r>
        <w:rPr>
          <w:rFonts w:ascii="Times New Roman" w:cs="Times New Roman" w:eastAsia="Times New Roman" w:hAnsi="Times New Roman"/>
          <w:sz w:val="12"/>
          <w:szCs w:val="12"/>
          <w:color w:val="auto"/>
        </w:rPr>
        <w:t>the Company's term loan facility, deferred consideration of $2.8 million, contingent consideration of $17.1 million for contractual earn-outs and $6.6 million in non-voting subsidiary shares issued to the sellers. Earn-outs will be paid as a percentage of gross profit when certain thresholds are met.</w:t>
      </w:r>
    </w:p>
    <w:p>
      <w:pPr>
        <w:spacing w:after="0" w:line="11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contingent consideration for the contractual earn-outs was recorded at the fair value of $17.1 million on the acquisition date. The contingent consideration will be paid when an initial cumulative threshold for gross profit is met, subject to terms and conditions noted within the agreement, over a period of at least four years and total payments will not exceed $22.5 million. The Company continues to accrete interest expense on the deferred consideration throughout the period.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The final purchase price allocation is set forth in the table below:</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9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Cash</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31,500</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Contingent consideration</w:t>
            </w:r>
            <w:r>
              <w:rPr>
                <w:rFonts w:ascii="Times New Roman" w:cs="Times New Roman" w:eastAsia="Times New Roman" w:hAnsi="Times New Roman"/>
                <w:sz w:val="15"/>
                <w:szCs w:val="15"/>
                <w:color w:val="auto"/>
                <w:vertAlign w:val="superscript"/>
              </w:rPr>
              <w:t>(2)</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17,066</w:t>
            </w:r>
          </w:p>
        </w:tc>
      </w:tr>
      <w:tr>
        <w:trPr>
          <w:trHeight w:val="153"/>
        </w:trPr>
        <w:tc>
          <w:tcPr>
            <w:tcW w:w="9100" w:type="dxa"/>
            <w:vAlign w:val="bottom"/>
          </w:tcPr>
          <w:p>
            <w:pPr>
              <w:spacing w:after="0" w:line="153" w:lineRule="exact"/>
              <w:rPr>
                <w:sz w:val="20"/>
                <w:szCs w:val="20"/>
                <w:color w:val="auto"/>
              </w:rPr>
            </w:pPr>
            <w:r>
              <w:rPr>
                <w:rFonts w:ascii="Times New Roman" w:cs="Times New Roman" w:eastAsia="Times New Roman" w:hAnsi="Times New Roman"/>
                <w:sz w:val="12"/>
                <w:szCs w:val="12"/>
                <w:color w:val="auto"/>
              </w:rPr>
              <w:t>Common equity of the Acquiring Entity</w:t>
            </w:r>
            <w:r>
              <w:rPr>
                <w:rFonts w:ascii="Times New Roman" w:cs="Times New Roman" w:eastAsia="Times New Roman" w:hAnsi="Times New Roman"/>
                <w:sz w:val="15"/>
                <w:szCs w:val="15"/>
                <w:color w:val="auto"/>
                <w:vertAlign w:val="superscript"/>
              </w:rPr>
              <w:t>(3)</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6,562</w:t>
            </w:r>
          </w:p>
        </w:tc>
      </w:tr>
      <w:tr>
        <w:trPr>
          <w:trHeight w:val="153"/>
        </w:trPr>
        <w:tc>
          <w:tcPr>
            <w:tcW w:w="910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Deferred consideration</w:t>
            </w:r>
            <w:r>
              <w:rPr>
                <w:rFonts w:ascii="Times New Roman" w:cs="Times New Roman" w:eastAsia="Times New Roman" w:hAnsi="Times New Roman"/>
                <w:sz w:val="15"/>
                <w:szCs w:val="15"/>
                <w:color w:val="auto"/>
                <w:vertAlign w:val="superscript"/>
              </w:rPr>
              <w:t>(1)</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2,801</w:t>
            </w:r>
          </w:p>
        </w:tc>
      </w:tr>
      <w:tr>
        <w:trPr>
          <w:trHeight w:val="142"/>
        </w:trPr>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 net of cash acquired</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57,929</w:t>
            </w:r>
          </w:p>
        </w:tc>
      </w:tr>
      <w:tr>
        <w:trPr>
          <w:trHeight w:val="160"/>
        </w:trPr>
        <w:tc>
          <w:tcPr>
            <w:tcW w:w="9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Recognized amounts of assets acquired and liabilities assumed:</w:t>
            </w: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Inventory</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3"/>
        </w:trPr>
        <w:tc>
          <w:tcPr>
            <w:tcW w:w="91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34,159</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17,187</w:t>
            </w:r>
          </w:p>
        </w:tc>
      </w:tr>
      <w:tr>
        <w:trPr>
          <w:trHeight w:val="153"/>
        </w:trPr>
        <w:tc>
          <w:tcPr>
            <w:tcW w:w="9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Trademarks</w:t>
            </w:r>
          </w:p>
        </w:tc>
        <w:tc>
          <w:tcPr>
            <w:tcW w:w="9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w:t>
            </w:r>
          </w:p>
        </w:tc>
      </w:tr>
      <w:tr>
        <w:trPr>
          <w:trHeight w:val="153"/>
        </w:trPr>
        <w:tc>
          <w:tcPr>
            <w:tcW w:w="9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3,277</w:t>
            </w:r>
          </w:p>
        </w:tc>
      </w:tr>
      <w:tr>
        <w:trPr>
          <w:trHeight w:val="153"/>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9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42"/>
        </w:trPr>
        <w:tc>
          <w:tcPr>
            <w:tcW w:w="9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purchase consideration</w:t>
            </w:r>
          </w:p>
        </w:tc>
        <w:tc>
          <w:tcPr>
            <w:tcW w:w="94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57,929</w:t>
            </w:r>
          </w:p>
        </w:tc>
      </w:tr>
      <w:tr>
        <w:trPr>
          <w:trHeight w:val="20"/>
        </w:trPr>
        <w:tc>
          <w:tcPr>
            <w:tcW w:w="9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deferred consideration represents the fair value of the amount to be remitted upon direction of the seller no later than four years from the acquisition date.</w:t>
      </w:r>
    </w:p>
    <w:p>
      <w:pPr>
        <w:spacing w:after="0" w:line="45" w:lineRule="exact"/>
        <w:rPr>
          <w:rFonts w:ascii="Times New Roman" w:cs="Times New Roman" w:eastAsia="Times New Roman" w:hAnsi="Times New Roman"/>
          <w:sz w:val="16"/>
          <w:szCs w:val="16"/>
          <w:color w:val="auto"/>
          <w:vertAlign w:val="superscript"/>
        </w:rPr>
      </w:pPr>
    </w:p>
    <w:p>
      <w:pPr>
        <w:ind w:left="420" w:right="60" w:hanging="212"/>
        <w:spacing w:after="0" w:line="201" w:lineRule="auto"/>
        <w:tabs>
          <w:tab w:leader="none" w:pos="412"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of the contingent consideration was determined utilizing a Monte Carlo simulation. The payments were calculated based on the path for the simulated metrics and the contractual terms of the contingent consideration payments and were discounted to present value at a rate reflecting a risk associated with the payoffs. The fair value was estimated to be the average present value of the contingent consideration payments over all iterations of the simulation.</w:t>
      </w:r>
    </w:p>
    <w:p>
      <w:pPr>
        <w:spacing w:after="0" w:line="6" w:lineRule="exact"/>
        <w:rPr>
          <w:rFonts w:ascii="Times New Roman" w:cs="Times New Roman" w:eastAsia="Times New Roman" w:hAnsi="Times New Roman"/>
          <w:sz w:val="16"/>
          <w:szCs w:val="16"/>
          <w:color w:val="auto"/>
          <w:vertAlign w:val="superscript"/>
        </w:rPr>
      </w:pPr>
    </w:p>
    <w:p>
      <w:pPr>
        <w:ind w:left="420" w:hanging="212"/>
        <w:spacing w:after="0"/>
        <w:tabs>
          <w:tab w:leader="none" w:pos="42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fair value determination for the Class B units utilized an option pricing model. The seller may request to convert 50% of the Class B Units to shares in the Company no later than five years from the acquisition date.</w:t>
      </w:r>
    </w:p>
    <w:p>
      <w:pPr>
        <w:spacing w:after="0" w:line="45"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2"/>
          <w:szCs w:val="12"/>
          <w:color w:val="auto"/>
        </w:rPr>
        <w:t>Goodwill of $34.2 million arising from the acquisition primarily consists of the expected synergies and other benefits from combining operations. There was no goodwill deductible for income tax purposes. The goodwill was 100% allocated to the Company's Merchant Solutions reportable segment.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Acquisitions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Boom Commerce</w:t>
      </w:r>
    </w:p>
    <w:p>
      <w:pPr>
        <w:spacing w:after="0" w:line="152"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2"/>
          <w:szCs w:val="12"/>
          <w:color w:val="auto"/>
        </w:rPr>
        <w:t>On August 18, 2025, Priority Boom, LLC, a subsidiary of Priority Commerce, completed its acquisition of certain residual portfolio rights for a purchase price of $73.5 million in cash, $13.5 million in Common shares of Priority Commerce and earn-out payments not to exceed $17.0 million based on meeting certain thresholds over a three-year period from the date of acquisition. The transaction did not meet the definition of a business; therefore, it was accounted for as an asset purchase under which the cost of the acquisition was allocated to the acquired assets based on relative fair values. As an asset purchase,</w:t>
      </w:r>
    </w:p>
    <w:p>
      <w:pPr>
        <w:spacing w:after="0" w:line="200" w:lineRule="exact"/>
        <w:rPr>
          <w:sz w:val="20"/>
          <w:szCs w:val="20"/>
          <w:color w:val="auto"/>
        </w:rPr>
      </w:pPr>
    </w:p>
    <w:p>
      <w:pPr>
        <w:spacing w:after="0" w:line="31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6" w:name="page17"/>
    <w:bookmarkEnd w:id="16"/>
    <w:p>
      <w:pPr>
        <w:ind w:left="8"/>
        <w:spacing w:after="0"/>
        <w:rPr>
          <w:sz w:val="20"/>
          <w:szCs w:val="20"/>
          <w:color w:val="auto"/>
        </w:rPr>
      </w:pPr>
      <w:r>
        <w:rPr>
          <w:rFonts w:ascii="Times New Roman" w:cs="Times New Roman" w:eastAsia="Times New Roman" w:hAnsi="Times New Roman"/>
          <w:sz w:val="12"/>
          <w:szCs w:val="12"/>
          <w:color w:val="auto"/>
        </w:rPr>
        <w:t>additional purchase price (in the form of earn-outs) is accounted for when payment to the seller becomes payable and is added to the carrying value of the asset, as long as it does not meet the definition of a derivative.</w:t>
      </w:r>
    </w:p>
    <w:p>
      <w:pPr>
        <w:spacing w:after="0" w:line="78"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During the three months ended September 30, 2026, the sellers earned and were paid $7.3 million of the $17.0 million earnout, which increased the total purchase price recorded. This amount was allocated to the initial intangible assets recognized and is amortized on a straight-line basis over the remaining useful lives.</w:t>
      </w:r>
    </w:p>
    <w:p>
      <w:pPr>
        <w:spacing w:after="0" w:line="200" w:lineRule="exact"/>
        <w:rPr>
          <w:sz w:val="20"/>
          <w:szCs w:val="20"/>
          <w:color w:val="auto"/>
        </w:rPr>
      </w:pPr>
    </w:p>
    <w:p>
      <w:pPr>
        <w:spacing w:after="0" w:line="213"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Disaggregation of Revenues</w:t>
      </w:r>
    </w:p>
    <w:p>
      <w:pPr>
        <w:spacing w:after="0" w:line="152" w:lineRule="exact"/>
        <w:rPr>
          <w:sz w:val="20"/>
          <w:szCs w:val="20"/>
          <w:color w:val="auto"/>
        </w:rPr>
      </w:pPr>
    </w:p>
    <w:p>
      <w:pPr>
        <w:ind w:left="8" w:right="280"/>
        <w:spacing w:after="0" w:line="279" w:lineRule="auto"/>
        <w:rPr>
          <w:sz w:val="20"/>
          <w:szCs w:val="20"/>
          <w:color w:val="auto"/>
        </w:rPr>
      </w:pPr>
      <w:r>
        <w:rPr>
          <w:rFonts w:ascii="Times New Roman" w:cs="Times New Roman" w:eastAsia="Times New Roman" w:hAnsi="Times New Roman"/>
          <w:sz w:val="12"/>
          <w:szCs w:val="12"/>
          <w:color w:val="auto"/>
        </w:rPr>
        <w:t>Total revenues include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a disaggregation of our consolidated revenues by segment:</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6"/>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9"/>
                <w:szCs w:val="9"/>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80" w:type="dxa"/>
            <w:vAlign w:val="bottom"/>
          </w:tcPr>
          <w:p>
            <w:pPr>
              <w:spacing w:after="0"/>
              <w:rPr>
                <w:sz w:val="9"/>
                <w:szCs w:val="9"/>
                <w:color w:val="auto"/>
              </w:rPr>
            </w:pPr>
          </w:p>
        </w:tc>
        <w:tc>
          <w:tcPr>
            <w:tcW w:w="1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82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2"/>
                <w:szCs w:val="12"/>
                <w:b w:val="1"/>
                <w:bCs w:val="1"/>
                <w:color w:val="auto"/>
              </w:rPr>
              <w:t>Outsourced and Other Services</w:t>
            </w:r>
          </w:p>
        </w:tc>
        <w:tc>
          <w:tcPr>
            <w:tcW w:w="280" w:type="dxa"/>
            <w:vAlign w:val="bottom"/>
          </w:tcPr>
          <w:p>
            <w:pPr>
              <w:spacing w:after="0"/>
              <w:rPr>
                <w:sz w:val="9"/>
                <w:szCs w:val="9"/>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380" w:type="dxa"/>
            <w:vAlign w:val="bottom"/>
          </w:tcPr>
          <w:p>
            <w:pPr>
              <w:spacing w:after="0"/>
              <w:rPr>
                <w:sz w:val="9"/>
                <w:szCs w:val="9"/>
                <w:color w:val="auto"/>
              </w:rPr>
            </w:pPr>
          </w:p>
        </w:tc>
        <w:tc>
          <w:tcPr>
            <w:tcW w:w="1280" w:type="dxa"/>
            <w:vAlign w:val="bottom"/>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2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tcPr>
          <w:p>
            <w:pPr>
              <w:jc w:val="right"/>
              <w:ind w:right="764"/>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176,220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3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1,508</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1,917</w:t>
            </w:r>
          </w:p>
        </w:tc>
        <w:tc>
          <w:tcPr>
            <w:tcW w:w="8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179,645</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31,626</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42,283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15,466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60,267</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(2,915)</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204,291</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42,283</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20,132</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1,917</w:t>
            </w: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268,623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8" w:right="200" w:hanging="212"/>
        <w:spacing w:after="0" w:line="279" w:lineRule="auto"/>
        <w:tabs>
          <w:tab w:leader="none" w:pos="419" w:val="left"/>
        </w:tabs>
        <w:numPr>
          <w:ilvl w:val="0"/>
          <w:numId w:val="11"/>
        </w:numPr>
        <w:rPr>
          <w:rFonts w:ascii="Times New Roman" w:cs="Times New Roman" w:eastAsia="Times New Roman" w:hAnsi="Times New Roman"/>
          <w:sz w:val="5"/>
          <w:szCs w:val="5"/>
          <w:color w:val="auto"/>
        </w:rPr>
      </w:pPr>
      <w:r>
        <w:rPr>
          <w:rFonts w:ascii="Times New Roman" w:cs="Times New Roman" w:eastAsia="Times New Roman" w:hAnsi="Times New Roman"/>
          <w:sz w:val="12"/>
          <w:szCs w:val="12"/>
          <w:color w:val="auto"/>
        </w:rPr>
        <w:t>Approximately $16.5 million of interest income on customer funds is included in outsourced and other services revenue in the table above and approximately $2.0 million of interest income on corporate funds is included in other income, net on the Company's Unaudited Consolidated Statements of Operations and Comprehensive Income and is not reflected in the table above for the three months ended September 30, 2026.</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2026</w:t>
            </w: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80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Outsourced and Other Services</w:t>
            </w:r>
          </w:p>
        </w:tc>
        <w:tc>
          <w:tcPr>
            <w:tcW w:w="320" w:type="dxa"/>
            <w:vAlign w:val="bottom"/>
          </w:tcPr>
          <w:p>
            <w:pPr>
              <w:spacing w:after="0"/>
              <w:rPr>
                <w:sz w:val="9"/>
                <w:szCs w:val="9"/>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00" w:type="dxa"/>
            <w:vAlign w:val="bottom"/>
          </w:tcPr>
          <w:p>
            <w:pPr>
              <w:spacing w:after="0"/>
              <w:rPr>
                <w:sz w:val="9"/>
                <w:szCs w:val="9"/>
                <w:color w:val="auto"/>
              </w:rPr>
            </w:pPr>
          </w:p>
        </w:tc>
        <w:tc>
          <w:tcPr>
            <w:tcW w:w="1280" w:type="dxa"/>
            <w:vAlign w:val="bottom"/>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1"/>
        </w:trPr>
        <w:tc>
          <w:tcPr>
            <w:tcW w:w="2680" w:type="dxa"/>
            <w:vAlign w:val="bottom"/>
            <w:vMerge w:val="restart"/>
          </w:tcPr>
          <w:p>
            <w:pPr>
              <w:spacing w:after="0" w:line="117"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jc w:val="center"/>
              <w:ind w:right="364"/>
              <w:spacing w:after="0" w:line="81" w:lineRule="exact"/>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506,636</w:t>
            </w:r>
          </w:p>
        </w:tc>
        <w:tc>
          <w:tcPr>
            <w:tcW w:w="8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4,286</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6,287</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517,209</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81,954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12,543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94,497</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9,639</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126,020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43,967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179,626</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(8,912)</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(10,895)</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589,317</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126,020</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58,813</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6,287</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780,437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28" w:right="200" w:hanging="212"/>
        <w:spacing w:after="0" w:line="279" w:lineRule="auto"/>
        <w:tabs>
          <w:tab w:leader="none" w:pos="420" w:val="left"/>
        </w:tabs>
        <w:numPr>
          <w:ilvl w:val="0"/>
          <w:numId w:val="12"/>
        </w:numPr>
        <w:rPr>
          <w:rFonts w:ascii="Times New Roman" w:cs="Times New Roman" w:eastAsia="Times New Roman" w:hAnsi="Times New Roman"/>
          <w:sz w:val="7"/>
          <w:szCs w:val="7"/>
          <w:color w:val="auto"/>
        </w:rPr>
      </w:pPr>
      <w:r>
        <w:rPr>
          <w:rFonts w:ascii="Times New Roman" w:cs="Times New Roman" w:eastAsia="Times New Roman" w:hAnsi="Times New Roman"/>
          <w:sz w:val="12"/>
          <w:szCs w:val="12"/>
          <w:color w:val="auto"/>
        </w:rPr>
        <w:t>Approximately $46.7 million of interest income on customer funds is included in outsourced and other services revenue in the table above and approximately $4.4 million of interest income on corporate funds is included in other income, net on the Company's Unaudited Consolidated Statements of Operations and Comprehensive Income and is not reflected in the table above for the nine months ended September 30, 2026.</w:t>
      </w:r>
    </w:p>
    <w:p>
      <w:pPr>
        <w:spacing w:after="0" w:line="200" w:lineRule="exact"/>
        <w:rPr>
          <w:sz w:val="20"/>
          <w:szCs w:val="20"/>
          <w:color w:val="auto"/>
        </w:rPr>
      </w:pPr>
    </w:p>
    <w:p>
      <w:pPr>
        <w:spacing w:after="0" w:line="307"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17" w:name="page18"/>
    <w:bookmarkEnd w:id="17"/>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80" w:type="dxa"/>
            <w:vAlign w:val="bottom"/>
            <w:vMerge w:val="restart"/>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9"/>
                <w:szCs w:val="9"/>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80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Outsourced and Other Services</w:t>
            </w:r>
          </w:p>
        </w:tc>
        <w:tc>
          <w:tcPr>
            <w:tcW w:w="340" w:type="dxa"/>
            <w:vAlign w:val="bottom"/>
          </w:tcPr>
          <w:p>
            <w:pPr>
              <w:spacing w:after="0"/>
              <w:rPr>
                <w:sz w:val="9"/>
                <w:szCs w:val="9"/>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00" w:type="dxa"/>
            <w:vAlign w:val="bottom"/>
          </w:tcPr>
          <w:p>
            <w:pPr>
              <w:spacing w:after="0"/>
              <w:rPr>
                <w:sz w:val="9"/>
                <w:szCs w:val="9"/>
                <w:color w:val="auto"/>
              </w:rPr>
            </w:pPr>
          </w:p>
        </w:tc>
        <w:tc>
          <w:tcPr>
            <w:tcW w:w="1280" w:type="dxa"/>
            <w:vAlign w:val="bottom"/>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2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Pr>
          <w:p>
            <w:pPr>
              <w:jc w:val="center"/>
              <w:ind w:right="364"/>
              <w:spacing w:after="0"/>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157,197</w:t>
            </w:r>
          </w:p>
        </w:tc>
        <w:tc>
          <w:tcPr>
            <w:tcW w:w="80" w:type="dxa"/>
            <w:vAlign w:val="bottom"/>
          </w:tcPr>
          <w:p>
            <w:pPr>
              <w:spacing w:after="0"/>
              <w:rPr>
                <w:sz w:val="13"/>
                <w:szCs w:val="13"/>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w:t>
            </w:r>
          </w:p>
        </w:tc>
        <w:tc>
          <w:tcPr>
            <w:tcW w:w="8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3,642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21,380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40,991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13,785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(1,281)</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178,518</w:t>
            </w:r>
          </w:p>
        </w:tc>
        <w:tc>
          <w:tcPr>
            <w:tcW w:w="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40,991</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18,288</w:t>
            </w: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3,642</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241,439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8" w:right="200" w:hanging="212"/>
        <w:spacing w:after="0" w:line="239" w:lineRule="auto"/>
        <w:tabs>
          <w:tab w:leader="none" w:pos="420" w:val="left"/>
        </w:tabs>
        <w:numPr>
          <w:ilvl w:val="0"/>
          <w:numId w:val="1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2"/>
          <w:szCs w:val="12"/>
          <w:color w:val="auto"/>
        </w:rPr>
        <w:t>Approximately $15.8 million of interest income on customer funds is included in outsourced and other services revenue in the table above and approximately $1.1 million of interest income on corporate funds is included in other income, net on the Company's Unaudited Consolidated Statements of Operations and Comprehensive Income and is not reflected in the table above for the three months ended September 30, 2025.</w:t>
      </w:r>
    </w:p>
    <w:p>
      <w:pPr>
        <w:spacing w:after="0" w:line="8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center"/>
              <w:ind w:left="62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2025</w:t>
            </w: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Card Fees</w:t>
            </w:r>
          </w:p>
        </w:tc>
        <w:tc>
          <w:tcPr>
            <w:tcW w:w="1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Money Transmission Services</w:t>
            </w:r>
          </w:p>
        </w:tc>
        <w:tc>
          <w:tcPr>
            <w:tcW w:w="1800" w:type="dxa"/>
            <w:vAlign w:val="bottom"/>
            <w:gridSpan w:val="3"/>
          </w:tcPr>
          <w:p>
            <w:pPr>
              <w:jc w:val="center"/>
              <w:ind w:right="80"/>
              <w:spacing w:after="0" w:line="106" w:lineRule="exact"/>
              <w:rPr>
                <w:sz w:val="20"/>
                <w:szCs w:val="20"/>
                <w:color w:val="auto"/>
              </w:rPr>
            </w:pPr>
            <w:r>
              <w:rPr>
                <w:rFonts w:ascii="Times New Roman" w:cs="Times New Roman" w:eastAsia="Times New Roman" w:hAnsi="Times New Roman"/>
                <w:sz w:val="12"/>
                <w:szCs w:val="12"/>
                <w:b w:val="1"/>
                <w:bCs w:val="1"/>
                <w:color w:val="auto"/>
                <w:w w:val="99"/>
              </w:rPr>
              <w:t>Outsourced and Other Services</w:t>
            </w:r>
          </w:p>
        </w:tc>
        <w:tc>
          <w:tcPr>
            <w:tcW w:w="320" w:type="dxa"/>
            <w:vAlign w:val="bottom"/>
          </w:tcPr>
          <w:p>
            <w:pPr>
              <w:spacing w:after="0"/>
              <w:rPr>
                <w:sz w:val="9"/>
                <w:szCs w:val="9"/>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00" w:type="dxa"/>
            <w:vAlign w:val="bottom"/>
          </w:tcPr>
          <w:p>
            <w:pPr>
              <w:spacing w:after="0"/>
              <w:rPr>
                <w:sz w:val="9"/>
                <w:szCs w:val="9"/>
                <w:color w:val="auto"/>
              </w:rPr>
            </w:pPr>
          </w:p>
        </w:tc>
        <w:tc>
          <w:tcPr>
            <w:tcW w:w="1280" w:type="dxa"/>
            <w:vAlign w:val="bottom"/>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1"/>
        </w:trPr>
        <w:tc>
          <w:tcPr>
            <w:tcW w:w="2680" w:type="dxa"/>
            <w:vAlign w:val="bottom"/>
            <w:vMerge w:val="restart"/>
          </w:tcPr>
          <w:p>
            <w:pPr>
              <w:spacing w:after="0" w:line="117" w:lineRule="exact"/>
              <w:rPr>
                <w:sz w:val="20"/>
                <w:szCs w:val="20"/>
                <w:color w:val="auto"/>
              </w:rPr>
            </w:pPr>
            <w:r>
              <w:rPr>
                <w:rFonts w:ascii="Times New Roman" w:cs="Times New Roman" w:eastAsia="Times New Roman" w:hAnsi="Times New Roman"/>
                <w:sz w:val="12"/>
                <w:szCs w:val="12"/>
                <w:i w:val="1"/>
                <w:iCs w:val="1"/>
                <w:color w:val="auto"/>
              </w:rPr>
              <w:t>(in thousands)</w:t>
            </w: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280" w:type="dxa"/>
            <w:vAlign w:val="bottom"/>
          </w:tcPr>
          <w:p>
            <w:pPr>
              <w:jc w:val="center"/>
              <w:ind w:right="364"/>
              <w:spacing w:after="0" w:line="81" w:lineRule="exact"/>
              <w:rPr>
                <w:sz w:val="20"/>
                <w:szCs w:val="20"/>
                <w:color w:val="auto"/>
              </w:rPr>
            </w:pPr>
            <w:r>
              <w:rPr>
                <w:rFonts w:ascii="Times New Roman" w:cs="Times New Roman" w:eastAsia="Times New Roman" w:hAnsi="Times New Roman"/>
                <w:sz w:val="8"/>
                <w:szCs w:val="8"/>
                <w:color w:val="auto"/>
              </w:rPr>
              <w:t>(1)</w:t>
            </w: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Segment</w:t>
            </w: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Solutions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463,503</w:t>
            </w:r>
          </w:p>
        </w:tc>
        <w:tc>
          <w:tcPr>
            <w:tcW w:w="80" w:type="dxa"/>
            <w:vAlign w:val="bottom"/>
          </w:tcPr>
          <w:p>
            <w:pPr>
              <w:spacing w:after="0"/>
              <w:rPr>
                <w:sz w:val="13"/>
                <w:szCs w:val="13"/>
                <w:color w:val="auto"/>
              </w:rPr>
            </w:pPr>
          </w:p>
        </w:tc>
        <w:tc>
          <w:tcPr>
            <w:tcW w:w="64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3,346</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9,945</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62,637</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11,476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0" w:type="dxa"/>
            <w:vAlign w:val="bottom"/>
          </w:tcPr>
          <w:p>
            <w:pPr>
              <w:spacing w:after="0"/>
              <w:rPr>
                <w:sz w:val="1"/>
                <w:szCs w:val="1"/>
                <w:color w:val="auto"/>
              </w:rPr>
            </w:pPr>
          </w:p>
        </w:tc>
      </w:tr>
      <w:tr>
        <w:trPr>
          <w:trHeight w:val="153"/>
        </w:trPr>
        <w:tc>
          <w:tcPr>
            <w:tcW w:w="26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Treasury Solutions</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117,713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38,233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Eliminations</w:t>
            </w: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(2,544)</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(3,456)</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526,080</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117,713</w:t>
            </w:r>
          </w:p>
        </w:tc>
        <w:tc>
          <w:tcPr>
            <w:tcW w:w="8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52,143</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9,945</w:t>
            </w: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705,881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28" w:right="200" w:hanging="212"/>
        <w:spacing w:after="0" w:line="279" w:lineRule="auto"/>
        <w:tabs>
          <w:tab w:leader="none" w:pos="420" w:val="left"/>
        </w:tabs>
        <w:numPr>
          <w:ilvl w:val="1"/>
          <w:numId w:val="14"/>
        </w:numPr>
        <w:rPr>
          <w:rFonts w:ascii="Times New Roman" w:cs="Times New Roman" w:eastAsia="Times New Roman" w:hAnsi="Times New Roman"/>
          <w:sz w:val="7"/>
          <w:szCs w:val="7"/>
          <w:color w:val="auto"/>
        </w:rPr>
      </w:pPr>
      <w:r>
        <w:rPr>
          <w:rFonts w:ascii="Times New Roman" w:cs="Times New Roman" w:eastAsia="Times New Roman" w:hAnsi="Times New Roman"/>
          <w:sz w:val="12"/>
          <w:szCs w:val="12"/>
          <w:color w:val="auto"/>
        </w:rPr>
        <w:t>Approximately $42.5 million of interest income on customer funds is included in outsourced and other services revenue in the table above and approximately $3.2 million of interest income on corporate funds is included in other income, net on the Company's Unaudited Consolidated Statements of Operations and Comprehensive Income and is not reflected in the table above for the nine months ended September 30, 2025.</w:t>
      </w:r>
    </w:p>
    <w:p>
      <w:pPr>
        <w:spacing w:after="0" w:line="269" w:lineRule="exact"/>
        <w:rPr>
          <w:rFonts w:ascii="Times New Roman" w:cs="Times New Roman" w:eastAsia="Times New Roman" w:hAnsi="Times New Roman"/>
          <w:sz w:val="7"/>
          <w:szCs w:val="7"/>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Assets and Obligations</w:t>
      </w:r>
    </w:p>
    <w:p>
      <w:pPr>
        <w:spacing w:after="0" w:line="154" w:lineRule="exact"/>
        <w:rPr>
          <w:sz w:val="20"/>
          <w:szCs w:val="20"/>
          <w:color w:val="auto"/>
        </w:rPr>
      </w:pPr>
    </w:p>
    <w:p>
      <w:pPr>
        <w:ind w:left="8" w:right="240"/>
        <w:spacing w:after="0" w:line="279" w:lineRule="auto"/>
        <w:rPr>
          <w:sz w:val="20"/>
          <w:szCs w:val="20"/>
          <w:color w:val="auto"/>
        </w:rPr>
      </w:pPr>
      <w:r>
        <w:rPr>
          <w:rFonts w:ascii="Times New Roman" w:cs="Times New Roman" w:eastAsia="Times New Roman" w:hAnsi="Times New Roman"/>
          <w:sz w:val="12"/>
          <w:szCs w:val="12"/>
          <w:color w:val="auto"/>
        </w:rPr>
        <w:t>Settlement assets and obligations include, 1) funds due from merchants arising from settlement of funds for sales and credits between card issuers, merchants, 2) card settlement funds due from networks due to timing and its related obligations, and 3) Customer/Subscriber account balances and related obligations resulting from licensed money transmitter services.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Card settlements due from merchants, net</w:t>
      </w:r>
    </w:p>
    <w:p>
      <w:pPr>
        <w:spacing w:after="0" w:line="15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merchant solution services of the Company include settlement of funds for sales and credits between card issuers, card networks and merchants. The standards of the card networks require possession of funds during the settlement process by a member bank which controls the clearing transactions. Since settlement funds are required to be in the possession of a member bank until merchants are funded, these funds are not assets of the Company, and the associated obligations are not liabilities of the Company. Therefore, neither is recognized in the Company's Unaudited Consolidated Balance Sheets.</w:t>
      </w:r>
    </w:p>
    <w:p>
      <w:pPr>
        <w:spacing w:after="0" w:line="13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Exception items that the Company is still attempting to collect from the merchants through the funds settlement process or merchant reserves are recognized as settlement assets in the Company's Unaudited Consolidated Balance Sheets, with an offsetting reserve for those amounts the Company estimates it will not be able to recover. Exception items that the Company has deemed uncollectible are recorded as merchant losses, a component of cost of revenue in the Company's Unaudited Consolidated Statements of Operations and Comprehensive Income. Expenses for merchant losses, net of recoveries for the</w:t>
      </w:r>
    </w:p>
    <w:p>
      <w:pPr>
        <w:spacing w:after="0" w:line="200" w:lineRule="exact"/>
        <w:rPr>
          <w:sz w:val="20"/>
          <w:szCs w:val="20"/>
          <w:color w:val="auto"/>
        </w:rPr>
      </w:pPr>
    </w:p>
    <w:p>
      <w:pPr>
        <w:spacing w:after="0" w:line="243"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2"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1"/>
          <w:szCs w:val="11"/>
          <w:color w:val="auto"/>
        </w:rPr>
        <w:t>three and nine months ended September 30, 2026 were $2.6 million and $8.3 million, respectively. Expenses for merchant losses were $0.9 million and $2.8 million for the three and nine months ended September 30, 2025,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Card settlements due from networks and Dues to Customers’ Payees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part of the Payables service offering:</w:t>
      </w:r>
    </w:p>
    <w:p>
      <w:pPr>
        <w:spacing w:after="0" w:line="78" w:lineRule="exact"/>
        <w:rPr>
          <w:sz w:val="20"/>
          <w:szCs w:val="20"/>
          <w:color w:val="auto"/>
        </w:rPr>
      </w:pPr>
    </w:p>
    <w:p>
      <w:pPr>
        <w:jc w:val="both"/>
        <w:ind w:left="420" w:hanging="212"/>
        <w:spacing w:after="0" w:line="265"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Commerce accepts card payments for its customers and processes disbursements to their vendors (customers’ payees). The time lag between authorization and settlement of card transactions creates certain receivables (from card networks) and payables (to the vendors of customers). These receivables and payables arise from the settlement activities that the Company performs on behalf of its customers and therefore, are presented as settlement assets and related obligations.</w:t>
      </w:r>
    </w:p>
    <w:p>
      <w:pPr>
        <w:spacing w:after="0" w:line="136"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17"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Priority Commerce processes payments to the customers’ payees wherein customers funds are received either in Company-owned bank accounts controlled by the Company or bank-owned FBO accounts controlled by the banks, until such time that the transactions are settled with the customers’ payees. Balances in the bank-owned FBO accounts and related obligations are not considered assets and obligations of the Company. Therefore, neither is recognized in the Company's Unaudited Consolidated Balance Sheets. Amounts due to customers’ payees that are held in Company-owned bank accounts are included in restricted cash in the Company's Unaudited Consolidated Balance Sheets and related obligations are presented as due to customers’ payees.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MTL Customer cash and cash equivalents (restricted in nature), short-term investments and MTL Customer account obligations</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Company provides treasury solutions to its customers either through its money transmission licenses in 46 states, the District of Columbia, and 2 territories of the United States or through agency relationships with banks. These services include the acceptance and disbursement of funds. While waiting for disbursement, these funds are held in bank accounts maintained by the Company on behalf of its customers. As such, the Company recognized these balances and related obligations on its balance sheet. Considering these balances are payable on demand and are related to settlement activities, they are presented as settlement assets (as part of the current assets) and the related obligations as settlement obligations (as part of the current liabilities) in the Company's Unaudited Consolidated Balance Sheets. The nature of these MTL Customer cash and cash equivalent are restricted in nature and therefore these balances are presented as restricted cash on the Company's Unaudited Consolidated Statements of Cash Flows. Per the money transmission regulations, the Company is allowed to invest available balances in these accounts in certain permitted investments, and returns on such investments contribute to the Company's net cash inflows.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19" w:name="page20"/>
    <w:bookmarkEnd w:id="19"/>
    <w:tbl>
      <w:tblPr>
        <w:tblLayout w:type="fixed"/>
        <w:tblInd w:w="8" w:type="dxa"/>
        <w:tblCellMar>
          <w:top w:w="0" w:type="dxa"/>
          <w:left w:w="0" w:type="dxa"/>
          <w:bottom w:w="0" w:type="dxa"/>
          <w:right w:w="0" w:type="dxa"/>
        </w:tblCellMar>
      </w:tblPr>
      <w:tr>
        <w:trPr>
          <w:trHeight w:val="155"/>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consolidated settlement assets and obligations were as follows:</w:t>
            </w:r>
          </w:p>
        </w:tc>
        <w:tc>
          <w:tcPr>
            <w:tcW w:w="4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315"/>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33"/>
        </w:trPr>
        <w:tc>
          <w:tcPr>
            <w:tcW w:w="6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Settlement Assets, net of estimated losses</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2"/>
                <w:szCs w:val="12"/>
                <w:b w:val="1"/>
                <w:bCs w:val="1"/>
                <w:color w:val="auto"/>
              </w:rPr>
              <w:t>:</w:t>
            </w:r>
          </w:p>
        </w:tc>
        <w:tc>
          <w:tcPr>
            <w:tcW w:w="4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r>
      <w:tr>
        <w:trPr>
          <w:trHeight w:val="153"/>
        </w:trPr>
        <w:tc>
          <w:tcPr>
            <w:tcW w:w="6400" w:type="dxa"/>
            <w:vAlign w:val="bottom"/>
          </w:tcPr>
          <w:p>
            <w:pPr>
              <w:ind w:left="80"/>
              <w:spacing w:after="0" w:line="153" w:lineRule="exact"/>
              <w:rPr>
                <w:sz w:val="20"/>
                <w:szCs w:val="20"/>
                <w:color w:val="auto"/>
              </w:rPr>
            </w:pPr>
            <w:r>
              <w:rPr>
                <w:rFonts w:ascii="Times New Roman" w:cs="Times New Roman" w:eastAsia="Times New Roman" w:hAnsi="Times New Roman"/>
                <w:sz w:val="12"/>
                <w:szCs w:val="12"/>
                <w:color w:val="auto"/>
              </w:rPr>
              <w:t>Card settlements due from merchants</w:t>
            </w:r>
            <w:r>
              <w:rPr>
                <w:rFonts w:ascii="Times New Roman" w:cs="Times New Roman" w:eastAsia="Times New Roman" w:hAnsi="Times New Roman"/>
                <w:sz w:val="15"/>
                <w:szCs w:val="15"/>
                <w:color w:val="auto"/>
                <w:vertAlign w:val="superscript"/>
              </w:rPr>
              <w:t>(1)(2)</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2,522</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Card settlements due from networks</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9,712</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16,092</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color w:val="auto"/>
              </w:rPr>
              <w:t>Subtotal</w:t>
            </w:r>
          </w:p>
        </w:tc>
        <w:tc>
          <w:tcPr>
            <w:tcW w:w="40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12,234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18,547</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MTL Customer cash and cash equivalents (restricted in nature)</w:t>
            </w:r>
            <w:r>
              <w:rPr>
                <w:rFonts w:ascii="Times New Roman" w:cs="Times New Roman" w:eastAsia="Times New Roman" w:hAnsi="Times New Roman"/>
                <w:sz w:val="15"/>
                <w:szCs w:val="15"/>
                <w:color w:val="auto"/>
                <w:vertAlign w:val="superscript"/>
              </w:rPr>
              <w:t>(3)</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967,670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1,252,349</w:t>
            </w:r>
          </w:p>
        </w:tc>
      </w:tr>
      <w:tr>
        <w:trPr>
          <w:trHeight w:val="153"/>
        </w:trPr>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MTL Short-term investments</w:t>
            </w:r>
          </w:p>
        </w:tc>
        <w:tc>
          <w:tcPr>
            <w:tcW w:w="4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525,000</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25,000</w:t>
            </w:r>
          </w:p>
        </w:tc>
      </w:tr>
      <w:tr>
        <w:trPr>
          <w:trHeight w:val="158"/>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settlement assets</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1,504,904</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1,295,896</w:t>
            </w:r>
          </w:p>
        </w:tc>
      </w:tr>
      <w:tr>
        <w:trPr>
          <w:trHeight w:val="126"/>
        </w:trPr>
        <w:tc>
          <w:tcPr>
            <w:tcW w:w="6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0" w:type="dxa"/>
            <w:vAlign w:val="bottom"/>
          </w:tcPr>
          <w:p>
            <w:pPr>
              <w:spacing w:after="0"/>
              <w:rPr>
                <w:sz w:val="10"/>
                <w:szCs w:val="10"/>
                <w:color w:val="auto"/>
              </w:rPr>
            </w:pPr>
          </w:p>
        </w:tc>
      </w:tr>
      <w:tr>
        <w:trPr>
          <w:trHeight w:val="15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Settlement Obligations:</w:t>
            </w:r>
          </w:p>
        </w:tc>
        <w:tc>
          <w:tcPr>
            <w:tcW w:w="4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r>
      <w:tr>
        <w:trPr>
          <w:trHeight w:val="153"/>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MTL Customer account obligations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1,454,913</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1,244,975</w:t>
            </w:r>
          </w:p>
        </w:tc>
      </w:tr>
      <w:tr>
        <w:trPr>
          <w:trHeight w:val="153"/>
        </w:trPr>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Subscriber account obligations</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36,969</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32,031</w:t>
            </w:r>
          </w:p>
        </w:tc>
      </w:tr>
      <w:tr>
        <w:trPr>
          <w:trHeight w:val="142"/>
        </w:trPr>
        <w:tc>
          <w:tcPr>
            <w:tcW w:w="64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Total customer/subscriber account obligations</w:t>
            </w:r>
          </w:p>
        </w:tc>
        <w:tc>
          <w:tcPr>
            <w:tcW w:w="40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1,491,882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1,277,006</w:t>
            </w:r>
          </w:p>
        </w:tc>
      </w:tr>
      <w:tr>
        <w:trPr>
          <w:trHeight w:val="153"/>
        </w:trPr>
        <w:tc>
          <w:tcPr>
            <w:tcW w:w="64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Due to customers' payees</w:t>
            </w:r>
            <w:r>
              <w:rPr>
                <w:rFonts w:ascii="Times New Roman" w:cs="Times New Roman" w:eastAsia="Times New Roman" w:hAnsi="Times New Roman"/>
                <w:sz w:val="15"/>
                <w:szCs w:val="15"/>
                <w:color w:val="auto"/>
                <w:vertAlign w:val="superscript"/>
              </w:rPr>
              <w:t>(4)(5)</w:t>
            </w:r>
          </w:p>
        </w:tc>
        <w:tc>
          <w:tcPr>
            <w:tcW w:w="4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14,223</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20,257</w:t>
            </w:r>
          </w:p>
        </w:tc>
      </w:tr>
      <w:tr>
        <w:trPr>
          <w:trHeight w:val="142"/>
        </w:trPr>
        <w:tc>
          <w:tcPr>
            <w:tcW w:w="6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settlement obligations</w:t>
            </w: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1,506,105</w:t>
            </w:r>
          </w:p>
        </w:tc>
        <w:tc>
          <w:tcPr>
            <w:tcW w:w="80" w:type="dxa"/>
            <w:vAlign w:val="bottom"/>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1,297,263</w:t>
            </w: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ind w:left="428" w:hanging="212"/>
        <w:spacing w:after="0"/>
        <w:tabs>
          <w:tab w:leader="none" w:pos="428" w:val="left"/>
        </w:tabs>
        <w:numPr>
          <w:ilvl w:val="1"/>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Allowance for estimated losses were $5.8 million and $7.1 million as of September 30, 2026 and December 31, 2025, respectively.</w:t>
      </w:r>
    </w:p>
    <w:p>
      <w:pPr>
        <w:spacing w:after="0" w:line="45" w:lineRule="exact"/>
        <w:rPr>
          <w:rFonts w:ascii="Times New Roman" w:cs="Times New Roman" w:eastAsia="Times New Roman" w:hAnsi="Times New Roman"/>
          <w:sz w:val="16"/>
          <w:szCs w:val="16"/>
          <w:color w:val="auto"/>
          <w:vertAlign w:val="superscript"/>
        </w:rPr>
      </w:pPr>
    </w:p>
    <w:p>
      <w:pPr>
        <w:ind w:left="428" w:hanging="212"/>
        <w:spacing w:after="0" w:line="222" w:lineRule="auto"/>
        <w:tabs>
          <w:tab w:leader="none" w:pos="428" w:val="left"/>
        </w:tabs>
        <w:numPr>
          <w:ilvl w:val="1"/>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merchant funds held at member banks of $121.6 million and $103.9 million on September 30, 2026 and December 31, 2025, respectively.</w:t>
      </w:r>
    </w:p>
    <w:p>
      <w:pPr>
        <w:spacing w:after="0" w:line="61" w:lineRule="exact"/>
        <w:rPr>
          <w:rFonts w:ascii="Times New Roman" w:cs="Times New Roman" w:eastAsia="Times New Roman" w:hAnsi="Times New Roman"/>
          <w:sz w:val="16"/>
          <w:szCs w:val="16"/>
          <w:color w:val="auto"/>
          <w:vertAlign w:val="superscript"/>
        </w:rPr>
      </w:pPr>
    </w:p>
    <w:p>
      <w:pPr>
        <w:ind w:left="428" w:right="60" w:hanging="212"/>
        <w:spacing w:after="0" w:line="222" w:lineRule="auto"/>
        <w:tabs>
          <w:tab w:leader="none" w:pos="420" w:val="left"/>
        </w:tabs>
        <w:numPr>
          <w:ilvl w:val="1"/>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funds held under agency arrangement with member banks, balances remain under the control of the member banks (therefore not the assets or obligations of the Company). Agency owned accounts held $46.1 million and $50.3 million at September 30, 2026 and December 31, 2025, respectively.</w:t>
      </w:r>
    </w:p>
    <w:p>
      <w:pPr>
        <w:spacing w:after="0" w:line="62" w:lineRule="exact"/>
        <w:rPr>
          <w:rFonts w:ascii="Times New Roman" w:cs="Times New Roman" w:eastAsia="Times New Roman" w:hAnsi="Times New Roman"/>
          <w:sz w:val="16"/>
          <w:szCs w:val="16"/>
          <w:color w:val="auto"/>
          <w:vertAlign w:val="superscript"/>
        </w:rPr>
      </w:pPr>
    </w:p>
    <w:p>
      <w:pPr>
        <w:ind w:left="428" w:right="200" w:hanging="212"/>
        <w:spacing w:after="0" w:line="222" w:lineRule="auto"/>
        <w:tabs>
          <w:tab w:leader="none" w:pos="420" w:val="left"/>
        </w:tabs>
        <w:numPr>
          <w:ilvl w:val="1"/>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$9.7 million and $16.1 million as of September 30, 2026 and December 31, 2025, respectively, of card settlements due from networks and the remainder is included in restricted cash on our Unaudited Consolidated Balance Sheets.</w:t>
      </w:r>
    </w:p>
    <w:p>
      <w:pPr>
        <w:spacing w:after="0" w:line="62" w:lineRule="exact"/>
        <w:rPr>
          <w:rFonts w:ascii="Times New Roman" w:cs="Times New Roman" w:eastAsia="Times New Roman" w:hAnsi="Times New Roman"/>
          <w:sz w:val="16"/>
          <w:szCs w:val="16"/>
          <w:color w:val="auto"/>
          <w:vertAlign w:val="superscript"/>
        </w:rPr>
      </w:pPr>
    </w:p>
    <w:p>
      <w:pPr>
        <w:ind w:left="428" w:right="140" w:hanging="212"/>
        <w:spacing w:after="0" w:line="222" w:lineRule="auto"/>
        <w:tabs>
          <w:tab w:leader="none" w:pos="420" w:val="left"/>
        </w:tabs>
        <w:numPr>
          <w:ilvl w:val="1"/>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amounts due to customer payees that are held in bank-owned FBO accounts which are not assets of the Company, and the associated obligations are not liabilities of the Company. Therefore, neither is recognized in the Company's Unaudited Consolidated Balance Sheets. Bank-owned FBO accounts held funds of $148.5 million and $151.8 million at September 30, 2026 and December 31, 2025, respectively.</w:t>
      </w:r>
    </w:p>
    <w:p>
      <w:pPr>
        <w:spacing w:after="0" w:line="200" w:lineRule="exact"/>
        <w:rPr>
          <w:rFonts w:ascii="Times New Roman" w:cs="Times New Roman" w:eastAsia="Times New Roman" w:hAnsi="Times New Roman"/>
          <w:sz w:val="16"/>
          <w:szCs w:val="16"/>
          <w:color w:val="auto"/>
          <w:vertAlign w:val="superscript"/>
        </w:rPr>
      </w:pPr>
    </w:p>
    <w:p>
      <w:pPr>
        <w:spacing w:after="0" w:line="236" w:lineRule="exact"/>
        <w:rPr>
          <w:rFonts w:ascii="Times New Roman" w:cs="Times New Roman" w:eastAsia="Times New Roman" w:hAnsi="Times New Roman"/>
          <w:sz w:val="16"/>
          <w:szCs w:val="16"/>
          <w:color w:val="auto"/>
          <w:vertAlign w:val="superscript"/>
        </w:rPr>
      </w:pPr>
    </w:p>
    <w:p>
      <w:pPr>
        <w:ind w:left="248" w:hanging="248"/>
        <w:spacing w:after="0"/>
        <w:tabs>
          <w:tab w:leader="none" w:pos="24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Notes Receivable</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 had notes receivable of $21.5 million and $19.7 million as of September 30, 2026 and December 31, 2025, respectively, which are reported as current portion of notes receivable and notes receivable less current portion on the Company's Unaudited Consolidated Balance Sheets. The notes receivable carried weighted-average interest rates of 12.2% and 13.6% as of September 30, 2026 and December 31, 2025, respectively. The notes are receivables from ISOs and ISVs, which are made with a term of 1-5 years. Under the terms of the agreements, the advances are secured by residual payments due to the ISOs and ISVs and apply such residuals against future payment due to the Company. As of September 30, 2026 and December 31, 2025, there was no allowance for expected losses on notes receivable.</w:t>
      </w:r>
    </w:p>
    <w:p>
      <w:pPr>
        <w:spacing w:after="0" w:line="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a reconciliation for activity within the notes receivable as of September 30, 2026:</w:t>
      </w:r>
    </w:p>
    <w:p>
      <w:pPr>
        <w:spacing w:after="0" w:line="200" w:lineRule="exact"/>
        <w:rPr>
          <w:sz w:val="20"/>
          <w:szCs w:val="20"/>
          <w:color w:val="auto"/>
        </w:rPr>
      </w:pPr>
    </w:p>
    <w:p>
      <w:pPr>
        <w:spacing w:after="0" w:line="346"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0" w:right="299"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5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1220" w:type="dxa"/>
            <w:vAlign w:val="bottom"/>
            <w:tcBorders>
              <w:top w:val="single" w:sz="8" w:color="auto"/>
            </w:tcBorders>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19,691</w:t>
            </w:r>
          </w:p>
        </w:tc>
      </w:tr>
      <w:tr>
        <w:trPr>
          <w:trHeight w:val="153"/>
        </w:trPr>
        <w:tc>
          <w:tcPr>
            <w:tcW w:w="85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 received</w:t>
            </w:r>
          </w:p>
        </w:tc>
        <w:tc>
          <w:tcPr>
            <w:tcW w:w="1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w:t>
            </w:r>
          </w:p>
        </w:tc>
      </w:tr>
      <w:tr>
        <w:trPr>
          <w:trHeight w:val="15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1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8,575</w:t>
            </w:r>
          </w:p>
        </w:tc>
      </w:tr>
      <w:tr>
        <w:trPr>
          <w:trHeight w:val="142"/>
        </w:trPr>
        <w:tc>
          <w:tcPr>
            <w:tcW w:w="8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March 31, 2026</w:t>
            </w:r>
          </w:p>
        </w:tc>
        <w:tc>
          <w:tcPr>
            <w:tcW w:w="122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27,750</w:t>
            </w:r>
          </w:p>
        </w:tc>
      </w:tr>
      <w:tr>
        <w:trPr>
          <w:trHeight w:val="15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Principal payments received</w:t>
            </w:r>
          </w:p>
        </w:tc>
        <w:tc>
          <w:tcPr>
            <w:tcW w:w="122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(6,540)</w:t>
            </w:r>
          </w:p>
        </w:tc>
      </w:tr>
      <w:tr>
        <w:trPr>
          <w:trHeight w:val="153"/>
        </w:trPr>
        <w:tc>
          <w:tcPr>
            <w:tcW w:w="8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1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1,493</w:t>
            </w:r>
          </w:p>
        </w:tc>
      </w:tr>
      <w:tr>
        <w:trPr>
          <w:trHeight w:val="142"/>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Balance at June 30, 2026</w:t>
            </w:r>
          </w:p>
        </w:tc>
        <w:tc>
          <w:tcPr>
            <w:tcW w:w="122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22,703</w:t>
            </w:r>
          </w:p>
        </w:tc>
      </w:tr>
      <w:tr>
        <w:trPr>
          <w:trHeight w:val="153"/>
        </w:trPr>
        <w:tc>
          <w:tcPr>
            <w:tcW w:w="8520" w:type="dxa"/>
            <w:vAlign w:val="bottom"/>
          </w:tcPr>
          <w:p>
            <w:pPr>
              <w:spacing w:after="0"/>
              <w:rPr>
                <w:sz w:val="20"/>
                <w:szCs w:val="20"/>
                <w:color w:val="auto"/>
              </w:rPr>
            </w:pPr>
            <w:r>
              <w:rPr>
                <w:rFonts w:ascii="Times New Roman" w:cs="Times New Roman" w:eastAsia="Times New Roman" w:hAnsi="Times New Roman"/>
                <w:sz w:val="12"/>
                <w:szCs w:val="12"/>
                <w:color w:val="auto"/>
              </w:rPr>
              <w:t>Principal payments received</w:t>
            </w:r>
          </w:p>
        </w:tc>
        <w:tc>
          <w:tcPr>
            <w:tcW w:w="12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w:t>
            </w:r>
          </w:p>
        </w:tc>
      </w:tr>
      <w:tr>
        <w:trPr>
          <w:trHeight w:val="15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during the period</w:t>
            </w:r>
          </w:p>
        </w:tc>
        <w:tc>
          <w:tcPr>
            <w:tcW w:w="1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w:t>
            </w:r>
          </w:p>
        </w:tc>
      </w:tr>
      <w:tr>
        <w:trPr>
          <w:trHeight w:val="142"/>
        </w:trPr>
        <w:tc>
          <w:tcPr>
            <w:tcW w:w="85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tc>
        <w:tc>
          <w:tcPr>
            <w:tcW w:w="1220" w:type="dxa"/>
            <w:vAlign w:val="bottom"/>
            <w:tcBorders>
              <w:bottom w:val="single" w:sz="8" w:color="auto"/>
            </w:tcBorders>
          </w:tcPr>
          <w:p>
            <w:pPr>
              <w:jc w:val="right"/>
              <w:ind w:right="1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21,497</w:t>
            </w:r>
          </w:p>
        </w:tc>
      </w:tr>
      <w:tr>
        <w:trPr>
          <w:trHeight w:val="20"/>
        </w:trPr>
        <w:tc>
          <w:tcPr>
            <w:tcW w:w="8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As of September 30, 2026 and December 31, 2025, $18.4 million and $14.9 million of notes receivable were pledged as collateral for the Residual Finance Credit Facility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2026, the principal payments for the Company's notes receivable are due as follows: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Twelve months ending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840" w:type="dxa"/>
            <w:vAlign w:val="bottom"/>
            <w:tcBorders>
              <w:top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2,856</w:t>
            </w:r>
          </w:p>
        </w:tc>
      </w:tr>
      <w:tr>
        <w:trPr>
          <w:trHeight w:val="153"/>
        </w:trPr>
        <w:tc>
          <w:tcPr>
            <w:tcW w:w="932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8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4,467</w:t>
            </w:r>
          </w:p>
        </w:tc>
      </w:tr>
      <w:tr>
        <w:trPr>
          <w:trHeight w:val="153"/>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8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5,608</w:t>
            </w:r>
          </w:p>
        </w:tc>
      </w:tr>
      <w:tr>
        <w:trPr>
          <w:trHeight w:val="153"/>
        </w:trPr>
        <w:tc>
          <w:tcPr>
            <w:tcW w:w="9320" w:type="dxa"/>
            <w:vAlign w:val="bottom"/>
          </w:tcPr>
          <w:p>
            <w:pPr>
              <w:spacing w:after="0"/>
              <w:rPr>
                <w:sz w:val="20"/>
                <w:szCs w:val="20"/>
                <w:color w:val="auto"/>
              </w:rPr>
            </w:pPr>
            <w:r>
              <w:rPr>
                <w:rFonts w:ascii="Times New Roman" w:cs="Times New Roman" w:eastAsia="Times New Roman" w:hAnsi="Times New Roman"/>
                <w:sz w:val="12"/>
                <w:szCs w:val="12"/>
                <w:color w:val="auto"/>
              </w:rPr>
              <w:t>2030</w:t>
            </w:r>
          </w:p>
        </w:tc>
        <w:tc>
          <w:tcPr>
            <w:tcW w:w="8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5,412</w:t>
            </w:r>
          </w:p>
        </w:tc>
      </w:tr>
      <w:tr>
        <w:trPr>
          <w:trHeight w:val="153"/>
        </w:trPr>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2031</w:t>
            </w:r>
          </w:p>
        </w:tc>
        <w:tc>
          <w:tcPr>
            <w:tcW w:w="8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w:t>
            </w:r>
          </w:p>
        </w:tc>
      </w:tr>
      <w:tr>
        <w:trPr>
          <w:trHeight w:val="153"/>
        </w:trPr>
        <w:tc>
          <w:tcPr>
            <w:tcW w:w="9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9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40" w:type="dxa"/>
            <w:vAlign w:val="bottom"/>
            <w:tcBorders>
              <w:bottom w:val="single" w:sz="8" w:color="auto"/>
            </w:tcBorders>
            <w:shd w:val="clear" w:color="auto" w:fill="CCEEFF"/>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21,497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21" w:name="page22"/>
    <w:bookmarkEnd w:id="21"/>
    <w:p>
      <w:pPr>
        <w:ind w:left="208" w:hanging="208"/>
        <w:spacing w:after="0"/>
        <w:tabs>
          <w:tab w:leader="none" w:pos="20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Equipment and Software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summary of property, equipment and software, net was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60" w:type="dxa"/>
            <w:vAlign w:val="bottom"/>
          </w:tcPr>
          <w:p>
            <w:pPr>
              <w:spacing w:after="0"/>
              <w:rPr>
                <w:sz w:val="13"/>
                <w:szCs w:val="13"/>
                <w:color w:val="auto"/>
              </w:rPr>
            </w:pPr>
          </w:p>
        </w:tc>
        <w:tc>
          <w:tcPr>
            <w:tcW w:w="164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42"/>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w:t>
            </w:r>
          </w:p>
        </w:tc>
        <w:tc>
          <w:tcPr>
            <w:tcW w:w="1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143,537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125,073</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14,530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14,037</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2,621</w:t>
            </w:r>
          </w:p>
        </w:tc>
      </w:tr>
      <w:tr>
        <w:trPr>
          <w:trHeight w:val="153"/>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4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875</w:t>
            </w:r>
          </w:p>
        </w:tc>
      </w:tr>
      <w:tr>
        <w:trPr>
          <w:trHeight w:val="14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equipment and software</w:t>
            </w:r>
          </w:p>
        </w:tc>
        <w:tc>
          <w:tcPr>
            <w:tcW w:w="1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161,557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142,606</w:t>
            </w:r>
          </w:p>
        </w:tc>
      </w:tr>
      <w:tr>
        <w:trPr>
          <w:trHeight w:val="153"/>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(99,796)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(86,245)</w:t>
            </w:r>
          </w:p>
        </w:tc>
      </w:tr>
      <w:tr>
        <w:trPr>
          <w:trHeight w:val="15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work in-progress</w:t>
            </w:r>
          </w:p>
        </w:tc>
        <w:tc>
          <w:tcPr>
            <w:tcW w:w="1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2,275</w:t>
            </w:r>
          </w:p>
        </w:tc>
      </w:tr>
      <w:tr>
        <w:trPr>
          <w:trHeight w:val="142"/>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Property, equipment and software, net</w:t>
            </w:r>
          </w:p>
        </w:tc>
        <w:tc>
          <w:tcPr>
            <w:tcW w:w="1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65,325</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58,636</w:t>
            </w:r>
          </w:p>
        </w:tc>
      </w:tr>
      <w:tr>
        <w:trPr>
          <w:trHeight w:val="20"/>
        </w:trPr>
        <w:tc>
          <w:tcPr>
            <w:tcW w:w="3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r>
      <w:tr>
        <w:trPr>
          <w:trHeight w:val="354"/>
        </w:trPr>
        <w:tc>
          <w:tcPr>
            <w:tcW w:w="3240" w:type="dxa"/>
            <w:vAlign w:val="bottom"/>
          </w:tcPr>
          <w:p>
            <w:pPr>
              <w:spacing w:after="0"/>
              <w:rPr>
                <w:sz w:val="24"/>
                <w:szCs w:val="24"/>
                <w:color w:val="auto"/>
              </w:rPr>
            </w:pPr>
          </w:p>
        </w:tc>
        <w:tc>
          <w:tcPr>
            <w:tcW w:w="34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3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expense</w:t>
            </w:r>
          </w:p>
        </w:tc>
        <w:tc>
          <w:tcPr>
            <w:tcW w:w="1400" w:type="dxa"/>
            <w:vAlign w:val="bottom"/>
            <w:shd w:val="clear" w:color="auto" w:fill="CCEEFF"/>
          </w:tcPr>
          <w:p>
            <w:pPr>
              <w:jc w:val="right"/>
              <w:ind w:right="12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4,823</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124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w:t>
            </w:r>
          </w:p>
        </w:tc>
      </w:tr>
    </w:tbl>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Computer software represents purchased software and internally developed software that is used to provide the Company's services to its customers.</w:t>
      </w:r>
    </w:p>
    <w:p>
      <w:pPr>
        <w:spacing w:after="0" w:line="78" w:lineRule="exact"/>
        <w:rPr>
          <w:sz w:val="20"/>
          <w:szCs w:val="20"/>
          <w:color w:val="auto"/>
        </w:rPr>
      </w:pPr>
    </w:p>
    <w:p>
      <w:pPr>
        <w:ind w:left="8" w:right="380"/>
        <w:spacing w:after="0" w:line="279" w:lineRule="auto"/>
        <w:rPr>
          <w:sz w:val="20"/>
          <w:szCs w:val="20"/>
          <w:color w:val="auto"/>
        </w:rPr>
      </w:pPr>
      <w:r>
        <w:rPr>
          <w:rFonts w:ascii="Times New Roman" w:cs="Times New Roman" w:eastAsia="Times New Roman" w:hAnsi="Times New Roman"/>
          <w:sz w:val="12"/>
          <w:szCs w:val="12"/>
          <w:color w:val="auto"/>
        </w:rPr>
        <w:t>Fully depreciated assets are retained in property, equipment and software, net, until removed from service. No fully depreciated assets were removed from service during the three months ended September 30, 2026. Certain fully depreciated assets were removed from service during the nine months ended September 30, 2026 and three and nine months ended September 30, 2025.</w:t>
      </w:r>
    </w:p>
    <w:p>
      <w:pPr>
        <w:spacing w:after="0" w:line="200" w:lineRule="exact"/>
        <w:rPr>
          <w:sz w:val="20"/>
          <w:szCs w:val="20"/>
          <w:color w:val="auto"/>
        </w:rPr>
      </w:pP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  Goodwill and Intangible Assets</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The Company's goodwill relates to the following reportable segments:</w:t>
            </w: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280" w:type="dxa"/>
            <w:vAlign w:val="bottom"/>
          </w:tcPr>
          <w:p>
            <w:pPr>
              <w:spacing w:after="0"/>
              <w:rPr>
                <w:sz w:val="24"/>
                <w:szCs w:val="24"/>
                <w:color w:val="auto"/>
              </w:rPr>
            </w:pPr>
          </w:p>
        </w:tc>
        <w:tc>
          <w:tcPr>
            <w:tcW w:w="170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42"/>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Merchant Solutions</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167,091</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158,298</w:t>
            </w:r>
          </w:p>
        </w:tc>
        <w:tc>
          <w:tcPr>
            <w:tcW w:w="0" w:type="dxa"/>
            <w:vAlign w:val="bottom"/>
          </w:tcPr>
          <w:p>
            <w:pPr>
              <w:spacing w:after="0"/>
              <w:rPr>
                <w:sz w:val="1"/>
                <w:szCs w:val="1"/>
                <w:color w:val="auto"/>
              </w:rPr>
            </w:pPr>
          </w:p>
        </w:tc>
      </w:tr>
      <w:tr>
        <w:trPr>
          <w:trHeight w:val="153"/>
        </w:trPr>
        <w:tc>
          <w:tcPr>
            <w:tcW w:w="7260" w:type="dxa"/>
            <w:vAlign w:val="bottom"/>
          </w:tcPr>
          <w:p>
            <w:pPr>
              <w:spacing w:after="0"/>
              <w:rPr>
                <w:sz w:val="20"/>
                <w:szCs w:val="20"/>
                <w:color w:val="auto"/>
              </w:rPr>
            </w:pPr>
            <w:r>
              <w:rPr>
                <w:rFonts w:ascii="Times New Roman" w:cs="Times New Roman" w:eastAsia="Times New Roman" w:hAnsi="Times New Roman"/>
                <w:sz w:val="12"/>
                <w:szCs w:val="12"/>
                <w:color w:val="auto"/>
              </w:rPr>
              <w:t>Treasury Solutions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250,890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251,103</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Payables</w:t>
            </w: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7,240</w:t>
            </w:r>
          </w:p>
        </w:tc>
        <w:tc>
          <w:tcPr>
            <w:tcW w:w="0" w:type="dxa"/>
            <w:vAlign w:val="bottom"/>
          </w:tcPr>
          <w:p>
            <w:pPr>
              <w:spacing w:after="0"/>
              <w:rPr>
                <w:sz w:val="1"/>
                <w:szCs w:val="1"/>
                <w:color w:val="auto"/>
              </w:rPr>
            </w:pPr>
          </w:p>
        </w:tc>
      </w:tr>
      <w:tr>
        <w:trPr>
          <w:trHeight w:val="142"/>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425,221</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416,641</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The following table summarizes the changes in the carrying value of goodwill:</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7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0" w:type="dxa"/>
            <w:vAlign w:val="bottom"/>
          </w:tcPr>
          <w:p>
            <w:pPr>
              <w:spacing w:after="0"/>
              <w:rPr>
                <w:sz w:val="1"/>
                <w:szCs w:val="1"/>
                <w:color w:val="auto"/>
              </w:rPr>
            </w:pPr>
          </w:p>
        </w:tc>
      </w:tr>
      <w:tr>
        <w:trPr>
          <w:trHeight w:val="142"/>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416,641</w:t>
            </w:r>
          </w:p>
        </w:tc>
        <w:tc>
          <w:tcPr>
            <w:tcW w:w="0" w:type="dxa"/>
            <w:vAlign w:val="bottom"/>
          </w:tcPr>
          <w:p>
            <w:pPr>
              <w:spacing w:after="0"/>
              <w:rPr>
                <w:sz w:val="1"/>
                <w:szCs w:val="1"/>
                <w:color w:val="auto"/>
              </w:rPr>
            </w:pPr>
          </w:p>
        </w:tc>
      </w:tr>
      <w:tr>
        <w:trPr>
          <w:trHeight w:val="153"/>
        </w:trPr>
        <w:tc>
          <w:tcPr>
            <w:tcW w:w="7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IntelliPay acquisition</w:t>
            </w:r>
          </w:p>
        </w:tc>
        <w:tc>
          <w:tcPr>
            <w:tcW w:w="2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8,793</w:t>
            </w: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28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at September 30, 2026</w:t>
            </w:r>
          </w:p>
        </w:tc>
        <w:tc>
          <w:tcPr>
            <w:tcW w:w="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425,221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has started the process of its annual impairment test as of October 1, 2026, but no conclusion has been reached as of the date of the issuance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5"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59"/>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Intangible Assets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Intangible assets consisted of the following:</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September 30, 2026</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20" w:type="dxa"/>
            <w:vAlign w:val="bottom"/>
          </w:tcPr>
          <w:p>
            <w:pPr>
              <w:spacing w:after="0"/>
              <w:rPr>
                <w:sz w:val="8"/>
                <w:szCs w:val="8"/>
                <w:color w:val="auto"/>
              </w:rPr>
            </w:pPr>
          </w:p>
        </w:tc>
        <w:tc>
          <w:tcPr>
            <w:tcW w:w="17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33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1060" w:type="dxa"/>
            <w:vAlign w:val="bottom"/>
            <w:gridSpan w:val="2"/>
          </w:tcPr>
          <w:p>
            <w:pPr>
              <w:jc w:val="center"/>
              <w:ind w:left="8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230,283</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(75,412)</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154,871</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181,529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(134,545)</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46,984</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6.0</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143,501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7"/>
              </w:rPr>
              <w:t>(102,792)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40,709</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(71,413)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11,937</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65,683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(36,736)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28,947</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8.6</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14,370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6,587</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8.0</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8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720,816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(428,681)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292,135</w:t>
            </w:r>
          </w:p>
        </w:tc>
        <w:tc>
          <w:tcPr>
            <w:tcW w:w="162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9.5</w:t>
            </w:r>
          </w:p>
        </w:tc>
        <w:tc>
          <w:tcPr>
            <w:tcW w:w="0" w:type="dxa"/>
            <w:vAlign w:val="bottom"/>
          </w:tcPr>
          <w:p>
            <w:pPr>
              <w:spacing w:after="0"/>
              <w:rPr>
                <w:sz w:val="1"/>
                <w:szCs w:val="1"/>
                <w:color w:val="auto"/>
              </w:rPr>
            </w:pPr>
          </w:p>
        </w:tc>
      </w:tr>
      <w:tr>
        <w:trPr>
          <w:trHeight w:val="347"/>
        </w:trPr>
        <w:tc>
          <w:tcPr>
            <w:tcW w:w="42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w:t>
            </w:r>
          </w:p>
        </w:tc>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These assets have an indefinite useful life.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Weighted-average</w:t>
            </w:r>
          </w:p>
        </w:tc>
        <w:tc>
          <w:tcPr>
            <w:tcW w:w="0" w:type="dxa"/>
            <w:vAlign w:val="bottom"/>
          </w:tcPr>
          <w:p>
            <w:pPr>
              <w:spacing w:after="0"/>
              <w:rPr>
                <w:sz w:val="1"/>
                <w:szCs w:val="1"/>
                <w:color w:val="auto"/>
              </w:rPr>
            </w:pPr>
          </w:p>
        </w:tc>
      </w:tr>
      <w:tr>
        <w:trPr>
          <w:trHeight w:val="97"/>
        </w:trPr>
        <w:tc>
          <w:tcPr>
            <w:tcW w:w="4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Gross Carrying Value</w:t>
            </w:r>
          </w:p>
        </w:tc>
        <w:tc>
          <w:tcPr>
            <w:tcW w:w="120" w:type="dxa"/>
            <w:vAlign w:val="bottom"/>
          </w:tcPr>
          <w:p>
            <w:pPr>
              <w:spacing w:after="0"/>
              <w:rPr>
                <w:sz w:val="8"/>
                <w:szCs w:val="8"/>
                <w:color w:val="auto"/>
              </w:rPr>
            </w:pPr>
          </w:p>
        </w:tc>
        <w:tc>
          <w:tcPr>
            <w:tcW w:w="17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 Amortization</w:t>
            </w:r>
          </w:p>
        </w:tc>
        <w:tc>
          <w:tcPr>
            <w:tcW w:w="220" w:type="dxa"/>
            <w:vAlign w:val="bottom"/>
          </w:tcPr>
          <w:p>
            <w:pPr>
              <w:spacing w:after="0"/>
              <w:rPr>
                <w:sz w:val="8"/>
                <w:szCs w:val="8"/>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Net Carrying Value</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3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 except weighted-average data)</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Useful Life</w:t>
            </w:r>
          </w:p>
        </w:tc>
        <w:tc>
          <w:tcPr>
            <w:tcW w:w="0" w:type="dxa"/>
            <w:vAlign w:val="bottom"/>
          </w:tcPr>
          <w:p>
            <w:pPr>
              <w:spacing w:after="0"/>
              <w:rPr>
                <w:sz w:val="1"/>
                <w:szCs w:val="1"/>
                <w:color w:val="auto"/>
              </w:rPr>
            </w:pPr>
          </w:p>
        </w:tc>
      </w:tr>
      <w:tr>
        <w:trPr>
          <w:trHeight w:val="133"/>
        </w:trPr>
        <w:tc>
          <w:tcPr>
            <w:tcW w:w="33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Intangible assets:</w:t>
            </w:r>
          </w:p>
        </w:tc>
        <w:tc>
          <w:tcPr>
            <w:tcW w:w="9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ISO and referral partner relationships</w:t>
            </w:r>
          </w:p>
        </w:tc>
        <w:tc>
          <w:tcPr>
            <w:tcW w:w="1060" w:type="dxa"/>
            <w:vAlign w:val="bottom"/>
            <w:gridSpan w:val="2"/>
          </w:tcPr>
          <w:p>
            <w:pPr>
              <w:jc w:val="center"/>
              <w:ind w:left="86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223,016</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(63,701)</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159,315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rPr>
              <w:t>13.8</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Residual buyouts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177,864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(119,861)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58,003</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6.0</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Customer relationships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139,463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(98,478)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40,985</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8.8</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Merchant portfolios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83,350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(68,787)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14,563</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3"/>
              </w:rPr>
              <w:t>6.5</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Technology</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63,602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(32,684)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30,918</w:t>
            </w:r>
          </w:p>
        </w:tc>
        <w:tc>
          <w:tcPr>
            <w:tcW w:w="1620" w:type="dxa"/>
            <w:vAlign w:val="bottom"/>
            <w:gridSpan w:val="2"/>
          </w:tcPr>
          <w:p>
            <w:pPr>
              <w:jc w:val="center"/>
              <w:ind w:left="20"/>
              <w:spacing w:after="0"/>
              <w:rPr>
                <w:sz w:val="20"/>
                <w:szCs w:val="20"/>
                <w:color w:val="auto"/>
              </w:rPr>
            </w:pPr>
            <w:r>
              <w:rPr>
                <w:rFonts w:ascii="Times New Roman" w:cs="Times New Roman" w:eastAsia="Times New Roman" w:hAnsi="Times New Roman"/>
                <w:sz w:val="12"/>
                <w:szCs w:val="12"/>
                <w:color w:val="auto"/>
                <w:w w:val="93"/>
              </w:rPr>
              <w:t>8.5</w:t>
            </w:r>
          </w:p>
        </w:tc>
        <w:tc>
          <w:tcPr>
            <w:tcW w:w="0" w:type="dxa"/>
            <w:vAlign w:val="bottom"/>
          </w:tcPr>
          <w:p>
            <w:pPr>
              <w:spacing w:after="0"/>
              <w:rPr>
                <w:sz w:val="1"/>
                <w:szCs w:val="1"/>
                <w:color w:val="auto"/>
              </w:rPr>
            </w:pPr>
          </w:p>
        </w:tc>
      </w:tr>
      <w:tr>
        <w:trPr>
          <w:trHeight w:val="153"/>
        </w:trPr>
        <w:tc>
          <w:tcPr>
            <w:tcW w:w="3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names</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13,329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9,306</w:t>
            </w:r>
          </w:p>
        </w:tc>
        <w:tc>
          <w:tcPr>
            <w:tcW w:w="16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rPr>
              <w:t>10.6</w:t>
            </w:r>
          </w:p>
        </w:tc>
        <w:tc>
          <w:tcPr>
            <w:tcW w:w="0" w:type="dxa"/>
            <w:vAlign w:val="bottom"/>
          </w:tcPr>
          <w:p>
            <w:pPr>
              <w:spacing w:after="0"/>
              <w:rPr>
                <w:sz w:val="1"/>
                <w:szCs w:val="1"/>
                <w:color w:val="auto"/>
              </w:rPr>
            </w:pPr>
          </w:p>
        </w:tc>
      </w:tr>
      <w:tr>
        <w:trPr>
          <w:trHeight w:val="153"/>
        </w:trPr>
        <w:tc>
          <w:tcPr>
            <w:tcW w:w="330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2"/>
                <w:szCs w:val="12"/>
                <w:color w:val="auto"/>
              </w:rPr>
              <w:t>Money transmission licenses</w:t>
            </w:r>
            <w:r>
              <w:rPr>
                <w:rFonts w:ascii="Times New Roman" w:cs="Times New Roman" w:eastAsia="Times New Roman" w:hAnsi="Times New Roman"/>
                <w:sz w:val="15"/>
                <w:szCs w:val="15"/>
                <w:color w:val="auto"/>
                <w:vertAlign w:val="superscript"/>
              </w:rPr>
              <w:t>(1)</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2,100</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88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702,724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7"/>
              </w:rPr>
              <w:t>(387,534)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315,190</w:t>
            </w:r>
          </w:p>
        </w:tc>
        <w:tc>
          <w:tcPr>
            <w:tcW w:w="1620" w:type="dxa"/>
            <w:vAlign w:val="bottom"/>
            <w:tcBorders>
              <w:top w:val="single" w:sz="8" w:color="CCEEFF"/>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3"/>
              </w:rPr>
              <w:t>9.4</w:t>
            </w:r>
          </w:p>
        </w:tc>
        <w:tc>
          <w:tcPr>
            <w:tcW w:w="0" w:type="dxa"/>
            <w:vAlign w:val="bottom"/>
          </w:tcPr>
          <w:p>
            <w:pPr>
              <w:spacing w:after="0"/>
              <w:rPr>
                <w:sz w:val="1"/>
                <w:szCs w:val="1"/>
                <w:color w:val="auto"/>
              </w:rPr>
            </w:pPr>
          </w:p>
        </w:tc>
      </w:tr>
      <w:tr>
        <w:trPr>
          <w:trHeight w:val="338"/>
        </w:trPr>
        <w:tc>
          <w:tcPr>
            <w:tcW w:w="420" w:type="dxa"/>
            <w:vAlign w:val="bottom"/>
          </w:tcPr>
          <w:p>
            <w:pPr>
              <w:ind w:left="200"/>
              <w:spacing w:after="0"/>
              <w:rPr>
                <w:sz w:val="20"/>
                <w:szCs w:val="20"/>
                <w:color w:val="auto"/>
              </w:rPr>
            </w:pPr>
            <w:r>
              <w:rPr>
                <w:rFonts w:ascii="Times New Roman" w:cs="Times New Roman" w:eastAsia="Times New Roman" w:hAnsi="Times New Roman"/>
                <w:sz w:val="8"/>
                <w:szCs w:val="8"/>
                <w:color w:val="auto"/>
              </w:rPr>
              <w:t>(1)</w:t>
            </w:r>
          </w:p>
        </w:tc>
        <w:tc>
          <w:tcPr>
            <w:tcW w:w="2880" w:type="dxa"/>
            <w:vAlign w:val="bottom"/>
          </w:tcPr>
          <w:p>
            <w:pPr>
              <w:spacing w:after="0"/>
              <w:rPr>
                <w:sz w:val="20"/>
                <w:szCs w:val="20"/>
                <w:color w:val="auto"/>
              </w:rPr>
            </w:pPr>
            <w:r>
              <w:rPr>
                <w:rFonts w:ascii="Times New Roman" w:cs="Times New Roman" w:eastAsia="Times New Roman" w:hAnsi="Times New Roman"/>
                <w:sz w:val="12"/>
                <w:szCs w:val="12"/>
                <w:color w:val="auto"/>
              </w:rPr>
              <w:t>These assets have an indefinite useful life.</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0" w:type="dxa"/>
            <w:vAlign w:val="bottom"/>
          </w:tcPr>
          <w:p>
            <w:pPr>
              <w:spacing w:after="0"/>
              <w:rPr>
                <w:sz w:val="1"/>
                <w:szCs w:val="1"/>
                <w:color w:val="auto"/>
              </w:rPr>
            </w:pPr>
          </w:p>
        </w:tc>
      </w:tr>
      <w:tr>
        <w:trPr>
          <w:trHeight w:val="142"/>
        </w:trPr>
        <w:tc>
          <w:tcPr>
            <w:tcW w:w="330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Amortization expense</w:t>
            </w:r>
            <w:r>
              <w:rPr>
                <w:rFonts w:ascii="Times New Roman" w:cs="Times New Roman" w:eastAsia="Times New Roman" w:hAnsi="Times New Roman"/>
                <w:sz w:val="15"/>
                <w:szCs w:val="15"/>
                <w:color w:val="auto"/>
                <w:vertAlign w:val="superscript"/>
              </w:rPr>
              <w:t>(1)</w:t>
            </w:r>
          </w:p>
        </w:tc>
        <w:tc>
          <w:tcPr>
            <w:tcW w:w="94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13,408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42,998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30,869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20" w:right="220" w:hanging="212"/>
        <w:spacing w:after="0" w:line="222" w:lineRule="auto"/>
        <w:tabs>
          <w:tab w:leader="none" w:pos="412"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amortization expense is $0.6 million and $1.8 million for the three and nine months ended September 30, 2026, respectively, and $0.6 million and $1.8 million for the three and nine months ended September 30, 2025 respectively, related to the amortization of certain contract acquisition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2026, there were no impairment indicators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59"/>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Debt Obligations</w:t>
            </w: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Outstanding debt obligations consisted of the following:</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Pr>
          <w:p>
            <w:pPr>
              <w:spacing w:after="0"/>
              <w:rPr>
                <w:sz w:val="24"/>
                <w:szCs w:val="24"/>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300" w:type="dxa"/>
            <w:vAlign w:val="bottom"/>
          </w:tcPr>
          <w:p>
            <w:pPr>
              <w:spacing w:after="0"/>
              <w:rPr>
                <w:sz w:val="24"/>
                <w:szCs w:val="24"/>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3"/>
        </w:trPr>
        <w:tc>
          <w:tcPr>
            <w:tcW w:w="72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2024 Credit Agreement</w:t>
            </w:r>
          </w:p>
        </w:tc>
        <w:tc>
          <w:tcPr>
            <w:tcW w:w="260" w:type="dxa"/>
            <w:vAlign w:val="bottom"/>
            <w:tcBorders>
              <w:top w:val="single" w:sz="8" w:color="auto"/>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Term facility - matures July 31, 2032, interest rate of 7.82% and 7.47% at September 30, 2026 and December 31, 2025, respectively</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1,020,000</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1,020,000</w:t>
            </w:r>
          </w:p>
        </w:tc>
        <w:tc>
          <w:tcPr>
            <w:tcW w:w="0" w:type="dxa"/>
            <w:vAlign w:val="bottom"/>
          </w:tcPr>
          <w:p>
            <w:pPr>
              <w:spacing w:after="0"/>
              <w:rPr>
                <w:sz w:val="1"/>
                <w:szCs w:val="1"/>
                <w:color w:val="auto"/>
              </w:rPr>
            </w:pPr>
          </w:p>
        </w:tc>
      </w:tr>
      <w:tr>
        <w:trPr>
          <w:trHeight w:val="117"/>
        </w:trPr>
        <w:tc>
          <w:tcPr>
            <w:tcW w:w="720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Revolving credit facility - $100.0 million line matures July 31, 2030, interest rate of 7.57% and 7.22% at September 30, 2026 and December 31,</w:t>
            </w:r>
          </w:p>
        </w:tc>
        <w:tc>
          <w:tcPr>
            <w:tcW w:w="260" w:type="dxa"/>
            <w:vAlign w:val="bottom"/>
            <w:shd w:val="clear" w:color="auto" w:fill="CCEEFF"/>
          </w:tcPr>
          <w:p>
            <w:pPr>
              <w:spacing w:after="0"/>
              <w:rPr>
                <w:sz w:val="10"/>
                <w:szCs w:val="10"/>
                <w:color w:val="auto"/>
              </w:rPr>
            </w:pPr>
          </w:p>
        </w:tc>
        <w:tc>
          <w:tcPr>
            <w:tcW w:w="1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9"/>
        </w:trPr>
        <w:tc>
          <w:tcPr>
            <w:tcW w:w="7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 respectively</w:t>
            </w:r>
          </w:p>
        </w:tc>
        <w:tc>
          <w:tcPr>
            <w:tcW w:w="260" w:type="dxa"/>
            <w:vAlign w:val="bottom"/>
            <w:shd w:val="clear" w:color="auto" w:fill="CCEEFF"/>
          </w:tcPr>
          <w:p>
            <w:pPr>
              <w:spacing w:after="0"/>
              <w:rPr>
                <w:sz w:val="8"/>
                <w:szCs w:val="8"/>
                <w:color w:val="auto"/>
              </w:rPr>
            </w:pPr>
          </w:p>
        </w:tc>
        <w:tc>
          <w:tcPr>
            <w:tcW w:w="176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6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72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Residual Finance Credit Facility</w:t>
            </w:r>
          </w:p>
        </w:tc>
        <w:tc>
          <w:tcPr>
            <w:tcW w:w="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facility - matures August 18, 2031, interest rate of 10.14% and 9.98% at September 30, 2026 and December 31, 2025, respectively</w:t>
            </w:r>
          </w:p>
        </w:tc>
        <w:tc>
          <w:tcPr>
            <w:tcW w:w="26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44,696</w:t>
            </w:r>
          </w:p>
        </w:tc>
        <w:tc>
          <w:tcPr>
            <w:tcW w:w="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35,394</w:t>
            </w:r>
          </w:p>
        </w:tc>
        <w:tc>
          <w:tcPr>
            <w:tcW w:w="0" w:type="dxa"/>
            <w:vAlign w:val="bottom"/>
          </w:tcPr>
          <w:p>
            <w:pPr>
              <w:spacing w:after="0"/>
              <w:rPr>
                <w:sz w:val="1"/>
                <w:szCs w:val="1"/>
                <w:color w:val="auto"/>
              </w:rPr>
            </w:pPr>
          </w:p>
        </w:tc>
      </w:tr>
      <w:tr>
        <w:trPr>
          <w:trHeight w:val="142"/>
        </w:trPr>
        <w:tc>
          <w:tcPr>
            <w:tcW w:w="72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 debt obligations</w:t>
            </w:r>
          </w:p>
        </w:tc>
        <w:tc>
          <w:tcPr>
            <w:tcW w:w="26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1,064,696</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1,055,394</w:t>
            </w:r>
          </w:p>
        </w:tc>
        <w:tc>
          <w:tcPr>
            <w:tcW w:w="0" w:type="dxa"/>
            <w:vAlign w:val="bottom"/>
          </w:tcPr>
          <w:p>
            <w:pPr>
              <w:spacing w:after="0"/>
              <w:rPr>
                <w:sz w:val="1"/>
                <w:szCs w:val="1"/>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26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unamortized debt discounts and deferred financing costs</w:t>
            </w:r>
          </w:p>
        </w:tc>
        <w:tc>
          <w:tcPr>
            <w:tcW w:w="2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(14,587)</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(16,036)</w:t>
            </w:r>
          </w:p>
        </w:tc>
        <w:tc>
          <w:tcPr>
            <w:tcW w:w="0" w:type="dxa"/>
            <w:vAlign w:val="bottom"/>
          </w:tcPr>
          <w:p>
            <w:pPr>
              <w:spacing w:after="0"/>
              <w:rPr>
                <w:sz w:val="1"/>
                <w:szCs w:val="1"/>
                <w:color w:val="auto"/>
              </w:rPr>
            </w:pPr>
          </w:p>
        </w:tc>
      </w:tr>
      <w:tr>
        <w:trPr>
          <w:trHeight w:val="158"/>
        </w:trPr>
        <w:tc>
          <w:tcPr>
            <w:tcW w:w="7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 net</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1,044,409</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1,039,358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Expense and Amortization of Deferred Loan Costs and Discounts</w:t>
      </w:r>
    </w:p>
    <w:p>
      <w:pPr>
        <w:spacing w:after="0" w:line="15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Deferred financing costs and debt discounts are amortized using the effective interest method over the remaining term of the respective debt and are recorded as a component of interest expense. Unamortized deferred financing costs and debt discounts are included in long-term debt on the Company's Unaudited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for outstanding debt, including fees for undrawn amounts and amortization of deferred financing costs and debt discounts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300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c>
          <w:tcPr>
            <w:tcW w:w="1120" w:type="dxa"/>
            <w:vAlign w:val="bottom"/>
            <w:tcBorders>
              <w:bottom w:val="single" w:sz="8" w:color="auto"/>
            </w:tcBorders>
          </w:tcPr>
          <w:p>
            <w:pPr>
              <w:spacing w:after="0"/>
              <w:rPr>
                <w:sz w:val="13"/>
                <w:szCs w:val="13"/>
                <w:color w:val="auto"/>
              </w:rPr>
            </w:pPr>
          </w:p>
        </w:tc>
      </w:tr>
      <w:tr>
        <w:trPr>
          <w:trHeight w:val="14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1"/>
              </w:rPr>
              <w:t>2025</w:t>
            </w:r>
          </w:p>
        </w:tc>
      </w:tr>
      <w:tr>
        <w:trPr>
          <w:trHeight w:val="142"/>
        </w:trPr>
        <w:tc>
          <w:tcPr>
            <w:tcW w:w="36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2"/>
                <w:szCs w:val="12"/>
                <w:color w:val="auto"/>
              </w:rPr>
              <w:t>Interest expense</w:t>
            </w:r>
            <w:r>
              <w:rPr>
                <w:rFonts w:ascii="Times New Roman" w:cs="Times New Roman" w:eastAsia="Times New Roman" w:hAnsi="Times New Roman"/>
                <w:sz w:val="15"/>
                <w:szCs w:val="15"/>
                <w:color w:val="auto"/>
                <w:vertAlign w:val="superscript"/>
              </w:rPr>
              <w:t>(1)(2)</w:t>
            </w: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21,190</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63,257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68,693</w:t>
            </w:r>
          </w:p>
        </w:tc>
      </w:tr>
    </w:tbl>
    <w:p>
      <w:pPr>
        <w:spacing w:after="0" w:line="187" w:lineRule="exact"/>
        <w:rPr>
          <w:sz w:val="20"/>
          <w:szCs w:val="20"/>
          <w:color w:val="auto"/>
        </w:rPr>
      </w:pPr>
    </w:p>
    <w:p>
      <w:pPr>
        <w:ind w:left="420" w:right="20" w:hanging="212"/>
        <w:spacing w:after="0" w:line="222" w:lineRule="auto"/>
        <w:tabs>
          <w:tab w:leader="none" w:pos="412"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interest expense is $0.0 million and $0.7 million related to the accretion of deferred consideration from acquisitions for the three and nine months ended ended September 30, 2026, respectively, and $0.4 million and $2.5 million for the three and nine months ended ended September 30, 2025, respectively.</w:t>
      </w:r>
    </w:p>
    <w:p>
      <w:pPr>
        <w:spacing w:after="0" w:line="62" w:lineRule="exact"/>
        <w:rPr>
          <w:rFonts w:ascii="Times New Roman" w:cs="Times New Roman" w:eastAsia="Times New Roman" w:hAnsi="Times New Roman"/>
          <w:sz w:val="16"/>
          <w:szCs w:val="16"/>
          <w:color w:val="auto"/>
          <w:vertAlign w:val="superscript"/>
        </w:rPr>
      </w:pPr>
    </w:p>
    <w:p>
      <w:pPr>
        <w:ind w:left="420" w:right="480" w:hanging="212"/>
        <w:spacing w:after="0" w:line="222" w:lineRule="auto"/>
        <w:tabs>
          <w:tab w:leader="none" w:pos="412"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Interest expense included amortization of deferred financing costs and debt discounts of $0.5 million and $1.4 million for the three and nine months ended ended September 30, 2026, respectively, and $0.4 million and $1.3 million for the three and nine months ended September 30, 2025,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Covenants</w:t>
      </w:r>
    </w:p>
    <w:p>
      <w:pPr>
        <w:spacing w:after="0" w:line="8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The 2024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4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If the aggregate principal amount of outstanding revolving loans and letters of credit under the 2024 Credit Agreement exceeds 35% of the total revolving credit facility thereunder, the Company is required to comply with certain restrictions on its Total Net Leverage Ratio. If applicable, the maximum permitted Total Net Leverage Ratio is: 1) 6.90:1.00 at each fiscal quarter ended September 30, 2025 through March 31, 2026; 2) 6.40:1.00 at each fiscal quarter ended June 30, 2026 and each fiscal quarter thereafter.</w:t>
      </w:r>
    </w:p>
    <w:p>
      <w:pPr>
        <w:spacing w:after="0" w:line="47"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contains customary representations and warranties, financial and collateral requirements, mandatory payment events, events of default and affirmative and negative covenants, including without limitation, covenants</w:t>
      </w:r>
    </w:p>
    <w:p>
      <w:pPr>
        <w:spacing w:after="0" w:line="200" w:lineRule="exact"/>
        <w:rPr>
          <w:sz w:val="20"/>
          <w:szCs w:val="20"/>
          <w:color w:val="auto"/>
        </w:rPr>
      </w:pP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4" w:name="page25"/>
    <w:bookmarkEnd w:id="24"/>
    <w:p>
      <w:pPr>
        <w:ind w:left="8" w:right="300"/>
        <w:spacing w:after="0" w:line="279" w:lineRule="auto"/>
        <w:rPr>
          <w:sz w:val="20"/>
          <w:szCs w:val="20"/>
          <w:color w:val="auto"/>
        </w:rPr>
      </w:pPr>
      <w:r>
        <w:rPr>
          <w:rFonts w:ascii="Times New Roman" w:cs="Times New Roman" w:eastAsia="Times New Roman" w:hAnsi="Times New Roman"/>
          <w:sz w:val="12"/>
          <w:szCs w:val="12"/>
          <w:color w:val="auto"/>
        </w:rPr>
        <w:t>that restrict among other things, the ability to create liens, pay dividends or distribute assets from the loan parties to the Company, merge or consolidate, dispose of assets, incur additional indebtedness, make certain investments or acquisitions, and enter into certain transactions (including with affiliates).</w:t>
      </w:r>
    </w:p>
    <w:p>
      <w:pPr>
        <w:spacing w:after="0" w:line="39" w:lineRule="exact"/>
        <w:rPr>
          <w:sz w:val="20"/>
          <w:szCs w:val="20"/>
          <w:color w:val="auto"/>
        </w:rPr>
      </w:pPr>
    </w:p>
    <w:p>
      <w:pPr>
        <w:ind w:left="8" w:right="320"/>
        <w:spacing w:after="0" w:line="279" w:lineRule="auto"/>
        <w:rPr>
          <w:sz w:val="20"/>
          <w:szCs w:val="20"/>
          <w:color w:val="auto"/>
        </w:rPr>
      </w:pPr>
      <w:r>
        <w:rPr>
          <w:rFonts w:ascii="Times New Roman" w:cs="Times New Roman" w:eastAsia="Times New Roman" w:hAnsi="Times New Roman"/>
          <w:sz w:val="12"/>
          <w:szCs w:val="12"/>
          <w:color w:val="auto"/>
        </w:rPr>
        <w:t>The Residual Finance Credit Facility requires the Company to comply with certain restrictions including minimum liquidity of $2.0 million, minimum tangible net worth of $5.0 million, maximum default ratio of 2.5%, maximum delinquency ratio of 5.0%, and a minimum excess spread ratio of 1.00 to 1.00 at its subsidiary Priority Residual Finance LLC.</w:t>
      </w:r>
    </w:p>
    <w:p>
      <w:pPr>
        <w:spacing w:after="0" w:line="200" w:lineRule="exact"/>
        <w:rPr>
          <w:sz w:val="20"/>
          <w:szCs w:val="20"/>
          <w:color w:val="auto"/>
        </w:rPr>
      </w:pPr>
    </w:p>
    <w:p>
      <w:pPr>
        <w:spacing w:after="0" w:line="213" w:lineRule="exact"/>
        <w:rPr>
          <w:sz w:val="20"/>
          <w:szCs w:val="20"/>
          <w:color w:val="auto"/>
        </w:rPr>
      </w:pPr>
    </w:p>
    <w:p>
      <w:pPr>
        <w:ind w:left="208" w:hanging="208"/>
        <w:spacing w:after="0"/>
        <w:tabs>
          <w:tab w:leader="none" w:pos="208"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Company's consolidated effective income tax rate for the three and nine months ended September 30, 2026 was 26.3% and 27.0%, respectively, compared to a consolidated effective income tax rate of (273.5)% and (40.7)% for the three and nine months ended September 30, 2025, respectively. The 2026 effective rates differed from the statutory rate of 21.0% primarily due to certain forecasted nondeductible expenses, and the 2025 rates differed primarily due to a decrease in the valuation allowance against certain business interest carry over deferred tax assets.</w:t>
      </w:r>
    </w:p>
    <w:p>
      <w:pPr>
        <w:spacing w:after="0" w:line="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Valuation Allowance for Deferred Income Tax Assets</w:t>
      </w:r>
    </w:p>
    <w:p>
      <w:pPr>
        <w:spacing w:after="0" w:line="152" w:lineRule="exact"/>
        <w:rPr>
          <w:sz w:val="20"/>
          <w:szCs w:val="20"/>
          <w:color w:val="auto"/>
        </w:rPr>
      </w:pPr>
    </w:p>
    <w:p>
      <w:pPr>
        <w:jc w:val="both"/>
        <w:ind w:left="8" w:right="40"/>
        <w:spacing w:after="0" w:line="327" w:lineRule="auto"/>
        <w:rPr>
          <w:sz w:val="20"/>
          <w:szCs w:val="20"/>
          <w:color w:val="auto"/>
        </w:rPr>
      </w:pPr>
      <w:r>
        <w:rPr>
          <w:rFonts w:ascii="Times New Roman" w:cs="Times New Roman" w:eastAsia="Times New Roman" w:hAnsi="Times New Roman"/>
          <w:sz w:val="11"/>
          <w:szCs w:val="11"/>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1"/>
          <w:szCs w:val="11"/>
          <w:i w:val="1"/>
          <w:iCs w:val="1"/>
          <w:color w:val="auto"/>
        </w:rPr>
        <w:t>Income Taxes</w:t>
      </w:r>
      <w:r>
        <w:rPr>
          <w:rFonts w:ascii="Times New Roman" w:cs="Times New Roman" w:eastAsia="Times New Roman" w:hAnsi="Times New Roman"/>
          <w:sz w:val="11"/>
          <w:szCs w:val="11"/>
          <w:color w:val="auto"/>
        </w:rPr>
        <w:t>, the Company is required to provide a valuation allowance against deferred income tax assets when it is "more likely than not" that some portion or all of the deferred tax assets will not be realized.</w:t>
      </w:r>
    </w:p>
    <w:p>
      <w:pPr>
        <w:spacing w:after="0" w:line="15"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Based on management's assessment, as of September 30, 2026, the Company continues to record a full valuation allowance against certain transaction costs, and net deferred tax assets acquired as part of the Payslate acquisition. The Company will continue to evaluate the realizability of the net deferred tax asset on a quarterly basis and, as a result, the valuation allowance may change in future periods.</w:t>
      </w:r>
    </w:p>
    <w:p>
      <w:pPr>
        <w:spacing w:after="0" w:line="200" w:lineRule="exact"/>
        <w:rPr>
          <w:sz w:val="20"/>
          <w:szCs w:val="20"/>
          <w:color w:val="auto"/>
        </w:rPr>
      </w:pPr>
    </w:p>
    <w:p>
      <w:pPr>
        <w:spacing w:after="0" w:line="213" w:lineRule="exact"/>
        <w:rPr>
          <w:sz w:val="20"/>
          <w:szCs w:val="20"/>
          <w:color w:val="auto"/>
        </w:rPr>
      </w:pPr>
    </w:p>
    <w:p>
      <w:pPr>
        <w:ind w:left="308" w:hanging="308"/>
        <w:spacing w:after="0"/>
        <w:tabs>
          <w:tab w:leader="none" w:pos="308"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Deficit</w:t>
      </w:r>
    </w:p>
    <w:p>
      <w:pPr>
        <w:spacing w:after="0" w:line="154" w:lineRule="exact"/>
        <w:rPr>
          <w:sz w:val="20"/>
          <w:szCs w:val="20"/>
          <w:color w:val="auto"/>
        </w:rPr>
      </w:pPr>
    </w:p>
    <w:p>
      <w:pPr>
        <w:ind w:left="8" w:right="160"/>
        <w:spacing w:after="0" w:line="279" w:lineRule="auto"/>
        <w:rPr>
          <w:sz w:val="20"/>
          <w:szCs w:val="20"/>
          <w:color w:val="auto"/>
        </w:rPr>
      </w:pPr>
      <w:r>
        <w:rPr>
          <w:rFonts w:ascii="Times New Roman" w:cs="Times New Roman" w:eastAsia="Times New Roman" w:hAnsi="Times New Roman"/>
          <w:sz w:val="12"/>
          <w:szCs w:val="12"/>
          <w:color w:val="auto"/>
        </w:rPr>
        <w:t>The Company is authorized to issue 100,000,000 shares of preferred stock with such designations, voting and other rights and preferences as may be determined from time to time by the Board of Directors. As of September 30, 2026 and December 31, 2025, the Company has not issued any shares of preferred stock.</w:t>
      </w:r>
    </w:p>
    <w:p>
      <w:pPr>
        <w:spacing w:after="0" w:line="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Share Repurchase Program</w:t>
      </w:r>
    </w:p>
    <w:p>
      <w:pPr>
        <w:spacing w:after="0" w:line="152" w:lineRule="exact"/>
        <w:rPr>
          <w:sz w:val="20"/>
          <w:szCs w:val="20"/>
          <w:color w:val="auto"/>
        </w:rPr>
      </w:pPr>
    </w:p>
    <w:p>
      <w:pPr>
        <w:ind w:left="8"/>
        <w:spacing w:after="0" w:line="257" w:lineRule="auto"/>
        <w:rPr>
          <w:sz w:val="20"/>
          <w:szCs w:val="20"/>
          <w:color w:val="auto"/>
        </w:rPr>
      </w:pPr>
      <w:r>
        <w:rPr>
          <w:rFonts w:ascii="Times New Roman" w:cs="Times New Roman" w:eastAsia="Times New Roman" w:hAnsi="Times New Roman"/>
          <w:sz w:val="12"/>
          <w:szCs w:val="12"/>
          <w:color w:val="auto"/>
        </w:rPr>
        <w:t xml:space="preserve">In 2022, Priority Commerce's Board of Directors authorized a general share repurchase program under which the Company may purchase up to 2,000,000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The Company has purchased 1,309,374 shares for $5.8 million under this plan. On May 5, 2025, the Company's Board of Directors amended the program to increase the authorization for an additional 5,000,000 shares of its outstanding common stock for a total of $40.0 million. There have been no shares repurchased under this plan since the year ended December 31, 2022. Under the Merger Agreement (see </w:t>
      </w:r>
      <w:r>
        <w:rPr>
          <w:rFonts w:ascii="Times New Roman" w:cs="Times New Roman" w:eastAsia="Times New Roman" w:hAnsi="Times New Roman"/>
          <w:sz w:val="12"/>
          <w:szCs w:val="12"/>
          <w:u w:val="single" w:color="auto"/>
          <w:color w:val="0000FF"/>
        </w:rPr>
        <w:t>Note 16. Related Party Transaction</w:t>
      </w:r>
      <w:r>
        <w:rPr>
          <w:rFonts w:ascii="Times New Roman" w:cs="Times New Roman" w:eastAsia="Times New Roman" w:hAnsi="Times New Roman"/>
          <w:sz w:val="12"/>
          <w:szCs w:val="12"/>
          <w:color w:val="auto"/>
        </w:rPr>
        <w:t>), the Company is generally prohibited from repurchasing its securities prior to the completion of the Merger, other than shares withheld to satisfy tax withholding obligations upon vesting of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29"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59"/>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11.  Stock-based Compensation</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88"/>
        </w:trPr>
        <w:tc>
          <w:tcPr>
            <w:tcW w:w="9720" w:type="dxa"/>
            <w:vAlign w:val="bottom"/>
            <w:gridSpan w:val="10"/>
          </w:tcPr>
          <w:p>
            <w:pPr>
              <w:spacing w:after="0"/>
              <w:rPr>
                <w:sz w:val="20"/>
                <w:szCs w:val="20"/>
                <w:color w:val="auto"/>
              </w:rPr>
            </w:pPr>
            <w:r>
              <w:rPr>
                <w:rFonts w:ascii="Times New Roman" w:cs="Times New Roman" w:eastAsia="Times New Roman" w:hAnsi="Times New Roman"/>
                <w:sz w:val="12"/>
                <w:szCs w:val="12"/>
                <w:color w:val="auto"/>
              </w:rPr>
              <w:t>Stock-based compensation expense, which is included in salary and employee benefits within the Unaudited Consolidated Statements of Operations and Comprehensive Income, was as follows: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1"/>
        </w:trPr>
        <w:tc>
          <w:tcPr>
            <w:tcW w:w="474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8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1,651</w:t>
            </w:r>
          </w:p>
        </w:tc>
        <w:tc>
          <w:tcPr>
            <w:tcW w:w="80" w:type="dxa"/>
            <w:vAlign w:val="bottom"/>
          </w:tcPr>
          <w:p>
            <w:pPr>
              <w:spacing w:after="0"/>
              <w:rPr>
                <w:sz w:val="12"/>
                <w:szCs w:val="12"/>
                <w:color w:val="auto"/>
              </w:rPr>
            </w:pPr>
          </w:p>
        </w:tc>
        <w:tc>
          <w:tcPr>
            <w:tcW w:w="1120" w:type="dxa"/>
            <w:vAlign w:val="bottom"/>
          </w:tcPr>
          <w:p>
            <w:pPr>
              <w:jc w:val="right"/>
              <w:ind w:right="98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5,130</w:t>
            </w:r>
          </w:p>
        </w:tc>
        <w:tc>
          <w:tcPr>
            <w:tcW w:w="80" w:type="dxa"/>
            <w:vAlign w:val="bottom"/>
          </w:tcPr>
          <w:p>
            <w:pPr>
              <w:spacing w:after="0"/>
              <w:rPr>
                <w:sz w:val="12"/>
                <w:szCs w:val="12"/>
                <w:color w:val="auto"/>
              </w:rPr>
            </w:pP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4,281</w:t>
            </w:r>
          </w:p>
        </w:tc>
      </w:tr>
      <w:tr>
        <w:trPr>
          <w:trHeight w:val="153"/>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Incentive units compensation expense</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w:t>
            </w:r>
          </w:p>
        </w:tc>
      </w:tr>
      <w:tr>
        <w:trPr>
          <w:trHeight w:val="153"/>
        </w:trPr>
        <w:tc>
          <w:tcPr>
            <w:tcW w:w="47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Liability-classified awards compensation expense</w:t>
            </w:r>
          </w:p>
        </w:tc>
        <w:tc>
          <w:tcPr>
            <w:tcW w:w="10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w:t>
            </w:r>
          </w:p>
        </w:tc>
      </w:tr>
      <w:tr>
        <w:trPr>
          <w:trHeight w:val="153"/>
        </w:trPr>
        <w:tc>
          <w:tcPr>
            <w:tcW w:w="4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ESPP compensation expense</w:t>
            </w:r>
          </w:p>
        </w:tc>
        <w:tc>
          <w:tcPr>
            <w:tcW w:w="10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2"/>
        </w:trPr>
        <w:tc>
          <w:tcPr>
            <w:tcW w:w="4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80" w:type="dxa"/>
            <w:vAlign w:val="bottom"/>
            <w:tcBorders>
              <w:top w:val="single" w:sz="8" w:color="auto"/>
              <w:bottom w:val="single" w:sz="8" w:color="auto"/>
            </w:tcBorders>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1,652</w:t>
            </w:r>
          </w:p>
        </w:tc>
        <w:tc>
          <w:tcPr>
            <w:tcW w:w="8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9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2,327</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6,023</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7,119</w:t>
            </w:r>
          </w:p>
        </w:tc>
      </w:tr>
      <w:tr>
        <w:trPr>
          <w:trHeight w:val="20"/>
        </w:trPr>
        <w:tc>
          <w:tcPr>
            <w:tcW w:w="4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Income tax expense for stock-based compensation was immaterial for the three and nine months ended September 30, 2026. Income tax benefit for stock-based compensation was $0.2 million and $1.0 million, respectively, for the three and nine months ended September 30, 2025. No stock-based compensation has been capitalized in any period presented. Awards granted during the three and nine months ended September 30, 2026 and 2025, were not material.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2018 Plan</w:t>
      </w:r>
    </w:p>
    <w:p>
      <w:pPr>
        <w:spacing w:after="0" w:line="152"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2"/>
          <w:szCs w:val="12"/>
          <w:color w:val="auto"/>
        </w:rPr>
        <w:t>The Company's 2018 Plan initially provided for the issuance of up to 6,685,696 shares of the Company's Common Stock. On March 17, 2022, and February 5, 2026, the Company's Board of Directors unanimously approved amendments to the 2018 Plan which was subsequently approved by our shareholders to increase the numbers of shares authorized for issuance under the plan by 2,500,000 and 8,000,000 shares respectively, resulting in 17,185,696 shares of the Company's Common Stock authorized for issuance under the plan.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2026, the Company had 9,297,803 shares available for issuance under the 2018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2021 Employee Stock Purchase Plan</w:t>
      </w:r>
    </w:p>
    <w:p>
      <w:pPr>
        <w:spacing w:after="0" w:line="152"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2021 Employee Stock Purchase Plan ("ESPP") provides for up to 200,000 shares to be purchased under the plan. Shares issued under the plan may be authorized but unissued or reacquired shares of Common Stock. All non-executive employees based in the United States who work more than 20 hours per week and have been employed by the Company for at least 30 days may participate in the ESPP.</w:t>
      </w:r>
    </w:p>
    <w:p>
      <w:pPr>
        <w:spacing w:after="0" w:line="3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 xml:space="preserve">Under the ESPP,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ESPP provides eligible employees the opportunity to purchase shares of the Company's Common stock at 95% of the lesser of the fair value on the first and last trading day of each offering period. The ESPP was amended by shareholder approval on June 13, 2025, to increase the number of shares available by 200,000. Pursuant to the Merger Agreement, no new offering periods will commence after September 18, 2026, and, subject to completion of the Merger, the ESPP will terminate immediately prior to the Effective Time (see </w:t>
      </w:r>
      <w:r>
        <w:rPr>
          <w:rFonts w:ascii="Times New Roman" w:cs="Times New Roman" w:eastAsia="Times New Roman" w:hAnsi="Times New Roman"/>
          <w:sz w:val="12"/>
          <w:szCs w:val="12"/>
          <w:u w:val="single" w:color="auto"/>
          <w:color w:val="0000FF"/>
        </w:rPr>
        <w:t>Note 16. Related Party Transaction</w:t>
      </w:r>
      <w:r>
        <w:rPr>
          <w:rFonts w:ascii="Times New Roman" w:cs="Times New Roman" w:eastAsia="Times New Roman" w:hAnsi="Times New Roman"/>
          <w:sz w:val="12"/>
          <w:szCs w:val="12"/>
          <w:color w:val="auto"/>
        </w:rPr>
        <w:t>) of the Merger.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2026, the Company had 156,437 shares available for issuance under the 2021 Stock Purchase Plan.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Non-voting Incentive Units</w:t>
      </w:r>
    </w:p>
    <w:p>
      <w:pPr>
        <w:spacing w:after="0" w:line="15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 xml:space="preserve">The Company issued non-voting incentive units to certain employees and partners in seven subsidiaries. These non-voting incentive units were determined to be equity and are accounted for under ASC 718, </w:t>
      </w:r>
      <w:r>
        <w:rPr>
          <w:rFonts w:ascii="Times New Roman" w:cs="Times New Roman" w:eastAsia="Times New Roman" w:hAnsi="Times New Roman"/>
          <w:sz w:val="12"/>
          <w:szCs w:val="12"/>
          <w:i w:val="1"/>
          <w:iCs w:val="1"/>
          <w:color w:val="auto"/>
        </w:rPr>
        <w:t>Compensation -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Compensation</w:t>
      </w:r>
      <w:r>
        <w:rPr>
          <w:rFonts w:ascii="Times New Roman" w:cs="Times New Roman" w:eastAsia="Times New Roman" w:hAnsi="Times New Roman"/>
          <w:sz w:val="12"/>
          <w:szCs w:val="12"/>
          <w:color w:val="auto"/>
        </w:rPr>
        <w:t>. The non-voting incentive units are either fully vested when granted, or vest according to the service period and/or performance measure noted in the grant agreement. As the non-voting incentive units are vested, they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recognized as NCI to the Company, who is the majority owner of the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6" w:name="page27"/>
    <w:bookmarkEnd w:id="26"/>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Commitments and Contingencies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Minimum Annual Commitments with Third-party Processors</w:t>
      </w:r>
    </w:p>
    <w:p>
      <w:pPr>
        <w:spacing w:after="0" w:line="15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September 30, 2026, the Company is committed to pay minimum processing fees under these agreements as noted below:</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Twelve months ending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980" w:type="dxa"/>
            <w:vAlign w:val="bottom"/>
            <w:tcBorders>
              <w:top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21,871</w:t>
            </w:r>
          </w:p>
        </w:tc>
      </w:tr>
      <w:tr>
        <w:trPr>
          <w:trHeight w:val="153"/>
        </w:trPr>
        <w:tc>
          <w:tcPr>
            <w:tcW w:w="9040" w:type="dxa"/>
            <w:vAlign w:val="bottom"/>
          </w:tcPr>
          <w:p>
            <w:pPr>
              <w:spacing w:after="0"/>
              <w:rPr>
                <w:sz w:val="20"/>
                <w:szCs w:val="20"/>
                <w:color w:val="auto"/>
              </w:rPr>
            </w:pPr>
            <w:r>
              <w:rPr>
                <w:rFonts w:ascii="Times New Roman" w:cs="Times New Roman" w:eastAsia="Times New Roman" w:hAnsi="Times New Roman"/>
                <w:sz w:val="12"/>
                <w:szCs w:val="12"/>
                <w:color w:val="auto"/>
              </w:rPr>
              <w:t>2028</w:t>
            </w:r>
          </w:p>
        </w:tc>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20,280</w:t>
            </w:r>
          </w:p>
        </w:tc>
      </w:tr>
      <w:tr>
        <w:trPr>
          <w:trHeight w:val="15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2029</w:t>
            </w:r>
          </w:p>
        </w:tc>
        <w:tc>
          <w:tcPr>
            <w:tcW w:w="9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16,952</w:t>
            </w:r>
          </w:p>
        </w:tc>
      </w:tr>
      <w:tr>
        <w:trPr>
          <w:trHeight w:val="153"/>
        </w:trPr>
        <w:tc>
          <w:tcPr>
            <w:tcW w:w="9040" w:type="dxa"/>
            <w:vAlign w:val="bottom"/>
          </w:tcPr>
          <w:p>
            <w:pPr>
              <w:spacing w:after="0"/>
              <w:rPr>
                <w:sz w:val="20"/>
                <w:szCs w:val="20"/>
                <w:color w:val="auto"/>
              </w:rPr>
            </w:pPr>
            <w:r>
              <w:rPr>
                <w:rFonts w:ascii="Times New Roman" w:cs="Times New Roman" w:eastAsia="Times New Roman" w:hAnsi="Times New Roman"/>
                <w:sz w:val="12"/>
                <w:szCs w:val="12"/>
                <w:color w:val="auto"/>
              </w:rPr>
              <w:t>2030</w:t>
            </w:r>
          </w:p>
        </w:tc>
        <w:tc>
          <w:tcPr>
            <w:tcW w:w="9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10,055</w:t>
            </w:r>
          </w:p>
        </w:tc>
      </w:tr>
      <w:tr>
        <w:trPr>
          <w:trHeight w:val="153"/>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2031</w:t>
            </w:r>
          </w:p>
        </w:tc>
        <w:tc>
          <w:tcPr>
            <w:tcW w:w="9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10,055</w:t>
            </w:r>
          </w:p>
        </w:tc>
      </w:tr>
      <w:tr>
        <w:trPr>
          <w:trHeight w:val="153"/>
        </w:trPr>
        <w:tc>
          <w:tcPr>
            <w:tcW w:w="9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9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20,110</w:t>
            </w:r>
          </w:p>
        </w:tc>
      </w:tr>
      <w:tr>
        <w:trPr>
          <w:trHeight w:val="158"/>
        </w:trPr>
        <w:tc>
          <w:tcPr>
            <w:tcW w:w="9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99,323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Other Commitments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As of September 30, 2026 and December 31, 2025, the Company had a capital contribution commitment of $0.2 million and $3.2 million respectively, to fund operations of certain subsidiaries. The Company is obligated to make the contributions within 10 business days of receiving notice for such contribution from the subsidiary.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Sponsorship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entered into various sponsorship agreements with sports and entertainment organizations in exchange for certain advertisement opportunities. The Company committed to paying the amounts in the table below: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thousands)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Twelve months ending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680" w:type="dxa"/>
            <w:vAlign w:val="bottom"/>
            <w:tcBorders>
              <w:top w:val="single" w:sz="8" w:color="auto"/>
            </w:tcBorders>
            <w:shd w:val="clear" w:color="auto" w:fill="CCEEFF"/>
          </w:tcPr>
          <w:p>
            <w:pPr>
              <w:jc w:val="right"/>
              <w:ind w:right="1380"/>
              <w:spacing w:after="0"/>
              <w:rPr>
                <w:sz w:val="20"/>
                <w:szCs w:val="20"/>
                <w:color w:val="auto"/>
              </w:rPr>
            </w:pPr>
            <w:r>
              <w:rPr>
                <w:rFonts w:ascii="Times New Roman" w:cs="Times New Roman" w:eastAsia="Times New Roman" w:hAnsi="Times New Roman"/>
                <w:sz w:val="12"/>
                <w:szCs w:val="12"/>
                <w:color w:val="auto"/>
                <w:w w:val="91"/>
              </w:rPr>
              <w:t>2027</w:t>
            </w:r>
          </w:p>
        </w:tc>
        <w:tc>
          <w:tcPr>
            <w:tcW w:w="8360" w:type="dxa"/>
            <w:vAlign w:val="bottom"/>
            <w:tcBorders>
              <w:top w:val="single" w:sz="8" w:color="auto"/>
            </w:tcBorders>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3,034</w:t>
            </w:r>
          </w:p>
        </w:tc>
        <w:tc>
          <w:tcPr>
            <w:tcW w:w="0" w:type="dxa"/>
            <w:vAlign w:val="bottom"/>
          </w:tcPr>
          <w:p>
            <w:pPr>
              <w:spacing w:after="0"/>
              <w:rPr>
                <w:sz w:val="1"/>
                <w:szCs w:val="1"/>
                <w:color w:val="auto"/>
              </w:rPr>
            </w:pPr>
          </w:p>
        </w:tc>
      </w:tr>
      <w:tr>
        <w:trPr>
          <w:trHeight w:val="153"/>
        </w:trPr>
        <w:tc>
          <w:tcPr>
            <w:tcW w:w="1680" w:type="dxa"/>
            <w:vAlign w:val="bottom"/>
          </w:tcPr>
          <w:p>
            <w:pPr>
              <w:jc w:val="right"/>
              <w:ind w:right="1380"/>
              <w:spacing w:after="0"/>
              <w:rPr>
                <w:sz w:val="20"/>
                <w:szCs w:val="20"/>
                <w:color w:val="auto"/>
              </w:rPr>
            </w:pPr>
            <w:r>
              <w:rPr>
                <w:rFonts w:ascii="Times New Roman" w:cs="Times New Roman" w:eastAsia="Times New Roman" w:hAnsi="Times New Roman"/>
                <w:sz w:val="12"/>
                <w:szCs w:val="12"/>
                <w:color w:val="auto"/>
                <w:w w:val="91"/>
              </w:rPr>
              <w:t>2028</w:t>
            </w:r>
          </w:p>
        </w:tc>
        <w:tc>
          <w:tcPr>
            <w:tcW w:w="7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2,086</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2"/>
                <w:szCs w:val="12"/>
                <w:color w:val="auto"/>
                <w:w w:val="91"/>
              </w:rPr>
              <w:t>2029</w:t>
            </w:r>
          </w:p>
        </w:tc>
        <w:tc>
          <w:tcPr>
            <w:tcW w:w="7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0" w:type="dxa"/>
            <w:vAlign w:val="bottom"/>
          </w:tcPr>
          <w:p>
            <w:pPr>
              <w:spacing w:after="0"/>
              <w:rPr>
                <w:sz w:val="1"/>
                <w:szCs w:val="1"/>
                <w:color w:val="auto"/>
              </w:rPr>
            </w:pPr>
          </w:p>
        </w:tc>
      </w:tr>
      <w:tr>
        <w:trPr>
          <w:trHeight w:val="153"/>
        </w:trPr>
        <w:tc>
          <w:tcPr>
            <w:tcW w:w="1680" w:type="dxa"/>
            <w:vAlign w:val="bottom"/>
          </w:tcPr>
          <w:p>
            <w:pPr>
              <w:jc w:val="right"/>
              <w:ind w:right="1380"/>
              <w:spacing w:after="0"/>
              <w:rPr>
                <w:sz w:val="20"/>
                <w:szCs w:val="20"/>
                <w:color w:val="auto"/>
              </w:rPr>
            </w:pPr>
            <w:r>
              <w:rPr>
                <w:rFonts w:ascii="Times New Roman" w:cs="Times New Roman" w:eastAsia="Times New Roman" w:hAnsi="Times New Roman"/>
                <w:sz w:val="12"/>
                <w:szCs w:val="12"/>
                <w:color w:val="auto"/>
                <w:w w:val="91"/>
              </w:rPr>
              <w:t>2030</w:t>
            </w:r>
          </w:p>
        </w:tc>
        <w:tc>
          <w:tcPr>
            <w:tcW w:w="7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jc w:val="right"/>
              <w:ind w:right="1380"/>
              <w:spacing w:after="0"/>
              <w:rPr>
                <w:sz w:val="20"/>
                <w:szCs w:val="20"/>
                <w:color w:val="auto"/>
              </w:rPr>
            </w:pPr>
            <w:r>
              <w:rPr>
                <w:rFonts w:ascii="Times New Roman" w:cs="Times New Roman" w:eastAsia="Times New Roman" w:hAnsi="Times New Roman"/>
                <w:sz w:val="12"/>
                <w:szCs w:val="12"/>
                <w:color w:val="auto"/>
                <w:w w:val="91"/>
              </w:rPr>
              <w:t>2031</w:t>
            </w:r>
          </w:p>
        </w:tc>
        <w:tc>
          <w:tcPr>
            <w:tcW w:w="736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1680" w:type="dxa"/>
            <w:vAlign w:val="bottom"/>
          </w:tcPr>
          <w:p>
            <w:pPr>
              <w:jc w:val="right"/>
              <w:ind w:right="1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360" w:type="dxa"/>
            <w:vAlign w:val="bottom"/>
          </w:tcPr>
          <w:p>
            <w:pPr>
              <w:spacing w:after="0"/>
              <w:rPr>
                <w:sz w:val="12"/>
                <w:szCs w:val="12"/>
                <w:color w:val="auto"/>
              </w:rPr>
            </w:pPr>
          </w:p>
        </w:tc>
        <w:tc>
          <w:tcPr>
            <w:tcW w:w="1000" w:type="dxa"/>
            <w:vAlign w:val="bottom"/>
            <w:tcBorders>
              <w:bottom w:val="single" w:sz="8" w:color="auto"/>
            </w:tcBorders>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7,294</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360" w:type="dxa"/>
            <w:vAlign w:val="bottom"/>
            <w:vMerge w:val="restart"/>
          </w:tcPr>
          <w:p>
            <w:pPr>
              <w:jc w:val="right"/>
              <w:ind w:right="5840"/>
              <w:spacing w:after="0"/>
              <w:rPr>
                <w:sz w:val="20"/>
                <w:szCs w:val="20"/>
                <w:color w:val="auto"/>
              </w:rPr>
            </w:pPr>
            <w:r>
              <w:rPr>
                <w:rFonts w:ascii="Times New Roman" w:cs="Times New Roman" w:eastAsia="Times New Roman" w:hAnsi="Times New Roman"/>
                <w:sz w:val="12"/>
                <w:szCs w:val="12"/>
                <w:color w:val="auto"/>
              </w:rPr>
              <w:t>24</w:t>
            </w: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168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9A9A9A"/>
            </w:tcBorders>
          </w:tcPr>
          <w:p>
            <w:pPr>
              <w:spacing w:after="0"/>
              <w:rPr>
                <w:sz w:val="18"/>
                <w:szCs w:val="18"/>
                <w:color w:val="auto"/>
              </w:rPr>
            </w:pPr>
          </w:p>
        </w:tc>
        <w:tc>
          <w:tcPr>
            <w:tcW w:w="73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57"/>
        </w:trPr>
        <w:tc>
          <w:tcPr>
            <w:tcW w:w="6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Contingent/Deferred Consideration</w:t>
            </w:r>
          </w:p>
        </w:tc>
        <w:tc>
          <w:tcPr>
            <w:tcW w:w="1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16"/>
        </w:trPr>
        <w:tc>
          <w:tcPr>
            <w:tcW w:w="922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9"/>
              </w:rPr>
              <w:t>The following table provides a reconciliation of the beginning and ending balance of the Company's deferred and contingent consideration liabilities related to completed business acquisitions:</w:t>
            </w:r>
          </w:p>
        </w:tc>
        <w:tc>
          <w:tcPr>
            <w:tcW w:w="2040" w:type="dxa"/>
            <w:vAlign w:val="bottom"/>
          </w:tcPr>
          <w:p>
            <w:pPr>
              <w:spacing w:after="0"/>
              <w:rPr>
                <w:sz w:val="18"/>
                <w:szCs w:val="18"/>
                <w:color w:val="auto"/>
              </w:rPr>
            </w:pPr>
          </w:p>
        </w:tc>
      </w:tr>
      <w:tr>
        <w:trPr>
          <w:trHeight w:val="243"/>
        </w:trPr>
        <w:tc>
          <w:tcPr>
            <w:tcW w:w="65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60" w:type="dxa"/>
            <w:vAlign w:val="bottom"/>
          </w:tcPr>
          <w:p>
            <w:pPr>
              <w:spacing w:after="0"/>
              <w:rPr>
                <w:sz w:val="21"/>
                <w:szCs w:val="21"/>
                <w:color w:val="auto"/>
              </w:rPr>
            </w:pPr>
          </w:p>
        </w:tc>
        <w:tc>
          <w:tcPr>
            <w:tcW w:w="23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Contingent Consideration Liabilities</w:t>
            </w:r>
          </w:p>
        </w:tc>
        <w:tc>
          <w:tcPr>
            <w:tcW w:w="260" w:type="dxa"/>
            <w:vAlign w:val="bottom"/>
          </w:tcPr>
          <w:p>
            <w:pPr>
              <w:spacing w:after="0"/>
              <w:rPr>
                <w:sz w:val="21"/>
                <w:szCs w:val="21"/>
                <w:color w:val="auto"/>
              </w:rPr>
            </w:pPr>
          </w:p>
        </w:tc>
        <w:tc>
          <w:tcPr>
            <w:tcW w:w="20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w w:val="99"/>
              </w:rPr>
              <w:t>Deferred Consideration Liabilities</w:t>
            </w:r>
          </w:p>
        </w:tc>
      </w:tr>
      <w:tr>
        <w:trPr>
          <w:trHeight w:val="142"/>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2025</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21,058</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7,296</w:t>
            </w:r>
          </w:p>
        </w:tc>
      </w:tr>
      <w:tr>
        <w:trPr>
          <w:trHeight w:val="153"/>
        </w:trPr>
        <w:tc>
          <w:tcPr>
            <w:tcW w:w="6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Addition of contingent consideration (related to business combination)</w:t>
            </w:r>
          </w:p>
        </w:tc>
        <w:tc>
          <w:tcPr>
            <w:tcW w:w="16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3,020</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Accretion</w:t>
            </w:r>
          </w:p>
        </w:tc>
        <w:tc>
          <w:tcPr>
            <w:tcW w:w="160" w:type="dxa"/>
            <w:vAlign w:val="bottom"/>
            <w:shd w:val="clear" w:color="auto" w:fill="CCEEFF"/>
          </w:tcPr>
          <w:p>
            <w:pPr>
              <w:spacing w:after="0"/>
              <w:rPr>
                <w:sz w:val="13"/>
                <w:szCs w:val="13"/>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r>
      <w:tr>
        <w:trPr>
          <w:trHeight w:val="153"/>
        </w:trPr>
        <w:tc>
          <w:tcPr>
            <w:tcW w:w="65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Payments</w:t>
            </w:r>
          </w:p>
        </w:tc>
        <w:tc>
          <w:tcPr>
            <w:tcW w:w="160" w:type="dxa"/>
            <w:vAlign w:val="bottom"/>
          </w:tcPr>
          <w:p>
            <w:pPr>
              <w:spacing w:after="0"/>
              <w:rPr>
                <w:sz w:val="13"/>
                <w:szCs w:val="13"/>
                <w:color w:val="auto"/>
              </w:rPr>
            </w:pPr>
          </w:p>
        </w:tc>
        <w:tc>
          <w:tcPr>
            <w:tcW w:w="23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53"/>
        </w:trPr>
        <w:tc>
          <w:tcPr>
            <w:tcW w:w="6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160" w:type="dxa"/>
            <w:vAlign w:val="bottom"/>
            <w:tcBorders>
              <w:bottom w:val="single" w:sz="8" w:color="auto"/>
            </w:tcBorders>
            <w:shd w:val="clear" w:color="auto" w:fill="CCEEFF"/>
          </w:tcPr>
          <w:p>
            <w:pPr>
              <w:spacing w:after="0"/>
              <w:rPr>
                <w:sz w:val="13"/>
                <w:szCs w:val="13"/>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24,475</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7,403</w:t>
            </w:r>
          </w:p>
        </w:tc>
      </w:tr>
      <w:tr>
        <w:trPr>
          <w:trHeight w:val="20"/>
        </w:trPr>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Earn-outs/additional considerations from asset purchase transactions are considered as contingent liabilities until it becomes payable or paid. As of September 30, 2026, and December 31, 2025, the total contingent liabilities related to our asset purchases are $19.9 million and $27.2 million, respectively (refer to </w:t>
      </w:r>
      <w:r>
        <w:rPr>
          <w:rFonts w:ascii="Times New Roman" w:cs="Times New Roman" w:eastAsia="Times New Roman" w:hAnsi="Times New Roman"/>
          <w:sz w:val="12"/>
          <w:szCs w:val="12"/>
          <w:u w:val="single" w:color="auto"/>
          <w:color w:val="0000FF"/>
        </w:rPr>
        <w:t>Note 2. Acquisitions</w:t>
      </w:r>
      <w:r>
        <w:rPr>
          <w:rFonts w:ascii="Times New Roman" w:cs="Times New Roman" w:eastAsia="Times New Roman" w:hAnsi="Times New Roman"/>
          <w:sz w:val="12"/>
          <w:szCs w:val="12"/>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Legal Proceedings</w:t>
      </w:r>
    </w:p>
    <w:p>
      <w:pPr>
        <w:spacing w:after="0" w:line="1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Concentration of Risks</w:t>
      </w:r>
    </w:p>
    <w:p>
      <w:pPr>
        <w:spacing w:after="0" w:line="152"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The Company's revenue is substantially derived from processing Visa and Mastercard bankcard transactions. Because the Company is not a member bank, to process these bankcard transactions, the Company maintains sponsorship agreements with member banks which require, among other things, that the Company abide by the by-laws and regulations of the card association.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majority of the Company's cash and restricted cash is held in certain FIs, substantially all of which is in excess of FDIC limits. The Company does not believe it is exposed to any significant credit risk from these transactions.</w:t>
      </w:r>
    </w:p>
    <w:p>
      <w:pPr>
        <w:spacing w:after="0" w:line="200" w:lineRule="exact"/>
        <w:rPr>
          <w:sz w:val="20"/>
          <w:szCs w:val="20"/>
          <w:color w:val="auto"/>
        </w:rPr>
      </w:pPr>
    </w:p>
    <w:p>
      <w:pPr>
        <w:spacing w:after="0" w:line="25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Disclosures</w:t>
      </w:r>
    </w:p>
    <w:p>
      <w:pPr>
        <w:spacing w:after="0" w:line="1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 xml:space="preserve">The Company's contingent and deferred considerations were derived from business combinations (refer to </w:t>
      </w:r>
      <w:r>
        <w:rPr>
          <w:rFonts w:ascii="Times New Roman" w:cs="Times New Roman" w:eastAsia="Times New Roman" w:hAnsi="Times New Roman"/>
          <w:sz w:val="12"/>
          <w:szCs w:val="12"/>
          <w:u w:val="single" w:color="auto"/>
          <w:color w:val="0000FF"/>
        </w:rPr>
        <w:t>Note 2. Acquisitions</w:t>
      </w:r>
      <w:r>
        <w:rPr>
          <w:rFonts w:ascii="Times New Roman" w:cs="Times New Roman" w:eastAsia="Times New Roman" w:hAnsi="Times New Roman"/>
          <w:sz w:val="12"/>
          <w:szCs w:val="12"/>
          <w:color w:val="auto"/>
        </w:rPr>
        <w:t>). The contingent considerations are classified within Level 3 of the fair value hierarchy due to the uncertainty of the fair value measurement created by the absence of quoted market prices, the inherent lack of liquidity and unobservable inputs used to measure fair value which require judgment. The Company uses valuation techniques including Monte Carlo simulations to estimate fair value based on projection period and assumed growth rates. A change in inputs in the valuation techniques used might result in a significantly higher or lower fair value measurement than what is reported. Contingent and deferred consideration liabilities are uncertain due to the utilization of unobservable inputs and management's judgment in determining the likelihood of achieving criteria required by the respective agreements. The contingent and deferred</w:t>
      </w:r>
    </w:p>
    <w:p>
      <w:pPr>
        <w:spacing w:after="0" w:line="200" w:lineRule="exact"/>
        <w:rPr>
          <w:sz w:val="20"/>
          <w:szCs w:val="20"/>
          <w:color w:val="auto"/>
        </w:rPr>
      </w:pPr>
    </w:p>
    <w:p>
      <w:pPr>
        <w:spacing w:after="0" w:line="3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27" w:right="339" w:bottom="1440" w:gutter="0" w:footer="0" w:header="0"/>
        </w:sectPr>
      </w:pPr>
    </w:p>
    <w:bookmarkStart w:id="28" w:name="page29"/>
    <w:bookmarkEnd w:id="28"/>
    <w:p>
      <w:pPr>
        <w:ind w:right="560"/>
        <w:spacing w:after="0" w:line="279" w:lineRule="auto"/>
        <w:rPr>
          <w:sz w:val="20"/>
          <w:szCs w:val="20"/>
          <w:color w:val="auto"/>
        </w:rPr>
      </w:pPr>
      <w:r>
        <w:rPr>
          <w:rFonts w:ascii="Times New Roman" w:cs="Times New Roman" w:eastAsia="Times New Roman" w:hAnsi="Times New Roman"/>
          <w:sz w:val="12"/>
          <w:szCs w:val="12"/>
          <w:color w:val="auto"/>
        </w:rPr>
        <w:t>considerations have a fair value of $31.9 million at September 30, 2026, $2.6 million included in accounts payable and accrued expenses and $29.3 million included in other noncurrent liabilities on the Company's Unaudited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Notes Receivable</w:t>
      </w:r>
    </w:p>
    <w:p>
      <w:pPr>
        <w:spacing w:after="0" w:line="15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$21.5 million and $19.7 million at September 30, 2026 and December 31, 2025, respectively and is within Level 3 of the fair value hierarchy.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Investment in Unconsolidated Entities</w:t>
      </w:r>
    </w:p>
    <w:p>
      <w:pPr>
        <w:spacing w:after="0" w:line="152"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The Company's investment in unconsolidated entities are carried at cost minus any impairment, if any. The carrying value of the investments approximate fair value and was $10.6 million and $8.6 million at September 30, 2026 and December 31, 2025, respectively, within other noncurrent assets on the Company's Unaudited Consolidated Balance Sheets. The investments in unconsolidated entities are within Level 3 of the fair value hierarchy.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Debt Obligations</w:t>
      </w:r>
    </w:p>
    <w:p>
      <w:pPr>
        <w:spacing w:after="0" w:line="152"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 xml:space="preserve">Outstanding debt obligations (see </w:t>
      </w:r>
      <w:r>
        <w:rPr>
          <w:rFonts w:ascii="Times New Roman" w:cs="Times New Roman" w:eastAsia="Times New Roman" w:hAnsi="Times New Roman"/>
          <w:sz w:val="12"/>
          <w:szCs w:val="12"/>
          <w:u w:val="single" w:color="auto"/>
          <w:color w:val="0000FF"/>
        </w:rPr>
        <w:t>Note 8. Debt Obligations</w:t>
      </w:r>
      <w:r>
        <w:rPr>
          <w:rFonts w:ascii="Times New Roman" w:cs="Times New Roman" w:eastAsia="Times New Roman" w:hAnsi="Times New Roman"/>
          <w:sz w:val="12"/>
          <w:szCs w:val="12"/>
          <w:color w:val="auto"/>
        </w:rPr>
        <w:t>) are reflected in the Company's Unaudited Consolidated Balance Sheets at carrying value since the Company did not elect to remeasure debt obligations to fair value at the end of each reporting period.</w:t>
      </w:r>
    </w:p>
    <w:p>
      <w:pPr>
        <w:spacing w:after="0" w:line="3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fair value of the term facility under the 2024 Credit Agreement was estimated to be $1,006.0 million and $998.3 million at September 30, 2026 and December 31, 2025, respectively. The fair value was estimated using binding and non-binding quoted prices in an active secondary market, which considers the credit risk and market related conditions, and is within Level 2 of the fair value hierarchy.</w:t>
      </w:r>
    </w:p>
    <w:p>
      <w:pPr>
        <w:spacing w:after="0" w:line="3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2"/>
          <w:szCs w:val="12"/>
          <w:color w:val="auto"/>
        </w:rPr>
        <w:t>The fair value of the term facility under the Residual Finance Credit Facility was estimated to be $43.0 million at September 30, 2026, and is classified under Level 3 of the fair value hierarchy due to the uncertainty of the fair value measurement created by the absence of quoted market prices, the inherent lack of liquidity and unobservable inputs used to measure fair value which require judgment. The Company uses the discounted cash flows approach to estimate the present value of the contractual cash flows that a market participant would expect to receive as of the valuation date, considering the facility’s floating-rate structure, required principal repayments, maturity, prepayment provisions, credit risk, collateral support and other relevant terms. A change in inputs in the valuation technique used might result in a significantly higher or lower fair value measurement than what is reported.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and nine months ended September 30, 2026, there were no transfers into, out of, or between levels of the fair value hierarchy.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Long term incentive award</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 has established a long-term incentive award for the Chief Executive Officer, which is subject to specified performance conditions. Upon satisfaction of these performance criteria, the Chief Executive Officer becomes entitled to a predetermined amount of incentive compensation, which may be settled either in cash or in shares of the Company's Common Stock. Consequently, this arrangement is accounted for as a liability award in accordance with applicable accounting standards. The fair value of these awards is remeasured at each reporting date utilizing Level 3 inputs, which encompass management's estimates regarding the anticipated achievement of relevant financial metrics. The fair value of these awards as of September 30, 2026 was $2.8 million, $1.7 million included in accounts payable and accrued expenses and $1.1 million in other noncurrent liabilities on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29" w:name="page30"/>
    <w:bookmarkEnd w:id="29"/>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14.</w:t>
        <w:tab/>
        <w:t>Segment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three reportable segments included Merchant Solutions, Payables and Treasury Solutions:</w:t>
      </w:r>
    </w:p>
    <w:p>
      <w:pPr>
        <w:spacing w:after="0" w:line="76" w:lineRule="exact"/>
        <w:rPr>
          <w:sz w:val="20"/>
          <w:szCs w:val="20"/>
          <w:color w:val="auto"/>
        </w:rPr>
      </w:pPr>
    </w:p>
    <w:p>
      <w:pPr>
        <w:ind w:left="420" w:hanging="212"/>
        <w:spacing w:after="0" w:line="283" w:lineRule="auto"/>
        <w:tabs>
          <w:tab w:leader="none" w:pos="417" w:val="left"/>
        </w:tabs>
        <w:numPr>
          <w:ilvl w:val="0"/>
          <w:numId w:val="24"/>
        </w:numPr>
        <w:rPr>
          <w:rFonts w:ascii="Times New Roman" w:cs="Times New Roman" w:eastAsia="Times New Roman" w:hAnsi="Times New Roman"/>
          <w:sz w:val="12"/>
          <w:szCs w:val="12"/>
          <w:i w:val="1"/>
          <w:iCs w:val="1"/>
          <w:color w:val="212529"/>
          <w:strike w:val="1"/>
        </w:rPr>
      </w:pPr>
      <w:r>
        <w:rPr>
          <w:rFonts w:ascii="Times New Roman" w:cs="Times New Roman" w:eastAsia="Times New Roman" w:hAnsi="Times New Roman"/>
          <w:sz w:val="12"/>
          <w:szCs w:val="12"/>
          <w:i w:val="1"/>
          <w:iCs w:val="1"/>
          <w:color w:val="auto"/>
        </w:rPr>
        <w:t>Merchant Solutions</w:t>
      </w:r>
      <w:r>
        <w:rPr>
          <w:rFonts w:ascii="Times New Roman" w:cs="Times New Roman" w:eastAsia="Times New Roman" w:hAnsi="Times New Roman"/>
          <w:sz w:val="12"/>
          <w:szCs w:val="12"/>
          <w:color w:val="auto"/>
        </w:rPr>
        <w:t>: Provides full-service acquiring and payment-enabled solutions for B2C transactions, leveraging Priority Commerce's proprietary software platform, distributed through ISO, direct sales and vertically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focused ISV channels.</w:t>
      </w:r>
    </w:p>
    <w:p>
      <w:pPr>
        <w:spacing w:after="0" w:line="34" w:lineRule="exact"/>
        <w:rPr>
          <w:rFonts w:ascii="Times New Roman" w:cs="Times New Roman" w:eastAsia="Times New Roman" w:hAnsi="Times New Roman"/>
          <w:sz w:val="12"/>
          <w:szCs w:val="12"/>
          <w:i w:val="1"/>
          <w:iCs w:val="1"/>
          <w:color w:val="212529"/>
          <w:strike w:val="1"/>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Payables</w:t>
      </w:r>
      <w:r>
        <w:rPr>
          <w:rFonts w:ascii="Times New Roman" w:cs="Times New Roman" w:eastAsia="Times New Roman" w:hAnsi="Times New Roman"/>
          <w:sz w:val="12"/>
          <w:szCs w:val="12"/>
          <w:color w:val="auto"/>
        </w:rPr>
        <w:t>: Provides market-leading AP automation solutions to corporations, software partners and industry leading FIs in addition to improving cash flows by providing instant access to working capital.</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Treasury Solutions</w:t>
      </w:r>
      <w:r>
        <w:rPr>
          <w:rFonts w:ascii="Times New Roman" w:cs="Times New Roman" w:eastAsia="Times New Roman" w:hAnsi="Times New Roman"/>
          <w:sz w:val="12"/>
          <w:szCs w:val="12"/>
          <w:color w:val="auto"/>
        </w:rPr>
        <w:t>: Provides embedded finance and treasury solutions to customers to modernize legacy platforms and accelerate software partners' strategies to monetize payments.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items includes costs of corporate functions and shared services not allocated to our reportable segments.</w:t>
      </w:r>
    </w:p>
    <w:p>
      <w:pPr>
        <w:spacing w:after="0" w:line="7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Company's chief operating decision makers ("CODM") are our CEO and CFO. The CODM uses adjusted earnings before interest, income tax, depreciation and amortization expenses ("Adjusted EBITDA") as the measure of segment profit or loss to allocate resources. Adjusted EBITDA represents EBITDA (i.e. earnings before interest, income tax, depreciation and amortization expenses) adjusted for certain non-cash costs, such as stock-based compensation and the write-off of the carrying value of investments or other assets, as well as debt extinguishment and modification expenses and other expenses and income items considered non-recurring, such as acquisition integration expenses, certain professional fees, and litigation settlements.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level assets information is not provided or subject to review by the CODM and therefore not provided.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on reportable segments and reconciliations to income before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60"/>
          </w:cols>
          <w:pgMar w:left="300" w:top="1025" w:right="6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00" w:type="dxa"/>
            <w:vAlign w:val="bottom"/>
          </w:tcPr>
          <w:p>
            <w:pPr>
              <w:spacing w:after="0"/>
              <w:rPr>
                <w:sz w:val="12"/>
                <w:szCs w:val="12"/>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177,691</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31,257</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59,675</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268,623</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2,915</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179,645</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31,626</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60,267</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271,538</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(2,915)</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268,623</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(138,321)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(24,499)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(5,781)</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(10,442)</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1,745</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32,627</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48,085</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84,637</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2026</w:t>
            </w:r>
          </w:p>
        </w:tc>
      </w:tr>
      <w:tr>
        <w:trPr>
          <w:trHeight w:val="14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2,693</w:t>
            </w: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(28,090)</w:t>
            </w:r>
          </w:p>
        </w:tc>
      </w:tr>
      <w:tr>
        <w:trPr>
          <w:trHeight w:val="153"/>
        </w:trPr>
        <w:tc>
          <w:tcPr>
            <w:tcW w:w="37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4,601</w:t>
            </w:r>
          </w:p>
        </w:tc>
      </w:tr>
      <w:tr>
        <w:trPr>
          <w:trHeight w:val="142"/>
        </w:trPr>
        <w:tc>
          <w:tcPr>
            <w:tcW w:w="37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(20,796)</w:t>
            </w: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60" w:hanging="1160"/>
        <w:spacing w:after="0"/>
        <w:tabs>
          <w:tab w:leader="none" w:pos="116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84,637</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(20,796)</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(2,915)</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(18,231)</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(21,190)</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(3,259)</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(1,652)</w:t>
      </w:r>
    </w:p>
    <w:p>
      <w:pPr>
        <w:spacing w:after="0" w:line="18" w:lineRule="exact"/>
        <w:rPr>
          <w:sz w:val="20"/>
          <w:szCs w:val="20"/>
          <w:color w:val="auto"/>
        </w:rPr>
      </w:pPr>
    </w:p>
    <w:p>
      <w:pPr>
        <w:ind w:left="1160" w:hanging="1160"/>
        <w:spacing w:after="0"/>
        <w:tabs>
          <w:tab w:leader="none" w:pos="1160" w:val="left"/>
        </w:tabs>
        <w:numPr>
          <w:ilvl w:val="0"/>
          <w:numId w:val="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16,594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2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20" w:type="dxa"/>
            <w:vAlign w:val="bottom"/>
            <w:gridSpan w:val="5"/>
          </w:tcPr>
          <w:p>
            <w:pPr>
              <w:jc w:val="center"/>
              <w:ind w:right="166"/>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3480" w:type="dxa"/>
            <w:vAlign w:val="bottom"/>
            <w:tcBorders>
              <w:bottom w:val="single" w:sz="8" w:color="auto"/>
            </w:tcBorders>
            <w:gridSpan w:val="6"/>
            <w:shd w:val="clear" w:color="auto" w:fill="CCEEFF"/>
          </w:tcPr>
          <w:p>
            <w:pPr>
              <w:jc w:val="center"/>
              <w:ind w:left="118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2026</w:t>
            </w:r>
          </w:p>
        </w:tc>
        <w:tc>
          <w:tcPr>
            <w:tcW w:w="13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6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80" w:type="dxa"/>
            <w:vAlign w:val="bottom"/>
          </w:tcPr>
          <w:p>
            <w:pPr>
              <w:spacing w:after="0"/>
              <w:rPr>
                <w:sz w:val="12"/>
                <w:szCs w:val="1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60" w:type="dxa"/>
            <w:vAlign w:val="bottom"/>
          </w:tcPr>
          <w:p>
            <w:pPr>
              <w:spacing w:after="0"/>
              <w:rPr>
                <w:sz w:val="12"/>
                <w:szCs w:val="12"/>
                <w:color w:val="auto"/>
              </w:rPr>
            </w:pPr>
          </w:p>
        </w:tc>
        <w:tc>
          <w:tcPr>
            <w:tcW w:w="1460" w:type="dxa"/>
            <w:vAlign w:val="bottom"/>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10,245</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1,288</w:t>
            </w: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5,396</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16,929</w:t>
            </w:r>
          </w:p>
        </w:tc>
        <w:tc>
          <w:tcPr>
            <w:tcW w:w="76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28</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511,977</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93,343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175,117</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780,437</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10,895</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517,209</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94,497</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179,626</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791,332</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(10,895)</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780,437</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(399,373)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(71,623)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(18,709)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(30,367)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(10,854)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(19,259)</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3,785</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469</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91,254</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12,489</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142,269</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246,012</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97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143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September 30, 2026</w:t>
            </w:r>
          </w:p>
        </w:tc>
      </w:tr>
      <w:tr>
        <w:trPr>
          <w:trHeight w:val="14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center"/>
              <w:ind w:left="560"/>
              <w:spacing w:after="0"/>
              <w:rPr>
                <w:sz w:val="20"/>
                <w:szCs w:val="20"/>
                <w:color w:val="auto"/>
              </w:rPr>
            </w:pPr>
            <w:r>
              <w:rPr>
                <w:rFonts w:ascii="Times New Roman" w:cs="Times New Roman" w:eastAsia="Times New Roman" w:hAnsi="Times New Roman"/>
                <w:sz w:val="12"/>
                <w:szCs w:val="12"/>
                <w:color w:val="auto"/>
              </w:rPr>
              <w:t>10,652</w:t>
            </w:r>
          </w:p>
        </w:tc>
      </w:tr>
      <w:tr>
        <w:trPr>
          <w:trHeight w:val="153"/>
        </w:trPr>
        <w:tc>
          <w:tcPr>
            <w:tcW w:w="374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100" w:type="dxa"/>
            <w:vAlign w:val="bottom"/>
          </w:tcPr>
          <w:p>
            <w:pPr>
              <w:spacing w:after="0"/>
              <w:rPr>
                <w:sz w:val="13"/>
                <w:szCs w:val="13"/>
                <w:color w:val="auto"/>
              </w:rPr>
            </w:pPr>
          </w:p>
        </w:tc>
        <w:tc>
          <w:tcPr>
            <w:tcW w:w="1040" w:type="dxa"/>
            <w:vAlign w:val="bottom"/>
          </w:tcPr>
          <w:p>
            <w:pPr>
              <w:jc w:val="center"/>
              <w:ind w:left="540"/>
              <w:spacing w:after="0"/>
              <w:rPr>
                <w:sz w:val="20"/>
                <w:szCs w:val="20"/>
                <w:color w:val="auto"/>
              </w:rPr>
            </w:pPr>
            <w:r>
              <w:rPr>
                <w:rFonts w:ascii="Times New Roman" w:cs="Times New Roman" w:eastAsia="Times New Roman" w:hAnsi="Times New Roman"/>
                <w:sz w:val="12"/>
                <w:szCs w:val="12"/>
                <w:color w:val="auto"/>
                <w:w w:val="97"/>
              </w:rPr>
              <w:t>(81,844)</w:t>
            </w:r>
          </w:p>
        </w:tc>
      </w:tr>
      <w:tr>
        <w:trPr>
          <w:trHeight w:val="153"/>
        </w:trPr>
        <w:tc>
          <w:tcPr>
            <w:tcW w:w="374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1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center"/>
              <w:ind w:left="560"/>
              <w:spacing w:after="0"/>
              <w:rPr>
                <w:sz w:val="20"/>
                <w:szCs w:val="20"/>
                <w:color w:val="auto"/>
              </w:rPr>
            </w:pPr>
            <w:r>
              <w:rPr>
                <w:rFonts w:ascii="Times New Roman" w:cs="Times New Roman" w:eastAsia="Times New Roman" w:hAnsi="Times New Roman"/>
                <w:sz w:val="12"/>
                <w:szCs w:val="12"/>
                <w:color w:val="auto"/>
              </w:rPr>
              <w:t>14,490</w:t>
            </w:r>
          </w:p>
        </w:tc>
      </w:tr>
      <w:tr>
        <w:trPr>
          <w:trHeight w:val="142"/>
        </w:trPr>
        <w:tc>
          <w:tcPr>
            <w:tcW w:w="37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bottom w:val="single" w:sz="8" w:color="auto"/>
            </w:tcBorders>
          </w:tcPr>
          <w:p>
            <w:pPr>
              <w:jc w:val="center"/>
              <w:ind w:left="540"/>
              <w:spacing w:after="0"/>
              <w:rPr>
                <w:sz w:val="20"/>
                <w:szCs w:val="20"/>
                <w:color w:val="auto"/>
              </w:rPr>
            </w:pPr>
            <w:r>
              <w:rPr>
                <w:rFonts w:ascii="Times New Roman" w:cs="Times New Roman" w:eastAsia="Times New Roman" w:hAnsi="Times New Roman"/>
                <w:sz w:val="12"/>
                <w:szCs w:val="12"/>
                <w:b w:val="1"/>
                <w:bCs w:val="1"/>
                <w:color w:val="auto"/>
                <w:w w:val="97"/>
              </w:rPr>
              <w:t>(56,702)</w:t>
            </w: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246,012</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(56,702)</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(10,895)</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(56,739)</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(63,257)</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(8,759)</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(6,023)</w:t>
      </w:r>
    </w:p>
    <w:p>
      <w:pPr>
        <w:spacing w:after="0" w:line="18" w:lineRule="exact"/>
        <w:rPr>
          <w:sz w:val="20"/>
          <w:szCs w:val="20"/>
          <w:color w:val="auto"/>
        </w:rPr>
      </w:pPr>
    </w:p>
    <w:p>
      <w:pPr>
        <w:ind w:left="1160" w:hanging="1160"/>
        <w:spacing w:after="0"/>
        <w:tabs>
          <w:tab w:leader="none" w:pos="1160" w:val="left"/>
        </w:tabs>
        <w:numPr>
          <w:ilvl w:val="0"/>
          <w:numId w:val="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43,637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3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60" w:type="dxa"/>
            <w:vAlign w:val="bottom"/>
            <w:gridSpan w:val="5"/>
          </w:tcPr>
          <w:p>
            <w:pPr>
              <w:jc w:val="center"/>
              <w:ind w:left="140"/>
              <w:spacing w:after="0"/>
              <w:rPr>
                <w:sz w:val="20"/>
                <w:szCs w:val="20"/>
                <w:color w:val="auto"/>
              </w:rPr>
            </w:pPr>
            <w:r>
              <w:rPr>
                <w:rFonts w:ascii="Times New Roman" w:cs="Times New Roman" w:eastAsia="Times New Roman" w:hAnsi="Times New Roman"/>
                <w:sz w:val="12"/>
                <w:szCs w:val="12"/>
                <w:b w:val="1"/>
                <w:bCs w:val="1"/>
                <w:color w:val="auto"/>
              </w:rPr>
              <w:t>Other specified segment disclosure</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2260" w:type="dxa"/>
            <w:vAlign w:val="bottom"/>
            <w:tcBorders>
              <w:bottom w:val="single" w:sz="8" w:color="auto"/>
            </w:tcBorders>
            <w:gridSpan w:val="6"/>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2026</w:t>
            </w:r>
          </w:p>
        </w:tc>
        <w:tc>
          <w:tcPr>
            <w:tcW w:w="14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6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00" w:type="dxa"/>
            <w:vAlign w:val="bottom"/>
          </w:tcPr>
          <w:p>
            <w:pPr>
              <w:spacing w:after="0"/>
              <w:rPr>
                <w:sz w:val="12"/>
                <w:szCs w:val="1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60" w:type="dxa"/>
            <w:vAlign w:val="bottom"/>
          </w:tcPr>
          <w:p>
            <w:pPr>
              <w:spacing w:after="0"/>
              <w:rPr>
                <w:sz w:val="12"/>
                <w:szCs w:val="12"/>
                <w:color w:val="auto"/>
              </w:rPr>
            </w:pPr>
          </w:p>
        </w:tc>
        <w:tc>
          <w:tcPr>
            <w:tcW w:w="1460" w:type="dxa"/>
            <w:vAlign w:val="bottom"/>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ind w:right="1320"/>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33,256</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15,896</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53,017</w:t>
            </w:r>
          </w:p>
        </w:tc>
        <w:tc>
          <w:tcPr>
            <w:tcW w:w="76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29</w:t>
            </w: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00" w:type="dxa"/>
            <w:vAlign w:val="bottom"/>
          </w:tcPr>
          <w:p>
            <w:pPr>
              <w:spacing w:after="0"/>
              <w:rPr>
                <w:sz w:val="12"/>
                <w:szCs w:val="12"/>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161,307</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24,698</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55,434</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242,720</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(1,281)</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241,439</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(126,412)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(17,987)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(8,406)</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(5,764)</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77,858</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78040" cy="97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(23,818)</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7,230</w:t>
            </w:r>
          </w:p>
        </w:tc>
      </w:tr>
      <w:tr>
        <w:trPr>
          <w:trHeight w:val="142"/>
        </w:trPr>
        <w:tc>
          <w:tcPr>
            <w:tcW w:w="36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(15,311)</w:t>
            </w: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60" w:hanging="1160"/>
        <w:spacing w:after="0"/>
        <w:tabs>
          <w:tab w:leader="none" w:pos="11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77,858</w:t>
      </w:r>
    </w:p>
    <w:p>
      <w:pPr>
        <w:spacing w:after="0" w:line="16" w:lineRule="exact"/>
        <w:rPr>
          <w:rFonts w:ascii="Times New Roman" w:cs="Times New Roman" w:eastAsia="Times New Roman" w:hAnsi="Times New Roman"/>
          <w:sz w:val="12"/>
          <w:szCs w:val="12"/>
          <w:color w:val="auto"/>
        </w:rPr>
      </w:pPr>
    </w:p>
    <w:p>
      <w:pPr>
        <w:ind w:left="11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(15,311)</w:t>
      </w:r>
    </w:p>
    <w:p>
      <w:pPr>
        <w:spacing w:after="0" w:line="26"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(1,281)</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(15,122)</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(22,463)</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(12,476)</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(1,491)</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9525</wp:posOffset>
            </wp:positionV>
            <wp:extent cx="20116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ind w:left="1220" w:hanging="1220"/>
        <w:spacing w:after="0"/>
        <w:tabs>
          <w:tab w:leader="none" w:pos="1220"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7,387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3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8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Other specified segment disclosure</w:t>
            </w: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3320" w:type="dxa"/>
            <w:vAlign w:val="bottom"/>
            <w:tcBorders>
              <w:bottom w:val="single" w:sz="8" w:color="auto"/>
            </w:tcBorders>
            <w:gridSpan w:val="6"/>
            <w:shd w:val="clear" w:color="auto" w:fill="CCEEFF"/>
          </w:tcPr>
          <w:p>
            <w:pPr>
              <w:jc w:val="center"/>
              <w:ind w:left="1100"/>
              <w:spacing w:after="0"/>
              <w:rPr>
                <w:sz w:val="20"/>
                <w:szCs w:val="20"/>
                <w:color w:val="auto"/>
              </w:rPr>
            </w:pPr>
            <w:r>
              <w:rPr>
                <w:rFonts w:ascii="Times New Roman" w:cs="Times New Roman" w:eastAsia="Times New Roman" w:hAnsi="Times New Roman"/>
                <w:sz w:val="12"/>
                <w:szCs w:val="12"/>
                <w:b w:val="1"/>
                <w:bCs w:val="1"/>
                <w:color w:val="auto"/>
                <w:w w:val="99"/>
              </w:rPr>
              <w:t>Three Months Ended September 30, 2025</w:t>
            </w:r>
          </w:p>
        </w:tc>
        <w:tc>
          <w:tcPr>
            <w:tcW w:w="12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6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2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60" w:type="dxa"/>
            <w:vAlign w:val="bottom"/>
          </w:tcPr>
          <w:p>
            <w:pPr>
              <w:spacing w:after="0"/>
              <w:rPr>
                <w:sz w:val="12"/>
                <w:szCs w:val="12"/>
                <w:color w:val="auto"/>
              </w:rPr>
            </w:pPr>
          </w:p>
        </w:tc>
        <w:tc>
          <w:tcPr>
            <w:tcW w:w="1460" w:type="dxa"/>
            <w:vAlign w:val="bottom"/>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4,923</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13,805</w:t>
            </w:r>
          </w:p>
        </w:tc>
        <w:tc>
          <w:tcPr>
            <w:tcW w:w="76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59"/>
        </w:trPr>
        <w:tc>
          <w:tcPr>
            <w:tcW w:w="4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80" w:type="dxa"/>
            <w:vAlign w:val="bottom"/>
          </w:tcPr>
          <w:p>
            <w:pPr>
              <w:spacing w:after="0"/>
              <w:rPr>
                <w:sz w:val="12"/>
                <w:szCs w:val="12"/>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320" w:type="dxa"/>
            <w:vAlign w:val="bottom"/>
          </w:tcPr>
          <w:p>
            <w:pPr>
              <w:spacing w:after="0"/>
              <w:rPr>
                <w:sz w:val="12"/>
                <w:szCs w:val="12"/>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80" w:type="dxa"/>
            <w:vAlign w:val="bottom"/>
          </w:tcPr>
          <w:p>
            <w:pPr>
              <w:spacing w:after="0"/>
              <w:rPr>
                <w:sz w:val="12"/>
                <w:szCs w:val="12"/>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360" w:type="dxa"/>
            <w:vAlign w:val="bottom"/>
          </w:tcPr>
          <w:p>
            <w:pPr>
              <w:spacing w:after="0"/>
              <w:rPr>
                <w:sz w:val="12"/>
                <w:szCs w:val="12"/>
                <w:color w:val="auto"/>
              </w:rPr>
            </w:pPr>
          </w:p>
        </w:tc>
        <w:tc>
          <w:tcPr>
            <w:tcW w:w="1200" w:type="dxa"/>
            <w:vAlign w:val="bottom"/>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42"/>
        </w:trPr>
        <w:tc>
          <w:tcPr>
            <w:tcW w:w="48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from external customers</w:t>
            </w: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475,336</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73,054</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157,491</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Intersegment revenue</w:t>
            </w: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3,456</w:t>
            </w:r>
          </w:p>
        </w:tc>
      </w:tr>
      <w:tr>
        <w:trPr>
          <w:trHeight w:val="142"/>
        </w:trPr>
        <w:tc>
          <w:tcPr>
            <w:tcW w:w="4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709,337</w:t>
            </w:r>
          </w:p>
        </w:tc>
      </w:tr>
      <w:tr>
        <w:trPr>
          <w:trHeight w:val="153"/>
        </w:trPr>
        <w:tc>
          <w:tcPr>
            <w:tcW w:w="4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Elimination of intersegment revenues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(3,456)</w:t>
            </w:r>
          </w:p>
        </w:tc>
      </w:tr>
      <w:tr>
        <w:trPr>
          <w:trHeight w:val="142"/>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consolidated revenues</w:t>
            </w: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705,881</w:t>
            </w:r>
          </w:p>
        </w:tc>
      </w:tr>
      <w:tr>
        <w:trPr>
          <w:trHeight w:val="133"/>
        </w:trPr>
        <w:tc>
          <w:tcPr>
            <w:tcW w:w="48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Less: Cost of revenue (excludes depreciation and amortization)</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(372,798)</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(52,363)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(9,719)</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3"/>
        </w:trPr>
        <w:tc>
          <w:tcPr>
            <w:tcW w:w="488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Less: Other operating expenses</w:t>
            </w:r>
            <w:r>
              <w:rPr>
                <w:rFonts w:ascii="Times New Roman" w:cs="Times New Roman" w:eastAsia="Times New Roman" w:hAnsi="Times New Roman"/>
                <w:sz w:val="15"/>
                <w:szCs w:val="15"/>
                <w:color w:val="auto"/>
                <w:vertAlign w:val="superscript"/>
              </w:rPr>
              <w:t>(1)(2)</w:t>
            </w: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(24,987)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(11,408)</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4880" w:type="dxa"/>
            <w:vAlign w:val="bottom"/>
            <w:tcBorders>
              <w:bottom w:val="single" w:sz="8" w:color="CCEEFF"/>
            </w:tcBorders>
            <w:gridSpan w:val="2"/>
          </w:tcPr>
          <w:p>
            <w:pPr>
              <w:spacing w:after="0" w:line="153" w:lineRule="exact"/>
              <w:rPr>
                <w:sz w:val="20"/>
                <w:szCs w:val="20"/>
                <w:color w:val="auto"/>
              </w:rPr>
            </w:pPr>
            <w:r>
              <w:rPr>
                <w:rFonts w:ascii="Times New Roman" w:cs="Times New Roman" w:eastAsia="Times New Roman" w:hAnsi="Times New Roman"/>
                <w:sz w:val="12"/>
                <w:szCs w:val="12"/>
                <w:color w:val="auto"/>
              </w:rPr>
              <w:t>Add: Other segment items</w:t>
            </w:r>
            <w:r>
              <w:rPr>
                <w:rFonts w:ascii="Times New Roman" w:cs="Times New Roman" w:eastAsia="Times New Roman" w:hAnsi="Times New Roman"/>
                <w:sz w:val="15"/>
                <w:szCs w:val="15"/>
                <w:color w:val="auto"/>
                <w:vertAlign w:val="superscript"/>
              </w:rPr>
              <w:t>(3)</w:t>
            </w: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2,172</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8"/>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Segment Adjusted EBITDA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226,599</w:t>
            </w:r>
          </w:p>
        </w:tc>
      </w:tr>
    </w:tbl>
    <w:p>
      <w:pPr>
        <w:spacing w:after="0" w:line="156" w:lineRule="exact"/>
        <w:rPr>
          <w:sz w:val="20"/>
          <w:szCs w:val="20"/>
          <w:color w:val="auto"/>
        </w:rPr>
      </w:pPr>
    </w:p>
    <w:p>
      <w:pPr>
        <w:sectPr>
          <w:pgSz w:w="11900" w:h="16838" w:orient="portrait"/>
          <w:cols w:equalWidth="0" w:num="1">
            <w:col w:w="11300"/>
          </w:cols>
          <w:pgMar w:left="300" w:top="105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Reconciliation of Segment Adjusted EBITDA to 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971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Segment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Adjustment for corporate items</w:t>
      </w:r>
      <w:r>
        <w:rPr>
          <w:rFonts w:ascii="Times New Roman" w:cs="Times New Roman" w:eastAsia="Times New Roman" w:hAnsi="Times New Roman"/>
          <w:sz w:val="15"/>
          <w:szCs w:val="15"/>
          <w:color w:val="auto"/>
          <w:vertAlign w:val="superscript"/>
        </w:rPr>
        <w:t>(4)</w:t>
      </w:r>
    </w:p>
    <w:p>
      <w:pPr>
        <w:spacing w:after="0"/>
        <w:rPr>
          <w:sz w:val="20"/>
          <w:szCs w:val="20"/>
          <w:color w:val="auto"/>
        </w:rPr>
      </w:pPr>
      <w:r>
        <w:rPr>
          <w:rFonts w:ascii="Times New Roman" w:cs="Times New Roman" w:eastAsia="Times New Roman" w:hAnsi="Times New Roman"/>
          <w:sz w:val="12"/>
          <w:szCs w:val="12"/>
          <w:color w:val="auto"/>
        </w:rPr>
        <w:t>Intersegment revenue elimination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Non-cash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51206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20640" cy="57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7" w:lineRule="exact"/>
        <w:rPr>
          <w:sz w:val="20"/>
          <w:szCs w:val="20"/>
          <w:color w:val="auto"/>
        </w:rPr>
      </w:pPr>
    </w:p>
    <w:p>
      <w:pPr>
        <w:ind w:left="420" w:hanging="212"/>
        <w:spacing w:after="0"/>
        <w:tabs>
          <w:tab w:leader="none" w:pos="42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significant expense categories and amounts align with the segment level information regularly provided to the CODM.</w:t>
      </w:r>
    </w:p>
    <w:p>
      <w:pPr>
        <w:spacing w:after="0" w:line="45" w:lineRule="exact"/>
        <w:rPr>
          <w:rFonts w:ascii="Times New Roman" w:cs="Times New Roman" w:eastAsia="Times New Roman" w:hAnsi="Times New Roman"/>
          <w:sz w:val="14"/>
          <w:szCs w:val="14"/>
          <w:color w:val="auto"/>
          <w:vertAlign w:val="superscript"/>
        </w:rPr>
      </w:pPr>
    </w:p>
    <w:p>
      <w:pPr>
        <w:ind w:left="420" w:hanging="212"/>
        <w:spacing w:after="0" w:line="222" w:lineRule="auto"/>
        <w:tabs>
          <w:tab w:leader="none" w:pos="42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operating expenses including salary and employee benefits, and selling, general and administrative expenses.</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segment items for each reportable segment include other income, net, and stock-based compensation expense.</w:t>
      </w:r>
    </w:p>
    <w:p>
      <w:pPr>
        <w:spacing w:after="0" w:line="45" w:lineRule="exact"/>
        <w:rPr>
          <w:rFonts w:ascii="Times New Roman" w:cs="Times New Roman" w:eastAsia="Times New Roman" w:hAnsi="Times New Roman"/>
          <w:sz w:val="16"/>
          <w:szCs w:val="16"/>
          <w:color w:val="auto"/>
          <w:vertAlign w:val="superscript"/>
        </w:rPr>
      </w:pPr>
    </w:p>
    <w:p>
      <w:pPr>
        <w:ind w:left="420" w:hanging="212"/>
        <w:spacing w:after="0" w:line="222" w:lineRule="auto"/>
        <w:tabs>
          <w:tab w:leader="none" w:pos="420" w:val="left"/>
        </w:tabs>
        <w:numPr>
          <w:ilvl w:val="0"/>
          <w:numId w:val="3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Adjustment for corporate items include:</w:t>
      </w:r>
    </w:p>
    <w:p>
      <w:pPr>
        <w:spacing w:after="0" w:line="85" w:lineRule="exact"/>
        <w:rPr>
          <w:sz w:val="20"/>
          <w:szCs w:val="20"/>
          <w:color w:val="auto"/>
        </w:rPr>
      </w:pPr>
    </w:p>
    <w:tbl>
      <w:tblPr>
        <w:tblLayout w:type="fixed"/>
        <w:tblInd w:w="1280" w:type="dxa"/>
        <w:tblCellMar>
          <w:top w:w="0" w:type="dxa"/>
          <w:left w:w="0" w:type="dxa"/>
          <w:bottom w:w="0" w:type="dxa"/>
          <w:right w:w="0" w:type="dxa"/>
        </w:tblCellMar>
      </w:tblPr>
      <w:tr>
        <w:trPr>
          <w:trHeight w:val="15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 2025</w:t>
            </w:r>
          </w:p>
        </w:tc>
      </w:tr>
      <w:tr>
        <w:trPr>
          <w:trHeight w:val="14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Elimination of cost of services (excludes depreciation and amortization)</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3,447</w:t>
            </w:r>
          </w:p>
        </w:tc>
      </w:tr>
      <w:tr>
        <w:trPr>
          <w:trHeight w:val="153"/>
        </w:trPr>
        <w:tc>
          <w:tcPr>
            <w:tcW w:w="3660" w:type="dxa"/>
            <w:vAlign w:val="bottom"/>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operating expenses</w:t>
            </w:r>
            <w:r>
              <w:rPr>
                <w:rFonts w:ascii="Times New Roman" w:cs="Times New Roman" w:eastAsia="Times New Roman" w:hAnsi="Times New Roman"/>
                <w:sz w:val="15"/>
                <w:szCs w:val="15"/>
                <w:color w:val="auto"/>
                <w:vertAlign w:val="superscript"/>
              </w:rPr>
              <w:t>(2)</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(72,483)</w:t>
            </w:r>
          </w:p>
        </w:tc>
      </w:tr>
      <w:tr>
        <w:trPr>
          <w:trHeight w:val="153"/>
        </w:trPr>
        <w:tc>
          <w:tcPr>
            <w:tcW w:w="36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2"/>
                <w:szCs w:val="12"/>
                <w:color w:val="auto"/>
              </w:rPr>
              <w:t>Other items</w:t>
            </w:r>
            <w:r>
              <w:rPr>
                <w:rFonts w:ascii="Times New Roman" w:cs="Times New Roman" w:eastAsia="Times New Roman" w:hAnsi="Times New Roman"/>
                <w:sz w:val="15"/>
                <w:szCs w:val="15"/>
                <w:color w:val="auto"/>
                <w:vertAlign w:val="superscript"/>
              </w:rPr>
              <w:t>(5)</w:t>
            </w:r>
          </w:p>
        </w:tc>
        <w:tc>
          <w:tcPr>
            <w:tcW w:w="22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14,503</w:t>
            </w:r>
          </w:p>
        </w:tc>
      </w:tr>
      <w:tr>
        <w:trPr>
          <w:trHeight w:val="142"/>
        </w:trPr>
        <w:tc>
          <w:tcPr>
            <w:tcW w:w="366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(54,533)</w:t>
            </w: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left="1100" w:hanging="1100"/>
        <w:spacing w:after="0"/>
        <w:tabs>
          <w:tab w:leader="none" w:pos="110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226,599</w:t>
      </w:r>
    </w:p>
    <w:p>
      <w:pPr>
        <w:spacing w:after="0" w:line="16"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(54,533)</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(3,456)</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(42,992)</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(68,693)</w:t>
      </w:r>
    </w:p>
    <w:p>
      <w:pPr>
        <w:spacing w:after="0" w:line="15" w:lineRule="exact"/>
        <w:rPr>
          <w:rFonts w:ascii="Times New Roman" w:cs="Times New Roman" w:eastAsia="Times New Roman" w:hAnsi="Times New Roman"/>
          <w:sz w:val="12"/>
          <w:szCs w:val="12"/>
          <w:color w:val="auto"/>
        </w:rPr>
      </w:pPr>
    </w:p>
    <w:p>
      <w:pPr>
        <w:ind w:left="110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(12,514)</w:t>
      </w:r>
    </w:p>
    <w:p>
      <w:pPr>
        <w:spacing w:after="0" w:line="15" w:lineRule="exact"/>
        <w:rPr>
          <w:rFonts w:ascii="Times New Roman" w:cs="Times New Roman" w:eastAsia="Times New Roman" w:hAnsi="Times New Roman"/>
          <w:sz w:val="12"/>
          <w:szCs w:val="12"/>
          <w:color w:val="auto"/>
        </w:rPr>
      </w:pPr>
    </w:p>
    <w:p>
      <w:pPr>
        <w:ind w:left="11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(4,085)</w:t>
      </w:r>
    </w:p>
    <w:p>
      <w:pPr>
        <w:spacing w:after="0" w:line="15" w:lineRule="exact"/>
        <w:rPr>
          <w:rFonts w:ascii="Times New Roman" w:cs="Times New Roman" w:eastAsia="Times New Roman" w:hAnsi="Times New Roman"/>
          <w:sz w:val="12"/>
          <w:szCs w:val="12"/>
          <w:color w:val="auto"/>
        </w:rPr>
      </w:pPr>
    </w:p>
    <w:p>
      <w:pPr>
        <w:ind w:left="11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(7,119)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17145</wp:posOffset>
            </wp:positionV>
            <wp:extent cx="20116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spacing w:after="0" w:line="10" w:lineRule="exact"/>
        <w:rPr>
          <w:sz w:val="20"/>
          <w:szCs w:val="20"/>
          <w:color w:val="auto"/>
        </w:rPr>
      </w:pPr>
    </w:p>
    <w:p>
      <w:pPr>
        <w:ind w:left="1160" w:hanging="1160"/>
        <w:spacing w:after="0"/>
        <w:tabs>
          <w:tab w:leader="none" w:pos="1160"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33,207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9829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wp:posOffset>
            </wp:positionV>
            <wp:extent cx="9829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978" w:lineRule="exact"/>
        <w:rPr>
          <w:sz w:val="20"/>
          <w:szCs w:val="20"/>
          <w:color w:val="auto"/>
        </w:rPr>
      </w:pPr>
    </w:p>
    <w:p>
      <w:pPr>
        <w:sectPr>
          <w:pgSz w:w="11900" w:h="16838" w:orient="portrait"/>
          <w:cols w:equalWidth="0" w:num="2">
            <w:col w:w="9040" w:space="720"/>
            <w:col w:w="1540"/>
          </w:cols>
          <w:pgMar w:left="300" w:top="1052" w:right="299" w:bottom="1440" w:gutter="0" w:footer="0" w:header="0"/>
          <w:type w:val="continuous"/>
        </w:sectPr>
      </w:pPr>
    </w:p>
    <w:p>
      <w:pPr>
        <w:ind w:left="420" w:hanging="212"/>
        <w:spacing w:after="0"/>
        <w:tabs>
          <w:tab w:leader="none" w:pos="420"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items include other income net, stock-based compensation expense, and selling general and administrative (non-recurring expense).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0" w:type="dxa"/>
            <w:vAlign w:val="bottom"/>
          </w:tcPr>
          <w:p>
            <w:pPr>
              <w:spacing w:after="0"/>
              <w:rPr>
                <w:sz w:val="12"/>
                <w:szCs w:val="1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20" w:type="dxa"/>
            <w:vAlign w:val="bottom"/>
            <w:gridSpan w:val="6"/>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Other specified segment disclosure</w:t>
            </w: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3"/>
        </w:trPr>
        <w:tc>
          <w:tcPr>
            <w:tcW w:w="4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3240" w:type="dxa"/>
            <w:vAlign w:val="bottom"/>
            <w:tcBorders>
              <w:bottom w:val="single" w:sz="8" w:color="auto"/>
            </w:tcBorders>
            <w:gridSpan w:val="7"/>
            <w:shd w:val="clear" w:color="auto" w:fill="CCEEFF"/>
          </w:tcPr>
          <w:p>
            <w:pPr>
              <w:jc w:val="center"/>
              <w:ind w:left="112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 2025</w:t>
            </w:r>
          </w:p>
        </w:tc>
        <w:tc>
          <w:tcPr>
            <w:tcW w:w="13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spacing w:after="0"/>
              <w:rPr>
                <w:sz w:val="13"/>
                <w:szCs w:val="13"/>
                <w:color w:val="auto"/>
              </w:rPr>
            </w:pPr>
          </w:p>
        </w:tc>
        <w:tc>
          <w:tcPr>
            <w:tcW w:w="760" w:type="dxa"/>
            <w:vAlign w:val="bottom"/>
          </w:tcPr>
          <w:p>
            <w:pPr>
              <w:spacing w:after="0"/>
              <w:rPr>
                <w:sz w:val="13"/>
                <w:szCs w:val="13"/>
                <w:color w:val="auto"/>
              </w:rPr>
            </w:pPr>
          </w:p>
        </w:tc>
      </w:tr>
      <w:tr>
        <w:trPr>
          <w:trHeight w:val="142"/>
        </w:trPr>
        <w:tc>
          <w:tcPr>
            <w:tcW w:w="4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30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60" w:type="dxa"/>
            <w:vAlign w:val="bottom"/>
          </w:tcPr>
          <w:p>
            <w:pPr>
              <w:spacing w:after="0"/>
              <w:rPr>
                <w:sz w:val="12"/>
                <w:szCs w:val="12"/>
                <w:color w:val="auto"/>
              </w:rPr>
            </w:pPr>
          </w:p>
        </w:tc>
        <w:tc>
          <w:tcPr>
            <w:tcW w:w="1460" w:type="dxa"/>
            <w:vAlign w:val="bottom"/>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20,865</w:t>
            </w: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39,170</w:t>
            </w:r>
          </w:p>
        </w:tc>
        <w:tc>
          <w:tcPr>
            <w:tcW w:w="760" w:type="dxa"/>
            <w:vAlign w:val="bottom"/>
          </w:tcPr>
          <w:p>
            <w:pPr>
              <w:spacing w:after="0"/>
              <w:rPr>
                <w:sz w:val="12"/>
                <w:szCs w:val="12"/>
                <w:color w:val="auto"/>
              </w:rPr>
            </w:pPr>
          </w:p>
        </w:tc>
      </w:tr>
      <w:tr>
        <w:trPr>
          <w:trHeight w:val="747"/>
        </w:trPr>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rPr>
              <w:t>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42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34" w:name="page35"/>
    <w:bookmarkEnd w:id="34"/>
    <w:tbl>
      <w:tblPr>
        <w:tblLayout w:type="fixed"/>
        <w:tblInd w:w="8"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15.  Earnings per Common Share</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8"/>
        </w:trPr>
        <w:tc>
          <w:tcPr>
            <w:tcW w:w="5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tables set forth the computation of the Company's basic and diluted earnings per common share:</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5"/>
        </w:trPr>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8"/>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24"/>
                <w:szCs w:val="24"/>
                <w:color w:val="auto"/>
              </w:rPr>
            </w:pPr>
          </w:p>
        </w:tc>
        <w:tc>
          <w:tcPr>
            <w:tcW w:w="2700" w:type="dxa"/>
            <w:vAlign w:val="bottom"/>
            <w:gridSpan w:val="6"/>
          </w:tcPr>
          <w:p>
            <w:pPr>
              <w:ind w:lef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 except per share amounts)</w:t>
            </w: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5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Numerator:</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3"/>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income attributable to common stockholders</w:t>
            </w: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31,846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46,735</w:t>
            </w:r>
          </w:p>
        </w:tc>
      </w:tr>
      <w:tr>
        <w:trPr>
          <w:trHeight w:val="180"/>
        </w:trPr>
        <w:tc>
          <w:tcPr>
            <w:tcW w:w="5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3"/>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Weighted average shares outstanding</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81,663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81,530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79,366</w:t>
            </w:r>
          </w:p>
        </w:tc>
      </w:tr>
      <w:tr>
        <w:trPr>
          <w:trHeight w:val="153"/>
        </w:trPr>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Effect of dilutive potential common shares</w:t>
            </w:r>
          </w:p>
        </w:tc>
        <w:tc>
          <w:tcPr>
            <w:tcW w:w="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2,393</w:t>
            </w: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w:t>
            </w:r>
          </w:p>
        </w:tc>
      </w:tr>
      <w:tr>
        <w:trPr>
          <w:trHeight w:val="142"/>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Adjusted Weighted average shares outstanding</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84,293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83,923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80,383</w:t>
            </w:r>
          </w:p>
        </w:tc>
      </w:tr>
      <w:tr>
        <w:trPr>
          <w:trHeight w:val="180"/>
        </w:trPr>
        <w:tc>
          <w:tcPr>
            <w:tcW w:w="5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53"/>
        </w:trPr>
        <w:tc>
          <w:tcPr>
            <w:tcW w:w="5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Basic earnings per common share</w:t>
            </w: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0.59</w:t>
            </w:r>
          </w:p>
        </w:tc>
      </w:tr>
      <w:tr>
        <w:trPr>
          <w:trHeight w:val="153"/>
        </w:trPr>
        <w:tc>
          <w:tcPr>
            <w:tcW w:w="512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Diluted earnings per common share</w:t>
            </w:r>
            <w:r>
              <w:rPr>
                <w:rFonts w:ascii="Times New Roman" w:cs="Times New Roman" w:eastAsia="Times New Roman" w:hAnsi="Times New Roman"/>
                <w:sz w:val="15"/>
                <w:szCs w:val="15"/>
                <w:color w:val="auto"/>
                <w:vertAlign w:val="superscript"/>
              </w:rPr>
              <w:t>(1)</w:t>
            </w: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0.58</w:t>
            </w:r>
          </w:p>
        </w:tc>
      </w:tr>
      <w:tr>
        <w:trPr>
          <w:trHeight w:val="396"/>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212529"/>
                <w:vertAlign w:val="superscript"/>
              </w:rPr>
              <w:t>(1)</w:t>
            </w:r>
            <w:r>
              <w:rPr>
                <w:rFonts w:ascii="Times New Roman" w:cs="Times New Roman" w:eastAsia="Times New Roman" w:hAnsi="Times New Roman"/>
                <w:sz w:val="12"/>
                <w:szCs w:val="12"/>
                <w:color w:val="auto"/>
              </w:rPr>
              <w:t xml:space="preserve">   Certain amounts may not compute accurately due to rounding.</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w w:val="99"/>
              </w:rPr>
              <w:t>Anti-dilutive securities that were excluded from the Company's earnings per common share are as follows:</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15"/>
        </w:trPr>
        <w:tc>
          <w:tcPr>
            <w:tcW w:w="5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8"/>
          </w:tcPr>
          <w:p>
            <w:pPr>
              <w:ind w:left="2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24"/>
                <w:szCs w:val="24"/>
                <w:color w:val="auto"/>
              </w:rPr>
            </w:pPr>
          </w:p>
        </w:tc>
        <w:tc>
          <w:tcPr>
            <w:tcW w:w="2700" w:type="dxa"/>
            <w:vAlign w:val="bottom"/>
            <w:gridSpan w:val="6"/>
          </w:tcPr>
          <w:p>
            <w:pPr>
              <w:ind w:left="2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(number of shares, in thousands)</w:t>
            </w:r>
          </w:p>
        </w:tc>
        <w:tc>
          <w:tcPr>
            <w:tcW w:w="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2"/>
        </w:trPr>
        <w:tc>
          <w:tcPr>
            <w:tcW w:w="5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2"/>
                <w:szCs w:val="12"/>
                <w:color w:val="auto"/>
              </w:rPr>
              <w:t>Restricted stock awards</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Liability-classified restricted stock units</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12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Outstanding stock option awards</w:t>
            </w:r>
            <w:r>
              <w:rPr>
                <w:rFonts w:ascii="Times New Roman" w:cs="Times New Roman" w:eastAsia="Times New Roman" w:hAnsi="Times New Roman"/>
                <w:sz w:val="15"/>
                <w:szCs w:val="15"/>
                <w:color w:val="auto"/>
                <w:vertAlign w:val="superscript"/>
              </w:rPr>
              <w:t>(1)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512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606</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20"/>
        </w:trPr>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428" w:hanging="212"/>
        <w:spacing w:after="0"/>
        <w:tabs>
          <w:tab w:leader="none" w:pos="428" w:val="left"/>
        </w:tabs>
        <w:numPr>
          <w:ilvl w:val="1"/>
          <w:numId w:val="4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Granted under the 2018 Plan.</w:t>
      </w:r>
    </w:p>
    <w:p>
      <w:pPr>
        <w:spacing w:after="0" w:line="200" w:lineRule="exact"/>
        <w:rPr>
          <w:rFonts w:ascii="Times New Roman" w:cs="Times New Roman" w:eastAsia="Times New Roman" w:hAnsi="Times New Roman"/>
          <w:sz w:val="16"/>
          <w:szCs w:val="16"/>
          <w:color w:val="auto"/>
          <w:vertAlign w:val="superscript"/>
        </w:rPr>
      </w:pPr>
    </w:p>
    <w:p>
      <w:pPr>
        <w:spacing w:after="0" w:line="235" w:lineRule="exact"/>
        <w:rPr>
          <w:rFonts w:ascii="Times New Roman" w:cs="Times New Roman" w:eastAsia="Times New Roman" w:hAnsi="Times New Roman"/>
          <w:sz w:val="16"/>
          <w:szCs w:val="16"/>
          <w:color w:val="auto"/>
          <w:vertAlign w:val="superscript"/>
        </w:rPr>
      </w:pPr>
    </w:p>
    <w:p>
      <w:pPr>
        <w:ind w:left="268" w:hanging="268"/>
        <w:spacing w:after="0"/>
        <w:tabs>
          <w:tab w:leader="none" w:pos="268" w:val="left"/>
        </w:tabs>
        <w:numPr>
          <w:ilvl w:val="0"/>
          <w:numId w:val="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w:t>
      </w:r>
    </w:p>
    <w:p>
      <w:pPr>
        <w:spacing w:after="0" w:line="154" w:lineRule="exact"/>
        <w:rPr>
          <w:sz w:val="20"/>
          <w:szCs w:val="20"/>
          <w:color w:val="auto"/>
        </w:rPr>
      </w:pPr>
    </w:p>
    <w:p>
      <w:pPr>
        <w:ind w:left="8" w:right="100"/>
        <w:spacing w:after="0" w:line="257" w:lineRule="auto"/>
        <w:rPr>
          <w:sz w:val="20"/>
          <w:szCs w:val="20"/>
          <w:color w:val="auto"/>
        </w:rPr>
      </w:pPr>
      <w:r>
        <w:rPr>
          <w:rFonts w:ascii="Times New Roman" w:cs="Times New Roman" w:eastAsia="Times New Roman" w:hAnsi="Times New Roman"/>
          <w:sz w:val="12"/>
          <w:szCs w:val="12"/>
          <w:color w:val="auto"/>
        </w:rPr>
        <w:t>On September 18, 2026, the Company entered into an Agreement and Plan of Merger (the “Merger Agreement”) with WD Capital Partners Parent Inc., a Delaware corporation (“Parent”), and WD Capital Partners Merger Sub Inc., a Delaware corporation and a direct, wholly owned subsidiary of Parent (“Merger Sub”), pursuant to which Merger Sub will merge with and into the Company (the “Merger”), with the Company surviving the Merger as a wholly owned subsidiary of Parent. Thomas C. Priore, the Company's Chairman and Chief Executive Officer (the “Majority Stockholder”), and certain of his affiliates, control WD Capital Partners Holdings LP (“Ultimate Parent”) and, indirectly, Parent and Merger Sub. As of October 23, 2026, the Majority Stockholder beneficially owned approximately 56.4% of the outstanding shares of the Company's common stock, and the Majority Stockholder together with certain of his affiliates (the “Supporting Stockholders”) beneficially owned approximately 61.4% of the outstanding shares.</w:t>
      </w:r>
    </w:p>
    <w:p>
      <w:pPr>
        <w:spacing w:after="0" w:line="53"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Pursuant to the Merger Agreement, at the effective time of the Merger (the “Effective Time”), each share of the Company's common stock issued and outstanding immediately prior to the Effective Time, other than (a) shares held by the Company as treasury shares or owned by any direct or indirect wholly owned subsidiary of the Company, (b) shares owned by Parent, Merger Sub or any of their respective affiliates, (c) shares held by the Supporting Stockholders that will be contributed to</w:t>
      </w:r>
    </w:p>
    <w:p>
      <w:pPr>
        <w:spacing w:after="0" w:line="200" w:lineRule="exact"/>
        <w:rPr>
          <w:sz w:val="20"/>
          <w:szCs w:val="20"/>
          <w:color w:val="auto"/>
        </w:rPr>
      </w:pPr>
    </w:p>
    <w:p>
      <w:pPr>
        <w:spacing w:after="0" w:line="315" w:lineRule="exact"/>
        <w:rPr>
          <w:sz w:val="20"/>
          <w:szCs w:val="20"/>
          <w:color w:val="auto"/>
        </w:rPr>
      </w:pPr>
    </w:p>
    <w:p>
      <w:pPr>
        <w:ind w:left="3028"/>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59" w:right="299" w:bottom="1440" w:gutter="0" w:footer="0" w:header="0"/>
        </w:sectPr>
      </w:pPr>
    </w:p>
    <w:bookmarkStart w:id="35" w:name="page36"/>
    <w:bookmarkEnd w:id="35"/>
    <w:p>
      <w:pPr>
        <w:spacing w:after="0" w:line="260" w:lineRule="auto"/>
        <w:rPr>
          <w:sz w:val="20"/>
          <w:szCs w:val="20"/>
          <w:color w:val="auto"/>
        </w:rPr>
      </w:pPr>
      <w:r>
        <w:rPr>
          <w:rFonts w:ascii="Times New Roman" w:cs="Times New Roman" w:eastAsia="Times New Roman" w:hAnsi="Times New Roman"/>
          <w:sz w:val="12"/>
          <w:szCs w:val="12"/>
          <w:color w:val="auto"/>
        </w:rPr>
        <w:t>Ultimate Parent immediately prior to the Effective Time in exchange for equity interests of Ultimate Parent (the “Rollover Shares”) and (d) shares held by stockholders who have properly demanded and not effectively withdrawn or lost their appraisal rights under Section 262 of the Delaware General Corporation Law (the “DGCL”), will be automatically converted into the right to receive $8.05 per share in cash from Parent, without interest and less any applicable withholding taxes (the “Merger Consideration”). The Rollover Shares will be canceled at the Effective Time without conversion into the right to receive the Merger Consideration. At the Effective Time, outstanding Company stock options, restricted stock units and performance stock units (with performance stock units vesting at target) will vest in full and be canceled in exchange for cash based on the Merger Consideration.</w:t>
      </w:r>
    </w:p>
    <w:p>
      <w:pPr>
        <w:spacing w:after="0" w:line="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Board of Directors formed a special committee consisting solely of independent and disinterested directors (the “Special Committee”) to evaluate and negotiate the Majority Stockholder's proposal. Acting upon the unanimous recommendation of the Special Committee, the Board of Directors (other than Mr. Priore and Mr. Crisafulli, each of whom recused himself) approved the Merger Agreement and resolved to recommend that the Company's stockholders adopt the Merger Agreement. Concurrently with the execution of the Merger Agreement, the Supporting Stockholders entered into a support agreement with the Company, Parent and Ultimate Parent pursuant to which they agreed, among other things, to vote their shares in favor of adoption of the Merger Agreement and to contribute the Rollover Shares to Ultimate Parent.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Completion of the Merger is subject to the satisfaction or waiver of specified conditions, including (i) adoption of the Merger Agreement by the holders of a majority of the outstanding shares of the Company's common stock and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holders of a majority of the votes cast by stockholders unaffiliated with the Majority Stockholder, the Supporting Stockholders, the Company's officers and directors who are not members of the Special Committee, which condition may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be waived, (ii) receipt of required consents of state money transmitter licensing authorities (or implementation of permitted alternative arrangements or license withdrawals), (iii) the absence of any law or order prohibiting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Merger, (iv) the absence of a Company Material Adverse Effect (as defined in the Merger Agreement) and (v) the Company's existing credit agreements with Truist Bank and VP Capital, L.P. remaining in full force and effect.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obligations of Parent and Merger Sub are not conditioned on the receipt of financing. Parent has obtained an equity commitment of up to $160.0 million, and the Merger Agreement contemplates that a restricted payment of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$131.2 million, funded through borrowings under the Company's revolving credit facility and available cash, will be made to the Company at closing. The Company's existing indebtedness is expected to remain outstanding 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Merger.</w:t>
      </w:r>
    </w:p>
    <w:p>
      <w:pPr>
        <w:spacing w:after="0" w:line="6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including restrictions on the conduct of the Company's business prior to closing, such as limitations on repurchases of Company securities, acquisitions, incurrence of indebtedness and changes to compensation and equity awards. Either party may terminate the Merger Agreement if the Merger is not completed by December 18, 2027. Upon termination under specified circumstances, the Company would be required to pay Parent a termination fee of $15.75 million, or Parent would be required to pay the Company a termination fee of $35.25 million, which is guaranteed, subject to a cap, by the equity financing sources.</w:t>
      </w:r>
    </w:p>
    <w:p>
      <w:pPr>
        <w:spacing w:after="0" w:line="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On October 30, 2026, the Company filed a preliminary proxy statement with the SEC relating to the special meeting of stockholders to vote on the Merger, and the Company, Parent, Merger Sub, Ultimate Parent, its general partner, the Majority Stockholder and the other Supporting Stockholders jointly filed a Transaction Statement on Schedule 13E-3. The Company currently anticipates that the Merger will be completed in the first half of 2027, subject to the satisfaction or waiver of the closing conditions; however, there can be no assurance that the Merger will be completed within that timeframe or at all. If the Merger is completed, the Company's common stock will be delisted from Nasdaq and deregistered under the Exchange Act.</w:t>
      </w:r>
    </w:p>
    <w:p>
      <w:pPr>
        <w:spacing w:after="0" w:line="35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17.</w:t>
        <w:tab/>
        <w:t>Subsequent Events</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 xml:space="preserve">The Company’s management evaluated subsequent events through the date of the issuance of the unaudited consolidated financial statements. Other than the filing of the preliminary proxy statement and Schedule 13E-3 relating to the Merger described in </w:t>
      </w:r>
      <w:r>
        <w:rPr>
          <w:rFonts w:ascii="Times New Roman" w:cs="Times New Roman" w:eastAsia="Times New Roman" w:hAnsi="Times New Roman"/>
          <w:sz w:val="12"/>
          <w:szCs w:val="12"/>
          <w:u w:val="single" w:color="auto"/>
          <w:color w:val="0000FF"/>
        </w:rPr>
        <w:t>Note 16. Related Party Transaction</w:t>
      </w:r>
      <w:r>
        <w:rPr>
          <w:rFonts w:ascii="Times New Roman" w:cs="Times New Roman" w:eastAsia="Times New Roman" w:hAnsi="Times New Roman"/>
          <w:sz w:val="12"/>
          <w:szCs w:val="12"/>
          <w:color w:val="auto"/>
        </w:rPr>
        <w:t>, there have been no subsequent events that occurred during such period that would require disclosure in, or would be required to be recognized in the unaudited consolidated financial statements as of and for the quarter ended September 30, 2026.</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2025. Certain amounts in this section may not add mathematically due to rounding.</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53" w:lineRule="exact"/>
        <w:rPr>
          <w:sz w:val="20"/>
          <w:szCs w:val="20"/>
          <w:color w:val="auto"/>
        </w:rPr>
      </w:pPr>
    </w:p>
    <w:p>
      <w:pPr>
        <w:ind w:left="420" w:right="280" w:hanging="212"/>
        <w:spacing w:after="0" w:line="279" w:lineRule="auto"/>
        <w:tabs>
          <w:tab w:leader="none" w:pos="417" w:val="left"/>
        </w:tabs>
        <w:numPr>
          <w:ilvl w:val="0"/>
          <w:numId w:val="4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spacing w:after="0" w:line="39" w:lineRule="exact"/>
        <w:rPr>
          <w:rFonts w:ascii="Times New Roman" w:cs="Times New Roman" w:eastAsia="Times New Roman" w:hAnsi="Times New Roman"/>
          <w:sz w:val="12"/>
          <w:szCs w:val="12"/>
          <w:color w:val="auto"/>
          <w:strike w:val="1"/>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competition in the payment processing industry;</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distribution partners;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unauthorized disclosures of merchant or cardholder data, whether through breach of our computer systems, computer viruses or otherwise;</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breakdowns in our processing systems;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 regulation, including regulation of consumer information;</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third-party vendors;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card association and debit network fees or products;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to comply with the rules established by payment networks or standards established by third-party processors;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proposed acquisitions or dispositions or any risks associated with completed acquisitions or dispositions;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Merger, including the parties' ability to satisfy the conditions to complete the Merger on the anticipated timeline or at all; and</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caution you that the foregoing list may not contain all of the forward-looking statements made in this Quarterly Report on Form 10-Q.</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2"/>
          <w:szCs w:val="12"/>
          <w:u w:val="single" w:color="auto"/>
          <w:color w:val="0000FF"/>
        </w:rPr>
        <w:t>Item 1A - Risk Factors</w:t>
      </w:r>
      <w:r>
        <w:rPr>
          <w:rFonts w:ascii="Times New Roman" w:cs="Times New Roman" w:eastAsia="Times New Roman" w:hAnsi="Times New Roman"/>
          <w:sz w:val="12"/>
          <w:szCs w:val="12"/>
          <w:color w:val="auto"/>
        </w:rPr>
        <w:t>" section of this Quarterly Report on Form 10-Q or our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200" w:lineRule="exact"/>
        <w:rPr>
          <w:sz w:val="20"/>
          <w:szCs w:val="20"/>
          <w:color w:val="auto"/>
        </w:rPr>
      </w:pPr>
    </w:p>
    <w:p>
      <w:pPr>
        <w:spacing w:after="0" w:line="3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37" w:name="page38"/>
    <w:bookmarkEnd w:id="37"/>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47"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Proposed Merger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18, 2026, we entered into the Merger Agreement with WD Capital Partners Parent Inc. and WD Capital Partners Merger Sub Inc., entities indirectly controlled by Thomas C. Priore, our Chairman and Chief Executive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Officer, and certain of his affiliates, pursuant to which we would become a wholly owned subsidiary of Parent and holders of our common stock (other than holders of excluded shares, including the Rollover Shares) would receive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$8.05 per share in cash, without interest and less any applicable withholding taxes. Completion of the Merger is subject to conditions, including approval by a majority of our outstanding shares and by a majority of the votes cast by our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unaffiliated stockholders. We currently anticipate completing the Merger in the first half of 2027, but there can be no assurance that it will be completed within that timeframe or at all. See Note 16, "Related Parties Transactions," to our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 Consolidated Financial Statements and Part II, Item 1A, "Risk Factors."</w:t>
      </w:r>
    </w:p>
    <w:p>
      <w:pPr>
        <w:spacing w:after="0" w:line="229"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Terms Used in this Quarterly Report on Form 10-Q</w:t>
      </w:r>
    </w:p>
    <w:p>
      <w:pPr>
        <w:spacing w:after="0" w:line="154"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As used in this Quarterly Report on Form 10-Q, unless the context otherwise requires, references to the terms "Company," "Priority Commerce," "we," "us" and "our" refer to Priority Technology Holdings, Inc. and its consolidated subsidiaries.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This section includes certain components of our results of operations for the three and nine months ended September 30, 2026, compared to the three and nine months ended September 30, 2025. We have derived this data, except the key indicators, from our Unaudited Consolidated Financial Statements included elsewhere in this Quarterly Report on Form 10-Q and our Audited Consolidated Financial Statements included in our Annual Report on Form 10-K for the year ended December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2"/>
          <w:szCs w:val="12"/>
          <w:color w:val="auto"/>
        </w:rPr>
        <w:t>For the three months ended September 30, 2026, our consolidated revenue of $268.6 million increased by $27.2 million, or 11.3%, from $241.4 million for the three months ended September 30, 2025. This overall increase was mainly driven by acquisition related activity and an increase in total card processing dollar value which was partially offset by a decrease in total card transaction count in our Merchant Solutions segment, increases in buyer funded card processing dollar value, and supplier funded issuing dollar value which was partially offset by lower ACH transactions count in our Payables Segment, and, an increase in average billed clients and average total account balances, and higher interest income which is partially offset by lower new enrollments in our Treasury Solutions segment.</w:t>
      </w:r>
    </w:p>
    <w:p>
      <w:pPr>
        <w:spacing w:after="0" w:line="13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For the nine months ended September 30, 2026, our consolidated revenue of $780.4 million increased by $74.6 million, or 10.6%, from $705.9 million for the nine months ended September 30, 2025. This overall increase was mainly driven by acquisition related activity and an increase in total card processing dollar value which was partially offset by a decrease in total card transaction count in our Merchant Solutions segment, increases in buyer funded card processing dollar value, supplier funded issuing dollar value and ACH transactions count in our Payables Segment, and, an increase in average billed clients and</w:t>
      </w: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color w:val="auto"/>
        </w:rPr>
        <w:t>average total account balances, and higher interest income which is partially offset by lower new enrollments in our Treasury Solutions segment.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our revenues by type: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40" w:type="dxa"/>
            <w:vAlign w:val="bottom"/>
            <w:tcBorders>
              <w:bottom w:val="single" w:sz="8" w:color="auto"/>
            </w:tcBorders>
          </w:tcPr>
          <w:p>
            <w:pPr>
              <w:spacing w:after="0"/>
              <w:rPr>
                <w:sz w:val="13"/>
                <w:szCs w:val="13"/>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Revenue Type:</w:t>
            </w: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3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Merchant card fees</w:t>
            </w:r>
          </w:p>
        </w:tc>
        <w:tc>
          <w:tcPr>
            <w:tcW w:w="740" w:type="dxa"/>
            <w:vAlign w:val="bottom"/>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7"/>
              </w:rPr>
              <w:t>204,291</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178,518</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25,773</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589,317</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526,080</w:t>
            </w:r>
          </w:p>
        </w:tc>
        <w:tc>
          <w:tcPr>
            <w:tcW w:w="6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63,237</w:t>
            </w:r>
          </w:p>
        </w:tc>
      </w:tr>
      <w:tr>
        <w:trPr>
          <w:trHeight w:val="1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Money transmission services</w:t>
            </w:r>
          </w:p>
        </w:tc>
        <w:tc>
          <w:tcPr>
            <w:tcW w:w="74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42,283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40,991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1,292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126,020</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117,713</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8,307</w:t>
            </w:r>
          </w:p>
        </w:tc>
      </w:tr>
      <w:tr>
        <w:trPr>
          <w:trHeight w:val="153"/>
        </w:trPr>
        <w:tc>
          <w:tcPr>
            <w:tcW w:w="3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Outsourced and other services</w:t>
            </w:r>
          </w:p>
        </w:tc>
        <w:tc>
          <w:tcPr>
            <w:tcW w:w="740" w:type="dxa"/>
            <w:vAlign w:val="bottom"/>
          </w:tcPr>
          <w:p>
            <w:pPr>
              <w:spacing w:after="0"/>
              <w:rPr>
                <w:sz w:val="13"/>
                <w:szCs w:val="13"/>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20,132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18,288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58,813</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52,143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6,670</w:t>
            </w:r>
          </w:p>
        </w:tc>
      </w:tr>
      <w:tr>
        <w:trPr>
          <w:trHeight w:val="1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Equipment</w:t>
            </w:r>
          </w:p>
        </w:tc>
        <w:tc>
          <w:tcPr>
            <w:tcW w:w="7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1,917</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3,642</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(1,725)</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6,287</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9,945</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(3,658)</w:t>
            </w:r>
          </w:p>
        </w:tc>
      </w:tr>
      <w:tr>
        <w:trPr>
          <w:trHeight w:val="142"/>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revenues</w:t>
            </w:r>
          </w:p>
        </w:tc>
        <w:tc>
          <w:tcPr>
            <w:tcW w:w="74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7"/>
              </w:rPr>
              <w:t>268,623</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241,439</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27,184</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780,437</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705,881</w:t>
            </w:r>
          </w:p>
        </w:tc>
        <w:tc>
          <w:tcPr>
            <w:tcW w:w="6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74,556</w:t>
            </w:r>
          </w:p>
        </w:tc>
      </w:tr>
      <w:tr>
        <w:trPr>
          <w:trHeight w:val="20"/>
        </w:trPr>
        <w:tc>
          <w:tcPr>
            <w:tcW w:w="3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Merchant card fees</w:t>
      </w:r>
    </w:p>
    <w:p>
      <w:pPr>
        <w:spacing w:after="0" w:line="15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three months ended September 30, 2026, was $204.3 million an increase of $25.8 million or 14.4%, from $178.5 million for the three months ended September 30, 2025. The increase was primarily driven by an increase in merchant card fee rate and total card processing dollar value and acquisition related activity which was partially offset by a decrease in total card transaction count.</w:t>
      </w:r>
    </w:p>
    <w:p>
      <w:pPr>
        <w:spacing w:after="0" w:line="111"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Merchant card fees revenue for the nine months ended September 30, 2026, was $589.3 million an increase of $63.2 million or 12.0%, from $526.1 million for the nine months ended September 30, 2025. The increase was primarily driven by acquisition related activity, an increase in merchant card fee rate and total card processing dollar value which was partially offset by a decrease in total card transaction count.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Money transmission services</w:t>
      </w:r>
    </w:p>
    <w:p>
      <w:pPr>
        <w:spacing w:after="0" w:line="150"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three months ended September 30, 2026, was $42.3 million, an increase of $1.3 million, or 3.2%, from $41.0 million for the three months ended September 30, 2025. This increase was primarily driven by an increase in average billed clients which was partially offset by lower new customer enrollments.</w:t>
      </w:r>
    </w:p>
    <w:p>
      <w:pPr>
        <w:spacing w:after="0" w:line="111"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Money transmission services for the nine months ended September 30, 2026, was $126.0 million, an increase of $8.3 million, or 7.1%, from $117.7 million for the nine months ended September 30, 2025. This increase was primarily driven by an increase in average billed clients which was partially offset by lower new customer enrollments.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Outsourced and other services revenue</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Outsourced and other services revenue of $20.1 million for the three months ended September 30, 2026, increased by $1.8 million, or 10.1%, from $18.3 million for the three months ended September 30, 2025, primarily due to growth in interest income from higher balances of permissible investments driven by higher account balances.</w:t>
      </w:r>
    </w:p>
    <w:p>
      <w:pPr>
        <w:spacing w:after="0" w:line="11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Outsourced and other services revenue of $58.8 million for the nine months ended September 30, 2026, increased by $6.7 million, or 12.8%, from $52.1 million for the nine months ended September 30, 2025, primarily due to growth in interest income from higher balances of permissible investments driven by higher account balances.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Equipment</w:t>
      </w:r>
    </w:p>
    <w:p>
      <w:pPr>
        <w:spacing w:after="0" w:line="150"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Equipment revenue of $1.9 million for the three months ended September 30, 2026, decreased by $1.7 million, or 47.4% from $3.6 million for the three months ended September 30, 2025. The decrease was primarily due to lower point-of-sale equipment sales caused by a decrease in demand from merchants.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39" w:name="page40"/>
    <w:bookmarkEnd w:id="39"/>
    <w:p>
      <w:pPr>
        <w:ind w:right="60"/>
        <w:spacing w:after="0" w:line="279" w:lineRule="auto"/>
        <w:rPr>
          <w:sz w:val="20"/>
          <w:szCs w:val="20"/>
          <w:color w:val="auto"/>
        </w:rPr>
      </w:pPr>
      <w:r>
        <w:rPr>
          <w:rFonts w:ascii="Times New Roman" w:cs="Times New Roman" w:eastAsia="Times New Roman" w:hAnsi="Times New Roman"/>
          <w:sz w:val="12"/>
          <w:szCs w:val="12"/>
          <w:color w:val="auto"/>
        </w:rPr>
        <w:t>Equipment revenue of $6.3 million for the nine months ended September 30, 2026, decreased by $3.7 million, or 36.8% from $9.9 million for the nine months ended September 30, 2025. The decrease was primarily due to lower point-of-sale equipment sales caused by a decrease in demand from merchants.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 were as follows:</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315"/>
        </w:trPr>
        <w:tc>
          <w:tcPr>
            <w:tcW w:w="3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80" w:type="dxa"/>
            <w:vAlign w:val="bottom"/>
            <w:tcBorders>
              <w:bottom w:val="single" w:sz="8" w:color="auto"/>
            </w:tcBorders>
          </w:tcPr>
          <w:p>
            <w:pPr>
              <w:spacing w:after="0"/>
              <w:rPr>
                <w:sz w:val="24"/>
                <w:szCs w:val="2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w w:val="99"/>
              </w:rPr>
              <w:t>$ Change</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3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revenue (excludes depreciation and amortization)</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165,908</w:t>
            </w:r>
          </w:p>
        </w:tc>
        <w:tc>
          <w:tcPr>
            <w:tcW w:w="1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146,681</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19,227</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479,053</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431,433</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47,620</w:t>
            </w:r>
          </w:p>
        </w:tc>
      </w:tr>
      <w:tr>
        <w:trPr>
          <w:trHeight w:val="1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Salary and employee benefits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28,950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26,140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2,810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86,625</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78,975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7,650</w:t>
            </w:r>
          </w:p>
        </w:tc>
      </w:tr>
      <w:tr>
        <w:trPr>
          <w:trHeight w:val="153"/>
        </w:trPr>
        <w:tc>
          <w:tcPr>
            <w:tcW w:w="3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15,122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3,109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56,739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42,992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13,747</w:t>
            </w:r>
          </w:p>
        </w:tc>
      </w:tr>
      <w:tr>
        <w:trPr>
          <w:trHeight w:val="153"/>
        </w:trPr>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19,647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15,724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3,923</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55,699</w:t>
            </w:r>
          </w:p>
        </w:tc>
        <w:tc>
          <w:tcPr>
            <w:tcW w:w="6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44,734</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10,965</w:t>
            </w:r>
          </w:p>
        </w:tc>
      </w:tr>
      <w:tr>
        <w:trPr>
          <w:trHeight w:val="142"/>
        </w:trPr>
        <w:tc>
          <w:tcPr>
            <w:tcW w:w="3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232,736</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203,667</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29,069</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678,116</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598,134</w:t>
            </w:r>
          </w:p>
        </w:tc>
        <w:tc>
          <w:tcPr>
            <w:tcW w:w="8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79,982</w:t>
            </w:r>
          </w:p>
        </w:tc>
      </w:tr>
      <w:tr>
        <w:trPr>
          <w:trHeight w:val="20"/>
        </w:trPr>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Cost of revenue (excludes depreciation and amortization)</w:t>
      </w:r>
    </w:p>
    <w:p>
      <w:pPr>
        <w:spacing w:after="0" w:line="15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$165.9 million for the three months ended September 30, 2026, increased by $19.2 million, or 13.1%, from $146.7 million for the three months ended September 30, 2025, primarily due to the corresponding increase in revenues.</w:t>
      </w:r>
    </w:p>
    <w:p>
      <w:pPr>
        <w:spacing w:after="0" w:line="111"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Cost of revenue (excludes depreciation and amortization) of $479.1 million for the nine months ended September 30, 2026, increased by $47.6 million, or 11.0%, from $431.4 million for the nine months ended September 30, 2025, primarily due to the corresponding increase in revenues.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Salary and employee benefits</w:t>
      </w:r>
    </w:p>
    <w:p>
      <w:pPr>
        <w:spacing w:after="0" w:line="150"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$29.0 million for the three months ended September 30, 2026, increased by $2.8 million, or 10.7%, from $26.1 million for the three months ended September 30, 2025, primarily due to merit increases, and increased headcount to support overall growth of the Company and from the acquisition related activity.</w:t>
      </w:r>
    </w:p>
    <w:p>
      <w:pPr>
        <w:spacing w:after="0" w:line="111"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Salary and employee benefits expense of $86.6 million for the nine months ended September 30, 2026, increased by $7.7 million, or 9.7%, from $79.0 million for the nine months ended September 30, 2025, primarily due to merit increases, and increased headcount to support overall growth of the Company and from the acquisition related activity.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Depreciation and amortization expense</w:t>
      </w:r>
    </w:p>
    <w:p>
      <w:pPr>
        <w:spacing w:after="0" w:line="150"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$18.2 million for the three months ended September 30, 2026, increased by $3.1 million, or 20.6%, from $15.1 million for the three months ended September 30, 2025, primarily due to the addition of intangible assets from the acquisition related activity and software capitalization.</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of $56.7 million for the nine months ended September 30, 2026, increased by $13.7 million, or 32.0%, from $43.0 million for the nine months ended September 30, 2025, primarily due to the addition of intangible assets from the acquisition related activity and software capitalization.</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auto"/>
        </w:rPr>
        <w:t>Selling, general and administrative</w:t>
      </w:r>
    </w:p>
    <w:p>
      <w:pPr>
        <w:spacing w:after="0" w:line="1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$19.6 million for the three months ended September 30, 2026, increased by $3.9 million, or 24.9%, from $15.7 million for the three months ended September 30, 2025, primarily due to an increase in professional and legal fees related to the Merger and the acquisition related activity, and increased marketing, telecommunications and software expenses to support overall growth and cloud migration, which was partially offset by decreased accounting expenses.</w:t>
      </w:r>
    </w:p>
    <w:p>
      <w:pPr>
        <w:spacing w:after="0" w:line="11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2"/>
          <w:szCs w:val="12"/>
          <w:color w:val="auto"/>
        </w:rPr>
        <w:t>Selling, general and administrative expenses of $55.7 million for the nine months ended September 30, 2026, increased by $11.0 million, or 24.5%, from $44.7 million for the nine months ended September 30, 2025, primarily due to an increase in professional and legal fees related to the Merger and the acquisition related activity, increased marketing, telecommunications and software expenses to support overall growth and cloud migration, which was partially offset by decreased accounting expenses.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Expense, net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88"/>
        </w:trPr>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5"/>
        </w:trPr>
        <w:tc>
          <w:tcPr>
            <w:tcW w:w="41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40" w:type="dxa"/>
            <w:vAlign w:val="bottom"/>
            <w:tcBorders>
              <w:bottom w:val="single" w:sz="8" w:color="auto"/>
            </w:tcBorders>
          </w:tcPr>
          <w:p>
            <w:pPr>
              <w:spacing w:after="0"/>
              <w:rPr>
                <w:sz w:val="24"/>
                <w:szCs w:val="2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33"/>
        </w:trPr>
        <w:tc>
          <w:tcPr>
            <w:tcW w:w="4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53"/>
        </w:trPr>
        <w:tc>
          <w:tcPr>
            <w:tcW w:w="41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(21,190)</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(22,463)</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1,273</w:t>
            </w:r>
          </w:p>
        </w:tc>
        <w:tc>
          <w:tcPr>
            <w:tcW w:w="6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(63,257)</w:t>
            </w:r>
          </w:p>
        </w:tc>
        <w:tc>
          <w:tcPr>
            <w:tcW w:w="6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(68,693)</w:t>
            </w:r>
          </w:p>
        </w:tc>
        <w:tc>
          <w:tcPr>
            <w:tcW w:w="6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5,436</w:t>
            </w:r>
          </w:p>
        </w:tc>
      </w:tr>
      <w:tr>
        <w:trPr>
          <w:trHeight w:val="153"/>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Debt extinguishment and modification costs</w:t>
            </w: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12,476</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(12,514)</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12,514</w:t>
            </w:r>
          </w:p>
        </w:tc>
      </w:tr>
      <w:tr>
        <w:trPr>
          <w:trHeight w:val="153"/>
        </w:trPr>
        <w:tc>
          <w:tcPr>
            <w:tcW w:w="4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1,897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4,554</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(2,657)</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4,573</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6,667</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(2,094)</w:t>
            </w:r>
          </w:p>
        </w:tc>
      </w:tr>
      <w:tr>
        <w:trPr>
          <w:trHeight w:val="158"/>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other expense, net</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(19,293)</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(30,385)</w:t>
            </w: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11,092</w:t>
            </w:r>
          </w:p>
        </w:tc>
        <w:tc>
          <w:tcPr>
            <w:tcW w:w="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(58,684)</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(74,540)</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15,856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Interest expense</w:t>
      </w:r>
    </w:p>
    <w:p>
      <w:pPr>
        <w:spacing w:after="0" w:line="15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Interest expense of $21.2 million for the three months ended September 30, 2026, decreased by $1.3 million, or 5.7%, from $22.5 million for the three months ended September 30, 2025, due to beneficial changes in margin from the recent refinancing which was partially offset by increased outstanding balances of the 2024 Credit Agreement and the Residual Finance Credit Facility established during the quarter ended September 30, 2025.</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Interest expense of $63.3 million for the nine months ended September 30, 2026, decreased by $5.4 million, or 7.9%, from $68.7 million for the nine months ended September 30, 2025, due to beneficial changes in margin from the recent refinancing which was partially offset by increased outstanding balances of the 2024 Credit Agreement and the Residual Finance Credit Facility established during the quarter ended September 30,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expense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88"/>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was as follows:</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15"/>
        </w:trPr>
        <w:tc>
          <w:tcPr>
            <w:tcW w:w="384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80" w:type="dxa"/>
            <w:vAlign w:val="bottom"/>
            <w:tcBorders>
              <w:bottom w:val="single" w:sz="8" w:color="auto"/>
            </w:tcBorders>
          </w:tcPr>
          <w:p>
            <w:pPr>
              <w:spacing w:after="0"/>
              <w:rPr>
                <w:sz w:val="24"/>
                <w:szCs w:val="24"/>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Change</w:t>
            </w:r>
          </w:p>
        </w:tc>
      </w:tr>
      <w:tr>
        <w:trPr>
          <w:trHeight w:val="142"/>
        </w:trPr>
        <w:tc>
          <w:tcPr>
            <w:tcW w:w="38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Income before income taxes</w:t>
            </w:r>
          </w:p>
        </w:tc>
        <w:tc>
          <w:tcPr>
            <w:tcW w:w="72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0"/>
              </w:rPr>
              <w:t>16,594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7,387</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9,207</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43,637</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33,207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10,430</w:t>
            </w:r>
          </w:p>
        </w:tc>
      </w:tr>
      <w:tr>
        <w:trPr>
          <w:trHeight w:val="153"/>
        </w:trPr>
        <w:tc>
          <w:tcPr>
            <w:tcW w:w="38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720" w:type="dxa"/>
            <w:vAlign w:val="bottom"/>
          </w:tcPr>
          <w:p>
            <w:pPr>
              <w:jc w:val="right"/>
              <w:ind w:right="6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4,371</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(20,201)</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24,572</w:t>
            </w:r>
          </w:p>
        </w:tc>
        <w:tc>
          <w:tcPr>
            <w:tcW w:w="60" w:type="dxa"/>
            <w:vAlign w:val="bottom"/>
          </w:tcPr>
          <w:p>
            <w:pPr>
              <w:spacing w:after="0"/>
              <w:rPr>
                <w:sz w:val="13"/>
                <w:szCs w:val="13"/>
                <w:color w:val="auto"/>
              </w:rPr>
            </w:pPr>
          </w:p>
        </w:tc>
        <w:tc>
          <w:tcPr>
            <w:tcW w:w="800" w:type="dxa"/>
            <w:vAlign w:val="bottom"/>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11,791</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(13,528)</w:t>
            </w:r>
          </w:p>
        </w:tc>
        <w:tc>
          <w:tcPr>
            <w:tcW w:w="80" w:type="dxa"/>
            <w:vAlign w:val="bottom"/>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25,319</w:t>
            </w:r>
          </w:p>
        </w:tc>
      </w:tr>
      <w:tr>
        <w:trPr>
          <w:trHeight w:val="15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Effective tax rate</w:t>
            </w: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27.0 %</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bl>
    <w:p>
      <w:pPr>
        <w:spacing w:after="0" w:line="18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We compute our interim period income tax expense by using a forecasted EAETR and adjust for any discrete items arising during the interim period and any changes in our projected full-year business interest expense and taxable income. The EAETR for 2026 is 27.2% and includes the income tax provision on pre-tax income. The effective tax rate for 2026 changed primarily due to a prior year decrease in the valuation allowance against certain business interest carry over deferred tax assets.</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1" w:name="page42"/>
    <w:bookmarkEnd w:id="41"/>
    <w:p>
      <w:pPr>
        <w:ind w:right="220"/>
        <w:spacing w:after="0" w:line="279" w:lineRule="auto"/>
        <w:rPr>
          <w:sz w:val="20"/>
          <w:szCs w:val="20"/>
          <w:color w:val="auto"/>
        </w:rPr>
      </w:pPr>
      <w:r>
        <w:rPr>
          <w:rFonts w:ascii="Times New Roman" w:cs="Times New Roman" w:eastAsia="Times New Roman" w:hAnsi="Times New Roman"/>
          <w:sz w:val="12"/>
          <w:szCs w:val="12"/>
          <w:color w:val="auto"/>
        </w:rPr>
        <w:t>Our consolidated effective income tax rates differ from the statutory rate due to timing and permanent differences between amounts calculated under GAAP and the U.S. tax code. The consolidated effective income tax rate for 2026 may not be indicative of our effective tax rate for future periods.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Results</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 CODM's review of segment performance and allocation of resources are based on Adjusted EBITDA (a non-GAAP financial measure). Adjusted EBITDA at each segment level includes revenues of the segment, less costs of revenue (excluding depreciation and amortization) and operating expenses that are directly related to those revenues. Operating overhead and shared costs are managed centrally and included in corporate segment.</w:t>
      </w:r>
    </w:p>
    <w:p>
      <w:pPr>
        <w:spacing w:after="0" w:line="3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This non-GAAP financial measure helps to illustrate the underlying financial and business trends relating to results of operations of the Company and therefore used as a measure of segment profit or loss for the purposes of evaluation of segment performance and allocation of resources.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Merchant Solutions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30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30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300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179,645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161,874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17,771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517,209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476,794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40,415</w:t>
            </w: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32,627</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4,900</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91,254</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10,073</w:t>
            </w:r>
          </w:p>
        </w:tc>
      </w:tr>
      <w:tr>
        <w:trPr>
          <w:trHeight w:val="15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30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card processing dollar value</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19,265,134</w:t>
            </w:r>
          </w:p>
        </w:tc>
        <w:tc>
          <w:tcPr>
            <w:tcW w:w="10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18,457,881</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807,253</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57,151,775</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55,018,391</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2,133,384</w:t>
            </w:r>
          </w:p>
        </w:tc>
      </w:tr>
      <w:tr>
        <w:trPr>
          <w:trHeight w:val="153"/>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card transaction count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223,077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230,203</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(7,126)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663,117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669,878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(6,761)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Revenue from our Merchant Solutions segment was $179.6 million for the three months ended September 30, 2026, compared to $161.9 million for the three months ended September 30, 2025. The increase of $17.8 million, or 11.0%, was primarily driven by acquisition related activity, an increase in merchant card fee rate and total card processing dollar value which was partially offset by a decrease in total card transaction count. The Company's merchant card fee revenue from the Merchant Solutions segment ($176.2 million for three months ended September 30, 2026 and $157.2 million for the three months ended September 30, 2025) as a percentage of total card processing dollar value during the three months ended September 30, 2026 increased to 0.91% from 0.85% as compared to the three months ended September 30, 2025.</w:t>
      </w:r>
    </w:p>
    <w:p>
      <w:pPr>
        <w:spacing w:after="0" w:line="12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Revenue from our Merchant Solutions segment was $517.2 million for the nine months ended September 30, 2026, compared to $476.8 million for the nine months ended September 30, 2025. The increase of $40.4 million, or 8.5%, was primarily driven by acquisition related activity, an increase in merchant card fee rate and total card processing dollar value which was partially offset by a decrease in total card transaction count. The Company's merchant card fee revenue from the Merchant Solutions segment ($506.6 million for nine months ended September 30, 2026 and $463.5 million for the nine months ended September 30, 2025) as a percentage of total card processing dollar value during the nine months ended September 30, 2026 increased to 0.89% from 0.84% as compared to the nine months ended September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4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Adjusted EBITDA from our Merchant Solutions segment was $32.6 million for the three months ended September 30, 2026, compared to $27.7 million for the three months ended September 30, 2025. The increase of $4.9 million, or 17.7% was primarily driven by an increase in revenue and acquisition related activity, which was partially offset by mix related margin compression, and increase in other operating expenses.</w:t>
      </w:r>
    </w:p>
    <w:p>
      <w:pPr>
        <w:spacing w:after="0" w:line="110"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Adjusted EBITDA from our Merchant Solutions segment was $91.3 million for the nine months ended September 30, 2026, compared to $81.2 million for the nine months ended September 30, 2025. The increase of $10.1 million, or 12.4% was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color w:val="auto"/>
        </w:rPr>
        <w:t>primarily driven by an increase in revenue and acquisition related activity, which was partially offset by mix related margin compression, and increase in other operating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Payables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5"/>
        </w:trPr>
        <w:tc>
          <w:tcPr>
            <w:tcW w:w="29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7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20" w:type="dxa"/>
            <w:vAlign w:val="bottom"/>
            <w:tcBorders>
              <w:bottom w:val="single" w:sz="8" w:color="auto"/>
            </w:tcBorders>
          </w:tcPr>
          <w:p>
            <w:pPr>
              <w:spacing w:after="0"/>
              <w:rPr>
                <w:sz w:val="24"/>
                <w:szCs w:val="24"/>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31,626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25,162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6,464</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94,497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74,113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20,384</w:t>
            </w:r>
          </w:p>
        </w:tc>
      </w:tr>
      <w:tr>
        <w:trPr>
          <w:trHeight w:val="153"/>
        </w:trPr>
        <w:tc>
          <w:tcPr>
            <w:tcW w:w="2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100" w:type="dxa"/>
            <w:vAlign w:val="bottom"/>
          </w:tcPr>
          <w:p>
            <w:pPr>
              <w:spacing w:after="0"/>
              <w:rPr>
                <w:sz w:val="13"/>
                <w:szCs w:val="13"/>
                <w:color w:val="auto"/>
              </w:rPr>
            </w:pP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470</w:t>
            </w:r>
          </w:p>
        </w:tc>
        <w:tc>
          <w:tcPr>
            <w:tcW w:w="8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12,489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1,748</w:t>
            </w:r>
          </w:p>
        </w:tc>
      </w:tr>
      <w:tr>
        <w:trPr>
          <w:trHeight w:val="171"/>
        </w:trPr>
        <w:tc>
          <w:tcPr>
            <w:tcW w:w="29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53"/>
        </w:trPr>
        <w:tc>
          <w:tcPr>
            <w:tcW w:w="2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Buyer funded card processing dollar value</w:t>
            </w:r>
          </w:p>
        </w:tc>
        <w:tc>
          <w:tcPr>
            <w:tcW w:w="78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1,134,730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789,700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345,030</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3,050,300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2,295,100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755,200</w:t>
            </w:r>
          </w:p>
        </w:tc>
      </w:tr>
      <w:tr>
        <w:trPr>
          <w:trHeight w:val="153"/>
        </w:trPr>
        <w:tc>
          <w:tcPr>
            <w:tcW w:w="29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Supplier funded issuing dollar value</w:t>
            </w:r>
          </w:p>
        </w:tc>
        <w:tc>
          <w:tcPr>
            <w:tcW w:w="780" w:type="dxa"/>
            <w:vAlign w:val="bottom"/>
          </w:tcPr>
          <w:p>
            <w:pPr>
              <w:jc w:val="right"/>
              <w:ind w:right="66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295,771</w:t>
            </w:r>
          </w:p>
        </w:tc>
        <w:tc>
          <w:tcPr>
            <w:tcW w:w="80" w:type="dxa"/>
            <w:vAlign w:val="bottom"/>
          </w:tcPr>
          <w:p>
            <w:pPr>
              <w:spacing w:after="0"/>
              <w:rPr>
                <w:sz w:val="13"/>
                <w:szCs w:val="13"/>
                <w:color w:val="auto"/>
              </w:rPr>
            </w:pPr>
          </w:p>
        </w:tc>
        <w:tc>
          <w:tcPr>
            <w:tcW w:w="840" w:type="dxa"/>
            <w:vAlign w:val="bottom"/>
          </w:tcPr>
          <w:p>
            <w:pPr>
              <w:jc w:val="right"/>
              <w:ind w:right="700"/>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230,882</w:t>
            </w:r>
          </w:p>
        </w:tc>
        <w:tc>
          <w:tcPr>
            <w:tcW w:w="100" w:type="dxa"/>
            <w:vAlign w:val="bottom"/>
          </w:tcPr>
          <w:p>
            <w:pPr>
              <w:spacing w:after="0"/>
              <w:rPr>
                <w:sz w:val="13"/>
                <w:szCs w:val="13"/>
                <w:color w:val="auto"/>
              </w:rPr>
            </w:pPr>
          </w:p>
        </w:tc>
        <w:tc>
          <w:tcPr>
            <w:tcW w:w="880" w:type="dxa"/>
            <w:vAlign w:val="bottom"/>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64,889</w:t>
            </w:r>
          </w:p>
        </w:tc>
        <w:tc>
          <w:tcPr>
            <w:tcW w:w="80" w:type="dxa"/>
            <w:vAlign w:val="bottom"/>
          </w:tcPr>
          <w:p>
            <w:pPr>
              <w:spacing w:after="0"/>
              <w:rPr>
                <w:sz w:val="13"/>
                <w:szCs w:val="13"/>
                <w:color w:val="auto"/>
              </w:rPr>
            </w:pP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793,572</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688,399</w:t>
            </w:r>
          </w:p>
        </w:tc>
        <w:tc>
          <w:tcPr>
            <w:tcW w:w="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105,173</w:t>
            </w:r>
          </w:p>
        </w:tc>
      </w:tr>
      <w:tr>
        <w:trPr>
          <w:trHeight w:val="153"/>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ACH transaction count</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4,860</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14,481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14,277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50"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11"/>
          <w:szCs w:val="11"/>
          <w:color w:val="auto"/>
        </w:rPr>
        <w:t>Revenue from our Payables segment was $31.6 million for the three months ended September 30, 2026, compared to $25.2 million for the three months ended September 30, 2025. The increase of $6.5 million, or 25.7% was primarily driven by increased buyer funded card processing dollar value, supplier funded issuing dollar value, and interest from higher account balances which was partially offset by a decrease in ACH transaction count and incentive income.</w:t>
      </w:r>
    </w:p>
    <w:p>
      <w:pPr>
        <w:spacing w:after="0" w:line="8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Revenue from our Payables segment was $94.5 million for the nine months ended September 30, 2026, compared to $74.1 million for the nine months ended September 30, 2025. The increase of $20.4 million, or 27.5% was primarily driven by increased buyer funded card processing dollar value, certain incentive income, supplier funded issuing dollar value, ACH transaction count, and interest from higher account balances.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2"/>
          <w:szCs w:val="12"/>
          <w:color w:val="auto"/>
        </w:rPr>
        <w:t>Adjusted EBITDA from our Payables segment was $3.9 million for the three months ended September 30, 2026, compared to $3.5 million for the three months ended September 30, 2025. The increase in Adjusted EBITDA of $0.5 million or 13.6% was contributed by $0.7 million in the buyer funded business, driven by increased processing volume partially offset by mix related margin compression. The increase in Adjusted EBITDA was partially offset by a $0.2 million decrease in the supplier funded business, driven by the decrease in incentive income.</w:t>
      </w:r>
    </w:p>
    <w:p>
      <w:pPr>
        <w:spacing w:after="0" w:line="119"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Adjusted EBITDA from our Payables segment was $12.5 million for the nine months ended September 30, 2026, compared to $10.7 million for the nine months ended September 30, 2025. The increase in Adjusted EBITDA of $1.7 million or 16.3% was contributed by $2.0 million in the supplier funded business, driven by increase in revenues including incentive income, which was partially offset by a decrease of $0.3 million in the buyer funded business, driven by mix related margin compression.</w:t>
      </w:r>
    </w:p>
    <w:p>
      <w:pPr>
        <w:spacing w:after="0" w:line="200" w:lineRule="exact"/>
        <w:rPr>
          <w:sz w:val="20"/>
          <w:szCs w:val="20"/>
          <w:color w:val="auto"/>
        </w:rPr>
      </w:pP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59"/>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Treasury Solutions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15"/>
        </w:trPr>
        <w:tc>
          <w:tcPr>
            <w:tcW w:w="298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0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242424"/>
              </w:rPr>
              <w:t>2026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242424"/>
              </w:rPr>
              <w:t>2025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Change</w:t>
            </w:r>
          </w:p>
        </w:tc>
      </w:tr>
      <w:tr>
        <w:trPr>
          <w:trHeight w:val="142"/>
        </w:trPr>
        <w:tc>
          <w:tcPr>
            <w:tcW w:w="298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Revenues</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60,267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55,684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4,583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179,626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158,430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21,196</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Adjusted EBITDA</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48,085</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100" w:type="dxa"/>
            <w:vAlign w:val="bottom"/>
          </w:tcPr>
          <w:p>
            <w:pPr>
              <w:spacing w:after="0"/>
              <w:rPr>
                <w:sz w:val="13"/>
                <w:szCs w:val="13"/>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1,409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142,269</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80" w:type="dxa"/>
            <w:vAlign w:val="bottom"/>
          </w:tcPr>
          <w:p>
            <w:pPr>
              <w:spacing w:after="0"/>
              <w:rPr>
                <w:sz w:val="13"/>
                <w:szCs w:val="13"/>
                <w:color w:val="auto"/>
              </w:rPr>
            </w:pP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7,592</w:t>
            </w:r>
          </w:p>
        </w:tc>
      </w:tr>
      <w:tr>
        <w:trPr>
          <w:trHeight w:val="180"/>
        </w:trPr>
        <w:tc>
          <w:tcPr>
            <w:tcW w:w="2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53"/>
        </w:trPr>
        <w:tc>
          <w:tcPr>
            <w:tcW w:w="29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Key Indicators: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Average CFTPay billed clients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1,152,092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1,054,238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97,854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1,141,312</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995,660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145,652</w:t>
            </w:r>
          </w:p>
        </w:tc>
      </w:tr>
      <w:tr>
        <w:trPr>
          <w:trHeight w:val="153"/>
        </w:trPr>
        <w:tc>
          <w:tcPr>
            <w:tcW w:w="29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Average CFTPay monthly enrollments</w:t>
            </w:r>
          </w:p>
        </w:tc>
        <w:tc>
          <w:tcPr>
            <w:tcW w:w="30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51,360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61,185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(9,825)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49,290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58,316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(9,026)</w:t>
            </w:r>
          </w:p>
        </w:tc>
      </w:tr>
      <w:tr>
        <w:trPr>
          <w:trHeight w:val="153"/>
        </w:trPr>
        <w:tc>
          <w:tcPr>
            <w:tcW w:w="2980" w:type="dxa"/>
            <w:vAlign w:val="bottom"/>
            <w:shd w:val="clear" w:color="auto" w:fill="CCEEFF"/>
          </w:tcPr>
          <w:p>
            <w:pPr>
              <w:ind w:left="140"/>
              <w:spacing w:after="0" w:line="153" w:lineRule="exact"/>
              <w:rPr>
                <w:sz w:val="20"/>
                <w:szCs w:val="20"/>
                <w:color w:val="auto"/>
              </w:rPr>
            </w:pPr>
            <w:r>
              <w:rPr>
                <w:rFonts w:ascii="Times New Roman" w:cs="Times New Roman" w:eastAsia="Times New Roman" w:hAnsi="Times New Roman"/>
                <w:sz w:val="12"/>
                <w:szCs w:val="12"/>
                <w:color w:val="auto"/>
              </w:rPr>
              <w:t>Average total account balances</w:t>
            </w:r>
            <w:r>
              <w:rPr>
                <w:rFonts w:ascii="Times New Roman" w:cs="Times New Roman" w:eastAsia="Times New Roman" w:hAnsi="Times New Roman"/>
                <w:sz w:val="15"/>
                <w:szCs w:val="15"/>
                <w:color w:val="auto"/>
                <w:vertAlign w:val="superscript"/>
              </w:rPr>
              <w:t>(1)</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1,542,346</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1,248,432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293,914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1,479,057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1,145,164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333,893</w:t>
            </w:r>
          </w:p>
        </w:tc>
      </w:tr>
    </w:tbl>
    <w:p>
      <w:pPr>
        <w:ind w:left="200"/>
        <w:spacing w:after="0" w:line="199" w:lineRule="auto"/>
        <w:rPr>
          <w:sz w:val="20"/>
          <w:szCs w:val="20"/>
          <w:color w:val="auto"/>
        </w:rPr>
      </w:pPr>
      <w:r>
        <w:rPr>
          <w:rFonts w:ascii="Times New Roman" w:cs="Times New Roman" w:eastAsia="Times New Roman" w:hAnsi="Times New Roman"/>
          <w:sz w:val="8"/>
          <w:szCs w:val="8"/>
          <w:color w:val="auto"/>
        </w:rPr>
        <w:t>(1)</w:t>
      </w:r>
    </w:p>
    <w:p>
      <w:pPr>
        <w:ind w:left="440"/>
        <w:spacing w:after="0"/>
        <w:rPr>
          <w:sz w:val="20"/>
          <w:szCs w:val="20"/>
          <w:color w:val="auto"/>
        </w:rPr>
      </w:pPr>
      <w:r>
        <w:rPr>
          <w:rFonts w:ascii="Times New Roman" w:cs="Times New Roman" w:eastAsia="Times New Roman" w:hAnsi="Times New Roman"/>
          <w:sz w:val="9"/>
          <w:szCs w:val="9"/>
          <w:color w:val="auto"/>
        </w:rPr>
        <w:t>This represents the average total account balance in the Treasury Solutions segment, and excludes the deposits maintained in the Merchant Solutions and Payables segments. The total account and deposit balances as of September 30, 2026 and 2025, were $2.0 billion and $1.6 billion, respectively.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Revenues</w:t>
      </w:r>
    </w:p>
    <w:p>
      <w:pPr>
        <w:spacing w:after="0" w:line="168" w:lineRule="exact"/>
        <w:rPr>
          <w:sz w:val="20"/>
          <w:szCs w:val="20"/>
          <w:color w:val="auto"/>
        </w:rPr>
      </w:pPr>
    </w:p>
    <w:p>
      <w:pPr>
        <w:ind w:right="120"/>
        <w:spacing w:after="0" w:line="327" w:lineRule="auto"/>
        <w:rPr>
          <w:sz w:val="20"/>
          <w:szCs w:val="20"/>
          <w:color w:val="auto"/>
        </w:rPr>
      </w:pPr>
      <w:r>
        <w:rPr>
          <w:rFonts w:ascii="Times New Roman" w:cs="Times New Roman" w:eastAsia="Times New Roman" w:hAnsi="Times New Roman"/>
          <w:sz w:val="11"/>
          <w:szCs w:val="11"/>
          <w:color w:val="auto"/>
        </w:rPr>
        <w:t>Revenue from our Treasury Solutions segment was $60.3 million for the three months ended September 30, 2026, compared to $55.7 million for the three months ended September 30, 2025. The increase of $4.6 million, or 8.2%, was primarily driven by an increase in average billed clients and average total account balances and growth in interest income due to higher balances of permissible investments partially offset by decreased average monthly enrollments.</w:t>
      </w:r>
    </w:p>
    <w:p>
      <w:pPr>
        <w:spacing w:after="0" w:line="8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Revenue from our Treasury Solutions segment was $179.6 million for the nine months ended September 30, 2026, compared to $158.4 million for the nine months ended September 30, 2025. The increase of $21.2 million, or 13.4%, was primarily driven by an increase in average billed clients and average total account balances, acquisition related activity, and growth in interest income due to higher balances of permissible investments partially offset by decreased average monthly enrollments.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15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Adjusted EBITDA from our Treasury Solutions segment was $48.1 million for the three months ended September 30, 2026, compared to $46.7 million for the three months ended September 30, 2025. The increase of $1.4 million, or 3.0%, was primarily driven by increased revenues.</w:t>
      </w:r>
    </w:p>
    <w:p>
      <w:pPr>
        <w:spacing w:after="0" w:line="111"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Adjusted EBITDA from our Treasury Solutions segment was $142.3 million for the nine months ended September 30, 2026, compared to $134.7 million for the nine months ended September 30, 2025. The increase of $7.6 million, or 5.6%, was primarily driven by increased revenues.</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9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12"/>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8"/>
              </w:rPr>
              <w:t>Merchant Solutions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100" w:type="dxa"/>
            <w:vAlign w:val="bottom"/>
            <w:tcBorders>
              <w:left w:val="single" w:sz="8" w:color="CCEEFF"/>
            </w:tcBorders>
          </w:tcPr>
          <w:p>
            <w:pPr>
              <w:spacing w:after="0"/>
              <w:rPr>
                <w:sz w:val="12"/>
                <w:szCs w:val="12"/>
                <w:color w:val="auto"/>
              </w:rPr>
            </w:pPr>
          </w:p>
        </w:tc>
      </w:tr>
      <w:tr>
        <w:trPr>
          <w:trHeight w:val="133"/>
        </w:trPr>
        <w:tc>
          <w:tcPr>
            <w:tcW w:w="40" w:type="dxa"/>
            <w:vAlign w:val="bottom"/>
          </w:tcPr>
          <w:p>
            <w:pPr>
              <w:spacing w:after="0"/>
              <w:rPr>
                <w:sz w:val="11"/>
                <w:szCs w:val="11"/>
                <w:color w:val="auto"/>
              </w:rPr>
            </w:pPr>
          </w:p>
        </w:tc>
        <w:tc>
          <w:tcPr>
            <w:tcW w:w="29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4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32,627</w:t>
            </w: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48,085</w:t>
            </w: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(23,711)</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60,926</w:t>
            </w:r>
          </w:p>
        </w:tc>
        <w:tc>
          <w:tcPr>
            <w:tcW w:w="100" w:type="dxa"/>
            <w:vAlign w:val="bottom"/>
            <w:tcBorders>
              <w:left w:val="single" w:sz="8" w:color="CCEEFF"/>
            </w:tcBorders>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(19,991)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(21,190)</w:t>
            </w:r>
          </w:p>
        </w:tc>
        <w:tc>
          <w:tcPr>
            <w:tcW w:w="10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(10,245)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(1,302)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(18,231)</w:t>
            </w:r>
          </w:p>
        </w:tc>
        <w:tc>
          <w:tcPr>
            <w:tcW w:w="100" w:type="dxa"/>
            <w:vAlign w:val="bottom"/>
            <w:tcBorders>
              <w:left w:val="single" w:sz="8" w:color="CCEEFF"/>
            </w:tcBorders>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(2,905)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(2,905)</w:t>
            </w:r>
          </w:p>
        </w:tc>
        <w:tc>
          <w:tcPr>
            <w:tcW w:w="10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1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w:t>
            </w:r>
          </w:p>
        </w:tc>
        <w:tc>
          <w:tcPr>
            <w:tcW w:w="100" w:type="dxa"/>
            <w:vAlign w:val="bottom"/>
            <w:tcBorders>
              <w:left w:val="single" w:sz="8" w:color="CCEEFF"/>
            </w:tcBorders>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Bargain purchase adjustment (non-recurring)</w:t>
            </w:r>
          </w:p>
        </w:tc>
        <w:tc>
          <w:tcPr>
            <w:tcW w:w="19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(354)</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100" w:type="dxa"/>
            <w:vAlign w:val="bottom"/>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21,183</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2,602</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42,689</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(49,880)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16,594</w:t>
            </w:r>
          </w:p>
        </w:tc>
        <w:tc>
          <w:tcPr>
            <w:tcW w:w="100" w:type="dxa"/>
            <w:vAlign w:val="bottom"/>
            <w:tcBorders>
              <w:left w:val="single" w:sz="8" w:color="CCEEFF"/>
            </w:tcBorders>
          </w:tcPr>
          <w:p>
            <w:pPr>
              <w:spacing w:after="0"/>
              <w:rPr>
                <w:sz w:val="12"/>
                <w:szCs w:val="12"/>
                <w:color w:val="auto"/>
              </w:rPr>
            </w:pPr>
          </w:p>
        </w:tc>
      </w:tr>
      <w:tr>
        <w:trPr>
          <w:trHeight w:val="133"/>
        </w:trPr>
        <w:tc>
          <w:tcPr>
            <w:tcW w:w="40" w:type="dxa"/>
            <w:vAlign w:val="bottom"/>
          </w:tcPr>
          <w:p>
            <w:pPr>
              <w:spacing w:after="0"/>
              <w:rPr>
                <w:sz w:val="11"/>
                <w:szCs w:val="11"/>
                <w:color w:val="auto"/>
              </w:rPr>
            </w:pPr>
          </w:p>
        </w:tc>
        <w:tc>
          <w:tcPr>
            <w:tcW w:w="29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9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(4,371)</w:t>
            </w:r>
          </w:p>
        </w:tc>
        <w:tc>
          <w:tcPr>
            <w:tcW w:w="100" w:type="dxa"/>
            <w:vAlign w:val="bottom"/>
          </w:tcPr>
          <w:p>
            <w:pPr>
              <w:spacing w:after="0"/>
              <w:rPr>
                <w:sz w:val="11"/>
                <w:szCs w:val="11"/>
                <w:color w:val="auto"/>
              </w:rPr>
            </w:pPr>
          </w:p>
        </w:tc>
      </w:tr>
      <w:tr>
        <w:trPr>
          <w:trHeight w:val="162"/>
        </w:trPr>
        <w:tc>
          <w:tcPr>
            <w:tcW w:w="40" w:type="dxa"/>
            <w:vAlign w:val="bottom"/>
          </w:tcPr>
          <w:p>
            <w:pPr>
              <w:spacing w:after="0"/>
              <w:rPr>
                <w:sz w:val="14"/>
                <w:szCs w:val="14"/>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9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12,223</w:t>
            </w:r>
          </w:p>
        </w:tc>
        <w:tc>
          <w:tcPr>
            <w:tcW w:w="100" w:type="dxa"/>
            <w:vAlign w:val="bottom"/>
            <w:tcBorders>
              <w:left w:val="single" w:sz="8" w:color="CCEEFF"/>
            </w:tcBorders>
          </w:tcPr>
          <w:p>
            <w:pPr>
              <w:spacing w:after="0"/>
              <w:rPr>
                <w:sz w:val="14"/>
                <w:szCs w:val="14"/>
                <w:color w:val="auto"/>
              </w:rPr>
            </w:pPr>
          </w:p>
        </w:tc>
      </w:tr>
      <w:tr>
        <w:trPr>
          <w:trHeight w:val="554"/>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19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2"/>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6"/>
              </w:rPr>
              <w:t>Treasury Solutions</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c>
          <w:tcPr>
            <w:tcW w:w="100" w:type="dxa"/>
            <w:vAlign w:val="bottom"/>
          </w:tcPr>
          <w:p>
            <w:pPr>
              <w:spacing w:after="0"/>
              <w:rPr>
                <w:sz w:val="12"/>
                <w:szCs w:val="12"/>
                <w:color w:val="auto"/>
              </w:rPr>
            </w:pPr>
          </w:p>
        </w:tc>
      </w:tr>
      <w:tr>
        <w:trPr>
          <w:trHeight w:val="133"/>
        </w:trPr>
        <w:tc>
          <w:tcPr>
            <w:tcW w:w="29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19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27,727</w:t>
            </w:r>
          </w:p>
        </w:tc>
        <w:tc>
          <w:tcPr>
            <w:tcW w:w="6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3,455</w:t>
            </w:r>
          </w:p>
        </w:tc>
        <w:tc>
          <w:tcPr>
            <w:tcW w:w="6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46,676</w:t>
            </w:r>
          </w:p>
        </w:tc>
        <w:tc>
          <w:tcPr>
            <w:tcW w:w="4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(20,099)</w:t>
            </w: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57,759</w:t>
            </w:r>
          </w:p>
        </w:tc>
        <w:tc>
          <w:tcPr>
            <w:tcW w:w="100" w:type="dxa"/>
            <w:vAlign w:val="bottom"/>
          </w:tcPr>
          <w:p>
            <w:pPr>
              <w:spacing w:after="0"/>
              <w:rPr>
                <w:sz w:val="13"/>
                <w:szCs w:val="13"/>
                <w:color w:val="auto"/>
              </w:rPr>
            </w:pPr>
          </w:p>
        </w:tc>
      </w:tr>
      <w:tr>
        <w:trPr>
          <w:trHeight w:val="153"/>
        </w:trPr>
        <w:tc>
          <w:tcPr>
            <w:tcW w:w="2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(21,602)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(22,463)</w:t>
            </w:r>
          </w:p>
        </w:tc>
        <w:tc>
          <w:tcPr>
            <w:tcW w:w="100" w:type="dxa"/>
            <w:vAlign w:val="bottom"/>
          </w:tcPr>
          <w:p>
            <w:pPr>
              <w:spacing w:after="0"/>
              <w:rPr>
                <w:sz w:val="13"/>
                <w:szCs w:val="13"/>
                <w:color w:val="auto"/>
              </w:rPr>
            </w:pPr>
          </w:p>
        </w:tc>
      </w:tr>
      <w:tr>
        <w:trPr>
          <w:trHeight w:val="15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(15,122)</w:t>
            </w:r>
          </w:p>
        </w:tc>
        <w:tc>
          <w:tcPr>
            <w:tcW w:w="100" w:type="dxa"/>
            <w:vAlign w:val="bottom"/>
          </w:tcPr>
          <w:p>
            <w:pPr>
              <w:spacing w:after="0"/>
              <w:rPr>
                <w:sz w:val="13"/>
                <w:szCs w:val="13"/>
                <w:color w:val="auto"/>
              </w:rPr>
            </w:pPr>
          </w:p>
        </w:tc>
      </w:tr>
      <w:tr>
        <w:trPr>
          <w:trHeight w:val="153"/>
        </w:trPr>
        <w:tc>
          <w:tcPr>
            <w:tcW w:w="2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(12,476)</w:t>
            </w:r>
          </w:p>
        </w:tc>
        <w:tc>
          <w:tcPr>
            <w:tcW w:w="100" w:type="dxa"/>
            <w:vAlign w:val="bottom"/>
          </w:tcPr>
          <w:p>
            <w:pPr>
              <w:spacing w:after="0"/>
              <w:rPr>
                <w:sz w:val="13"/>
                <w:szCs w:val="13"/>
                <w:color w:val="auto"/>
              </w:rPr>
            </w:pPr>
          </w:p>
        </w:tc>
      </w:tr>
      <w:tr>
        <w:trPr>
          <w:trHeight w:val="15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1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(1,491)</w:t>
            </w:r>
          </w:p>
        </w:tc>
        <w:tc>
          <w:tcPr>
            <w:tcW w:w="100" w:type="dxa"/>
            <w:vAlign w:val="bottom"/>
          </w:tcPr>
          <w:p>
            <w:pPr>
              <w:spacing w:after="0"/>
              <w:rPr>
                <w:sz w:val="13"/>
                <w:szCs w:val="13"/>
                <w:color w:val="auto"/>
              </w:rPr>
            </w:pPr>
          </w:p>
        </w:tc>
      </w:tr>
      <w:tr>
        <w:trPr>
          <w:trHeight w:val="153"/>
        </w:trPr>
        <w:tc>
          <w:tcPr>
            <w:tcW w:w="2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1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(2,327)</w:t>
            </w:r>
          </w:p>
        </w:tc>
        <w:tc>
          <w:tcPr>
            <w:tcW w:w="100" w:type="dxa"/>
            <w:vAlign w:val="bottom"/>
          </w:tcPr>
          <w:p>
            <w:pPr>
              <w:spacing w:after="0"/>
              <w:rPr>
                <w:sz w:val="13"/>
                <w:szCs w:val="13"/>
                <w:color w:val="auto"/>
              </w:rPr>
            </w:pPr>
          </w:p>
        </w:tc>
      </w:tr>
      <w:tr>
        <w:trPr>
          <w:trHeight w:val="153"/>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Bargain purchase adjustment (non-recurring)</w:t>
            </w:r>
          </w:p>
        </w:tc>
        <w:tc>
          <w:tcPr>
            <w:tcW w:w="1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100" w:type="dxa"/>
            <w:vAlign w:val="bottom"/>
          </w:tcPr>
          <w:p>
            <w:pPr>
              <w:spacing w:after="0"/>
              <w:rPr>
                <w:sz w:val="13"/>
                <w:szCs w:val="13"/>
                <w:color w:val="auto"/>
              </w:rPr>
            </w:pPr>
          </w:p>
        </w:tc>
      </w:tr>
      <w:tr>
        <w:trPr>
          <w:trHeight w:val="142"/>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1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19,763</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1,686</w:t>
            </w: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41,576</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(55,638)</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7,387</w:t>
            </w:r>
          </w:p>
        </w:tc>
        <w:tc>
          <w:tcPr>
            <w:tcW w:w="100" w:type="dxa"/>
            <w:vAlign w:val="bottom"/>
          </w:tcPr>
          <w:p>
            <w:pPr>
              <w:spacing w:after="0"/>
              <w:rPr>
                <w:sz w:val="12"/>
                <w:szCs w:val="12"/>
                <w:color w:val="auto"/>
              </w:rPr>
            </w:pPr>
          </w:p>
        </w:tc>
      </w:tr>
      <w:tr>
        <w:trPr>
          <w:trHeight w:val="133"/>
        </w:trPr>
        <w:tc>
          <w:tcPr>
            <w:tcW w:w="29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w:t>
            </w:r>
          </w:p>
        </w:tc>
        <w:tc>
          <w:tcPr>
            <w:tcW w:w="1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20,201</w:t>
            </w:r>
          </w:p>
        </w:tc>
        <w:tc>
          <w:tcPr>
            <w:tcW w:w="100" w:type="dxa"/>
            <w:vAlign w:val="bottom"/>
          </w:tcPr>
          <w:p>
            <w:pPr>
              <w:spacing w:after="0"/>
              <w:rPr>
                <w:sz w:val="11"/>
                <w:szCs w:val="11"/>
                <w:color w:val="auto"/>
              </w:rPr>
            </w:pPr>
          </w:p>
        </w:tc>
      </w:tr>
      <w:tr>
        <w:trPr>
          <w:trHeight w:val="158"/>
        </w:trPr>
        <w:tc>
          <w:tcPr>
            <w:tcW w:w="2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9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27,588</w:t>
            </w:r>
          </w:p>
        </w:tc>
        <w:tc>
          <w:tcPr>
            <w:tcW w:w="100" w:type="dxa"/>
            <w:vAlign w:val="bottom"/>
          </w:tcPr>
          <w:p>
            <w:pPr>
              <w:spacing w:after="0"/>
              <w:rPr>
                <w:sz w:val="13"/>
                <w:szCs w:val="13"/>
                <w:color w:val="auto"/>
              </w:rPr>
            </w:pPr>
          </w:p>
        </w:tc>
      </w:tr>
      <w:tr>
        <w:trPr>
          <w:trHeight w:val="162"/>
        </w:trPr>
        <w:tc>
          <w:tcPr>
            <w:tcW w:w="4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810"/>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80" w:type="dxa"/>
            <w:vAlign w:val="bottom"/>
          </w:tcPr>
          <w:p>
            <w:pPr>
              <w:jc w:val="right"/>
              <w:ind w:right="1740"/>
              <w:spacing w:after="0"/>
              <w:rPr>
                <w:sz w:val="20"/>
                <w:szCs w:val="20"/>
                <w:color w:val="auto"/>
              </w:rPr>
            </w:pPr>
            <w:r>
              <w:rPr>
                <w:rFonts w:ascii="Times New Roman" w:cs="Times New Roman" w:eastAsia="Times New Roman" w:hAnsi="Times New Roman"/>
                <w:sz w:val="12"/>
                <w:szCs w:val="12"/>
                <w:color w:val="auto"/>
              </w:rPr>
              <w:t>42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Borders>
              <w:bottom w:val="single" w:sz="8" w:color="9A9A9A"/>
            </w:tcBorders>
          </w:tcPr>
          <w:p>
            <w:pPr>
              <w:spacing w:after="0"/>
              <w:rPr>
                <w:sz w:val="18"/>
                <w:szCs w:val="18"/>
                <w:color w:val="auto"/>
              </w:rPr>
            </w:pPr>
          </w:p>
        </w:tc>
        <w:tc>
          <w:tcPr>
            <w:tcW w:w="2920" w:type="dxa"/>
            <w:vAlign w:val="bottom"/>
            <w:tcBorders>
              <w:bottom w:val="single" w:sz="8" w:color="9A9A9A"/>
            </w:tcBorders>
          </w:tcPr>
          <w:p>
            <w:pPr>
              <w:spacing w:after="0"/>
              <w:rPr>
                <w:sz w:val="18"/>
                <w:szCs w:val="18"/>
                <w:color w:val="auto"/>
              </w:rPr>
            </w:pPr>
          </w:p>
        </w:tc>
        <w:tc>
          <w:tcPr>
            <w:tcW w:w="19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59"/>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91,254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142,269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(67,597)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178,415</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(59,160)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(63,257)</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(33,256)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(15,896)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(56,739)</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(8,405)</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(6,023)</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w:t>
            </w:r>
          </w:p>
        </w:tc>
      </w:tr>
      <w:tr>
        <w:trPr>
          <w:trHeight w:val="142"/>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54,570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8,517</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125,703</w:t>
            </w: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(145,153)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43,637</w:t>
            </w:r>
          </w:p>
        </w:tc>
      </w:tr>
      <w:tr>
        <w:trPr>
          <w:trHeight w:val="133"/>
        </w:trPr>
        <w:tc>
          <w:tcPr>
            <w:tcW w:w="49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8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(11,791)</w:t>
            </w:r>
          </w:p>
        </w:tc>
      </w:tr>
      <w:tr>
        <w:trPr>
          <w:trHeight w:val="162"/>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31,846</w:t>
            </w:r>
          </w:p>
        </w:tc>
      </w:tr>
      <w:tr>
        <w:trPr>
          <w:trHeight w:val="536"/>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4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Merchant Solutions</w:t>
            </w: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Payables</w:t>
            </w: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Treasury Solutions</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Total Consolidated</w:t>
            </w:r>
          </w:p>
        </w:tc>
      </w:tr>
      <w:tr>
        <w:trPr>
          <w:trHeight w:val="133"/>
        </w:trPr>
        <w:tc>
          <w:tcPr>
            <w:tcW w:w="49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Reconciliation of Adjusted EBITDA to GAAP Measure:</w:t>
            </w: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81,181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134,677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(61,496)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165,103</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(65,793)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(68,693)</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(20,865)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(42,992)</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Debt modification and extinguishment expenses</w:t>
            </w:r>
          </w:p>
        </w:tc>
        <w:tc>
          <w:tcPr>
            <w:tcW w:w="8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(12,514)</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(non-recurring)</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(4,085)</w:t>
            </w:r>
          </w:p>
        </w:tc>
      </w:tr>
      <w:tr>
        <w:trPr>
          <w:trHeight w:val="153"/>
        </w:trPr>
        <w:tc>
          <w:tcPr>
            <w:tcW w:w="494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(7,119)</w:t>
            </w:r>
          </w:p>
        </w:tc>
      </w:tr>
      <w:tr>
        <w:trPr>
          <w:trHeight w:val="15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Bargain purchase gain (non-recurring)</w:t>
            </w: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3,507</w:t>
            </w:r>
          </w:p>
        </w:tc>
      </w:tr>
      <w:tr>
        <w:trPr>
          <w:trHeight w:val="142"/>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Income (loss) before taxes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59,960</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4,484</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119,687</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(150,924)</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33,207</w:t>
            </w:r>
          </w:p>
        </w:tc>
      </w:tr>
      <w:tr>
        <w:trPr>
          <w:trHeight w:val="133"/>
        </w:trPr>
        <w:tc>
          <w:tcPr>
            <w:tcW w:w="4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13,528</w:t>
            </w:r>
          </w:p>
        </w:tc>
      </w:tr>
      <w:tr>
        <w:trPr>
          <w:trHeight w:val="158"/>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46,735</w:t>
            </w:r>
          </w:p>
        </w:tc>
      </w:tr>
      <w:tr>
        <w:trPr>
          <w:trHeight w:val="162"/>
        </w:trPr>
        <w:tc>
          <w:tcPr>
            <w:tcW w:w="4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Our Unaudited Consolidated Financial Statements have been prepared in accordance with GAAP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our Annual Report on Form 10-K for the year ended December 31, 2025. There have been no material changes to these critical accounting policies and estimates as of September 30, 2026.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principal uses of cash are to fund business operations and administrative costs, and to service our debt.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sectPr>
      </w:pPr>
    </w:p>
    <w:bookmarkStart w:id="46" w:name="page47"/>
    <w:bookmarkEnd w:id="46"/>
    <w:p>
      <w:pPr>
        <w:ind w:right="160"/>
        <w:spacing w:after="0" w:line="290" w:lineRule="auto"/>
        <w:rPr>
          <w:sz w:val="20"/>
          <w:szCs w:val="20"/>
          <w:color w:val="auto"/>
        </w:rPr>
      </w:pPr>
      <w:r>
        <w:rPr>
          <w:rFonts w:ascii="Times New Roman" w:cs="Times New Roman" w:eastAsia="Times New Roman" w:hAnsi="Times New Roman"/>
          <w:sz w:val="11"/>
          <w:szCs w:val="11"/>
          <w:color w:val="auto"/>
        </w:rPr>
        <w:t>Our working capital, defined as current assets less current liabilities, was $155.3 million at September 30, 2026 and $82.0 million at September 30, 2025. As of September 30, 2026, we had cash totaling $135.6 million compared to $57.0 million at September 30, 2025. These cash balances do not include restricted cash of $16.0 million and $13.0 million at September 30, 2026 and September 30, 2025, respectively, which reflects cash accounts holding customer settlement funds, cash reserves for potential losses and other contractual restricted cash balances. The current portion of long-term debt included in current liabilities was $5.7 million and $10.0 million at September 30, 2026 and</w:t>
      </w:r>
    </w:p>
    <w:p>
      <w:pPr>
        <w:spacing w:after="0"/>
        <w:rPr>
          <w:sz w:val="20"/>
          <w:szCs w:val="20"/>
          <w:color w:val="auto"/>
        </w:rPr>
      </w:pPr>
      <w:r>
        <w:rPr>
          <w:rFonts w:ascii="Times New Roman" w:cs="Times New Roman" w:eastAsia="Times New Roman" w:hAnsi="Times New Roman"/>
          <w:sz w:val="12"/>
          <w:szCs w:val="12"/>
          <w:color w:val="auto"/>
        </w:rPr>
        <w:t>September 30, 2025, respectively. At September 30, 2026, we had availability of approximately $100.0 million under our revolving credit facility.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6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table and discussion reflect our changes in cash flows for the comparative nine month periods.</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315"/>
        </w:trPr>
        <w:tc>
          <w:tcPr>
            <w:tcW w:w="77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(in thousands)</w:t>
            </w: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77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33"/>
        </w:trPr>
        <w:tc>
          <w:tcPr>
            <w:tcW w:w="77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(used in):</w:t>
            </w:r>
          </w:p>
        </w:tc>
        <w:tc>
          <w:tcPr>
            <w:tcW w:w="4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53"/>
        </w:trPr>
        <w:tc>
          <w:tcPr>
            <w:tcW w:w="77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activities</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98,025</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63,161</w:t>
            </w:r>
          </w:p>
        </w:tc>
      </w:tr>
      <w:tr>
        <w:trPr>
          <w:trHeight w:val="153"/>
        </w:trPr>
        <w:tc>
          <w:tcPr>
            <w:tcW w:w="7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Investing activities</w:t>
            </w: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(547,189)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(151,898)</w:t>
            </w:r>
          </w:p>
        </w:tc>
      </w:tr>
      <w:tr>
        <w:trPr>
          <w:trHeight w:val="153"/>
        </w:trPr>
        <w:tc>
          <w:tcPr>
            <w:tcW w:w="7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Financing activities</w:t>
            </w:r>
          </w:p>
        </w:tc>
        <w:tc>
          <w:tcPr>
            <w:tcW w:w="4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222,493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288,634</w:t>
            </w:r>
          </w:p>
        </w:tc>
      </w:tr>
      <w:tr>
        <w:trPr>
          <w:trHeight w:val="1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(decrease)/increase in cash and cash equivalents and restricted cash</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(226,671)</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199,897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Operating Activities</w:t>
      </w:r>
    </w:p>
    <w:p>
      <w:pPr>
        <w:spacing w:after="0" w:line="15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Net cash provided by operating activities was $98.0 million for the nine months ended September 30, 2026 compared to $63.2 million for the nine months ended September 30, 2025. The $34.8 million increase was driven by favorable non-cash adjustments and changes in the operating assets and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Net cash used in investing activities was $547.2 million for the nine months ended September 30, 2026, compared to $151.9 million of cash used in investing activities for the nine months ended September 30, 2025. For the nine months ended September 30, 2026, investing activities included the acquisition of a business, net of cash acquired of $11.5 million, $20.4 million additions to property, equipment and software, $4.1 million related to net funding of new loans to ISOs and ISVs, $500.0 million net short-term investments of MTL funds, and $11.2 million related to residual purchases, investments in unconsolidated entities and earn-outs related to an asset acquisition. For the nine months ended September 30, 2025, investing activities included acquisitions of businesses, net of cash acquired of $77.4 million, additions to property, equipment and software of $19.0 million, $5.1 million related to net funding of new loans to ISOs, and $46.7 million in short-term investments of MTL funds and $3.9 million related to residual purchases and investments in unconsolidated entities.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Provided by Financing Activities</w:t>
      </w:r>
    </w:p>
    <w:p>
      <w:pPr>
        <w:spacing w:after="0" w:line="1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Net cash provided by financing activities was $222.5 million and $288.6 million for the nine months ended September 30, 2026 and 2025, respectively. The net cash provided by financing activities for the nine months ended September 30, 2026, included borrowings under the Residual Finance Credit Facility of $9.5 million and changes in the net obligations for funds held on the behalf of customers of $215.2 million, offset by $0.2 million of cash used for the repayment of the Residual Finance Credit Facility, $1.8 million of cash used to purchase shares withheld for taxes, and $0.2 million for a deferred consideration payment. The net cash used in financing activities for the nine months ended September 30, 2025, included borrowings under the Second Amendment to the 2024 Credit Agreement and the Residual Finance Credit Facility of $1.0 billion, proceeds from the exercise of stock options of $0.4 million and changes in the net obligations for funds held on the behalf of customers of $247.5 million, offset by $945.5 million of cash used for the repayment of the term loan facility due to refinancing, $4.7 million in debt issuance and modification costs paid for the Second Amendment to the 2024 Credit Agreement, $3.0 million of cash used to purchase shares withheld for taxes, $19.8 million for the accelerated deferred consideration payments, and $6.0 million used to repurchase NCI in one of the subsidiaries.</w:t>
      </w:r>
    </w:p>
    <w:p>
      <w:pPr>
        <w:spacing w:after="0" w:line="200" w:lineRule="exact"/>
        <w:rPr>
          <w:sz w:val="20"/>
          <w:szCs w:val="20"/>
          <w:color w:val="auto"/>
        </w:rPr>
      </w:pPr>
    </w:p>
    <w:p>
      <w:pPr>
        <w:spacing w:after="0" w:line="3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9"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i w:val="1"/>
          <w:iCs w:val="1"/>
          <w:color w:val="auto"/>
        </w:rPr>
        <w:t>Long-term Debt</w:t>
      </w:r>
    </w:p>
    <w:p>
      <w:pPr>
        <w:spacing w:after="0" w:line="15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As of September 30, 2026, we had outstanding debt obligations, including the current portion and unamortized debt discount of $1,064.7 million, compared to $1,055.4 million at December 31, 2025, resulting in an increase due to net borrowings from the Residual Finance Credit Facility. The debt balance at September 30, 2026 consisted of $1,020.0 million outstanding under the 2024 Credit Agreement's (as amended) term facility and $44.7 million under the Residual Finance Credit Facility's term facility offset by $14.6 million of unamortized debt discounts and issuance costs.</w:t>
      </w:r>
    </w:p>
    <w:p>
      <w:pPr>
        <w:spacing w:after="0" w:line="11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Minimum amortization of the 2024 Credit Agreement's term facility are equal quarterly installments in aggregate annual amounts equal to 1.0% of the original principal, with the balance paid upon maturity. The term facility matures on July 31, 2032 and the revolving credit facility matures on July 31, 2030.</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The 2024 Credit Agreement and Residual Finance Credit Facility both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Effect of New Accounting Pronouncements and Recently Issued Accounting Pronouncements Not Yet Adopted</w:t>
      </w:r>
    </w:p>
    <w:p>
      <w:pPr>
        <w:spacing w:after="0" w:line="154"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 xml:space="preserve">From time to time, new accounting pronouncements are issued by the FASB or other standards setting bodies that may affect our current and/or future consolidated financial statements. See </w:t>
      </w:r>
      <w:r>
        <w:rPr>
          <w:rFonts w:ascii="Times New Roman" w:cs="Times New Roman" w:eastAsia="Times New Roman" w:hAnsi="Times New Roman"/>
          <w:sz w:val="12"/>
          <w:szCs w:val="12"/>
          <w:u w:val="single" w:color="auto"/>
          <w:color w:val="0000FF"/>
        </w:rPr>
        <w:t>Note 1, Basis of Presentation and Significant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Accounting Policies</w:t>
      </w:r>
      <w:r>
        <w:rPr>
          <w:rFonts w:ascii="Times New Roman" w:cs="Times New Roman" w:eastAsia="Times New Roman" w:hAnsi="Times New Roman"/>
          <w:sz w:val="12"/>
          <w:szCs w:val="12"/>
          <w:color w:val="000000"/>
        </w:rPr>
        <w:t>, to our Unaudited Consolidated Financial Statements included in Part I, Item 1 of this Quarterly Report on Form 10-Q, for a discussion of recently issued accounting pronouncements not yet adopted.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Qualitative and Quantitative Disclosures About Market Risk</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For qualitative and quantitative disclosures about market risk, see Item 7A, "Qualitative and Quantitative Disclosures About Market Risk," of our Annual Report on Form 10-K for the year ended December 31, 2025. Our exposures to market risk have not changed materially since December 31,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Evaluation of Disclosure Controls and Procedures</w:t>
      </w:r>
    </w:p>
    <w:p>
      <w:pPr>
        <w:spacing w:after="0" w:line="152"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19"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2"/>
          <w:szCs w:val="12"/>
          <w:color w:val="auto"/>
        </w:rPr>
        <w:t>Management, with the participation of the CEO and CFO, has evaluated the effectiveness of the Company's disclosure controls and procedures as of September 30, 2026. Based on that evaluation, the Company's CEO and CFO concluded that the Company's disclosure controls and procedures were effective as of September 30,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There have been no changes in the Company's internal control over financial reporting during the three months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7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7" w:right="31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 As of the date of this Quarterly Report on Form 10-Q, we are not aware of any pending litigation relating to the Merger.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may also materially adversely affect our business, financial condition and operating results.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Merger may not be completed on the anticipated timeline or at all, which could adversely affect our business and the market price of our common stock</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Completion of the Merger is subject to conditions, including adoption of the Merger Agreement by the holders of a majority of our outstanding shares and, separately, by a majority of the votes cast by our unaffiliated stockholders, which cannot be waived; receipt of consents from state money transmitter licensing authorities, which may take significant time and may be conditioned; the absence of a material adverse effect; and our existing credit agreements remaining in full force and effect. Although the Supporting Stockholders, who own approximately 61.4% of our outstanding shares, have agreed to vote in favor of the Merger, the Merger cannot be completed without the support of our unaffiliated stockholders. If the Merger is not completed, the market price of our common stock may decline to the extent it reflects an assumption that the Merger will be completed, and we may be required under certain circumstances to pay Parent a termination fee of $15.75 million.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pendency of the Merger could disrupt our business, and we will incur significant costs whether or not the Merger is completed</w:t>
      </w:r>
      <w:r>
        <w:rPr>
          <w:rFonts w:ascii="Times New Roman" w:cs="Times New Roman" w:eastAsia="Times New Roman" w:hAnsi="Times New Roman"/>
          <w:sz w:val="12"/>
          <w:szCs w:val="12"/>
          <w:b w:val="1"/>
          <w:bCs w:val="1"/>
          <w:color w:val="auto"/>
        </w:rPr>
        <w:t>.</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announcement and pendency of the Merger, and restrictions under the Merger Agreement on the conduct of our business, including limitations on acquisitions, indebtedness, share repurchases and compensation changes, could divert management's attention, affect our relationships with customers, partners and employees, and limit our ability to pursue opportunities. We have incurred and will continue to incur significant financial advisory, legal and other costs, many of which are payable regardless of completion. In addition, our Chairman and Chief Executive Officer controls Parent and has interests in the Merger that differ from those of our other stockholders, and litigation relating to the Merger could result in significant costs or delay or prevent its completion.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Unregistered Sales of Equity Securities and Use of Proceeds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purchases of its Common Stock during the three months ended September 30, 2026 were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135255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2200" w:type="dxa"/>
            <w:vAlign w:val="bottom"/>
            <w:gridSpan w:val="2"/>
            <w:vMerge w:val="restart"/>
          </w:tcPr>
          <w:p>
            <w:pPr>
              <w:ind w:left="900"/>
              <w:spacing w:after="0"/>
              <w:rPr>
                <w:sz w:val="20"/>
                <w:szCs w:val="20"/>
                <w:color w:val="auto"/>
              </w:rPr>
            </w:pPr>
            <w:r>
              <w:rPr>
                <w:rFonts w:ascii="Times New Roman" w:cs="Times New Roman" w:eastAsia="Times New Roman" w:hAnsi="Times New Roman"/>
                <w:sz w:val="12"/>
                <w:szCs w:val="12"/>
                <w:b w:val="1"/>
                <w:bCs w:val="1"/>
                <w:color w:val="auto"/>
              </w:rPr>
              <w:t>Period</w:t>
            </w:r>
          </w:p>
        </w:tc>
        <w:tc>
          <w:tcPr>
            <w:tcW w:w="14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Total Number of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Average Price Paid</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Total Number of Shares Purchased 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Maximum Number of Shares that May Yet Be Purchased</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1460" w:type="dxa"/>
            <w:vAlign w:val="bottom"/>
          </w:tcPr>
          <w:p>
            <w:pPr>
              <w:jc w:val="right"/>
              <w:ind w:right="360"/>
              <w:spacing w:after="0" w:line="162" w:lineRule="exact"/>
              <w:rPr>
                <w:sz w:val="20"/>
                <w:szCs w:val="20"/>
                <w:color w:val="auto"/>
              </w:rPr>
            </w:pPr>
            <w:r>
              <w:rPr>
                <w:rFonts w:ascii="Times New Roman" w:cs="Times New Roman" w:eastAsia="Times New Roman" w:hAnsi="Times New Roman"/>
                <w:sz w:val="12"/>
                <w:szCs w:val="12"/>
                <w:b w:val="1"/>
                <w:bCs w:val="1"/>
                <w:color w:val="auto"/>
              </w:rPr>
              <w:t>Purchased</w:t>
            </w:r>
            <w:r>
              <w:rPr>
                <w:rFonts w:ascii="Times New Roman" w:cs="Times New Roman" w:eastAsia="Times New Roman" w:hAnsi="Times New Roman"/>
                <w:sz w:val="15"/>
                <w:szCs w:val="15"/>
                <w:b w:val="1"/>
                <w:bCs w:val="1"/>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300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Announced Plans or Programs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Under the Plans or Programs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July 1-31, 2026</w:t>
            </w:r>
          </w:p>
        </w:tc>
        <w:tc>
          <w:tcPr>
            <w:tcW w:w="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w:t>
            </w:r>
          </w:p>
        </w:tc>
        <w:tc>
          <w:tcPr>
            <w:tcW w:w="8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8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53"/>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August 1-31,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53"/>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September 1-30,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w:t>
            </w:r>
          </w:p>
        </w:tc>
        <w:tc>
          <w:tcPr>
            <w:tcW w:w="80" w:type="dxa"/>
            <w:vAlign w:val="bottom"/>
            <w:shd w:val="clear" w:color="auto" w:fill="CCEEFF"/>
          </w:tcPr>
          <w:p>
            <w:pPr>
              <w:spacing w:after="0"/>
              <w:rPr>
                <w:sz w:val="13"/>
                <w:szCs w:val="13"/>
                <w:color w:val="auto"/>
              </w:rPr>
            </w:pPr>
          </w:p>
        </w:tc>
        <w:tc>
          <w:tcPr>
            <w:tcW w:w="300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82"/>
              </w:rPr>
              <w:t>—</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5,690,626</w:t>
            </w:r>
          </w:p>
        </w:tc>
        <w:tc>
          <w:tcPr>
            <w:tcW w:w="0" w:type="dxa"/>
            <w:vAlign w:val="bottom"/>
          </w:tcPr>
          <w:p>
            <w:pPr>
              <w:spacing w:after="0"/>
              <w:rPr>
                <w:sz w:val="1"/>
                <w:szCs w:val="1"/>
                <w:color w:val="auto"/>
              </w:rPr>
            </w:pPr>
          </w:p>
        </w:tc>
      </w:tr>
      <w:tr>
        <w:trPr>
          <w:trHeight w:val="14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6.10</w:t>
            </w:r>
          </w:p>
        </w:tc>
        <w:tc>
          <w:tcPr>
            <w:tcW w:w="80" w:type="dxa"/>
            <w:vAlign w:val="bottom"/>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right="20" w:hanging="212"/>
        <w:spacing w:after="0" w:line="222" w:lineRule="auto"/>
        <w:tabs>
          <w:tab w:leader="none" w:pos="412" w:val="left"/>
        </w:tabs>
        <w:numPr>
          <w:ilvl w:val="0"/>
          <w:numId w:val="4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shares (in whole units) withheld to satisfy employees' tax withholding obligations related to the vesting of restricted stock awards, which was determined based on the fair market value on the day prior to the vesting date.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10120" w:type="dxa"/>
            <w:vAlign w:val="bottom"/>
          </w:tcPr>
          <w:p>
            <w:pPr>
              <w:spacing w:after="0"/>
              <w:rPr>
                <w:sz w:val="13"/>
                <w:szCs w:val="13"/>
                <w:color w:val="auto"/>
              </w:rPr>
            </w:pPr>
          </w:p>
        </w:tc>
      </w:tr>
      <w:tr>
        <w:trPr>
          <w:trHeight w:val="162"/>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153"/>
        </w:trPr>
        <w:tc>
          <w:tcPr>
            <w:tcW w:w="1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10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10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2.1</w:t>
              </w:r>
            </w:hyperlink>
          </w:p>
        </w:tc>
        <w:tc>
          <w:tcPr>
            <w:tcW w:w="80" w:type="dxa"/>
            <w:vAlign w:val="bottom"/>
          </w:tcPr>
          <w:p>
            <w:pPr>
              <w:spacing w:after="0"/>
              <w:rPr>
                <w:sz w:val="9"/>
                <w:szCs w:val="9"/>
                <w:color w:val="auto"/>
              </w:rPr>
            </w:pPr>
          </w:p>
        </w:tc>
        <w:tc>
          <w:tcPr>
            <w:tcW w:w="10120" w:type="dxa"/>
            <w:vAlign w:val="bottom"/>
            <w:tcBorders>
              <w:top w:val="single" w:sz="8" w:color="auto"/>
            </w:tcBorders>
          </w:tcPr>
          <w:p>
            <w:pPr>
              <w:spacing w:after="0" w:line="106" w:lineRule="exact"/>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Second Amended and Restated Contribution Agreement, dated as of April 17, 2018, by and among Priority Investment Holdings, Priority Incentive Equity Holdings, LLC and M I Acquisitions, Inc.</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20" w:type="dxa"/>
            <w:vAlign w:val="bottom"/>
          </w:tcPr>
          <w:p>
            <w:pPr>
              <w:spacing w:after="0"/>
              <w:rPr>
                <w:rFonts w:ascii="Times New Roman" w:cs="Times New Roman" w:eastAsia="Times New Roman" w:hAnsi="Times New Roman"/>
                <w:sz w:val="12"/>
                <w:szCs w:val="12"/>
                <w:color w:val="0000FF"/>
              </w:rPr>
            </w:pPr>
            <w:hyperlink r:id="rId96">
              <w:r>
                <w:rPr>
                  <w:rFonts w:ascii="Times New Roman" w:cs="Times New Roman" w:eastAsia="Times New Roman" w:hAnsi="Times New Roman"/>
                  <w:sz w:val="12"/>
                  <w:szCs w:val="12"/>
                  <w:color w:val="0000FF"/>
                </w:rPr>
                <w:t>(incorporated by reference to Annex A to the Company's Proxy Statement on Schedule 14(a), filed July 5, 2018).</w:t>
              </w:r>
            </w:hyperlink>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2.2</w:t>
              </w:r>
            </w:hyperlink>
          </w:p>
        </w:tc>
        <w:tc>
          <w:tcPr>
            <w:tcW w:w="80" w:type="dxa"/>
            <w:vAlign w:val="bottom"/>
            <w:shd w:val="clear" w:color="auto" w:fill="CCEEFF"/>
          </w:tcPr>
          <w:p>
            <w:pPr>
              <w:spacing w:after="0"/>
              <w:rPr>
                <w:sz w:val="13"/>
                <w:szCs w:val="13"/>
                <w:color w:val="auto"/>
              </w:rPr>
            </w:pPr>
          </w:p>
        </w:tc>
        <w:tc>
          <w:tcPr>
            <w:tcW w:w="10120" w:type="dxa"/>
            <w:vAlign w:val="bottom"/>
            <w:shd w:val="clear" w:color="auto" w:fill="CCEEFF"/>
          </w:tcPr>
          <w:p>
            <w:pPr>
              <w:spacing w:after="0"/>
              <w:rPr>
                <w:rFonts w:ascii="Times New Roman" w:cs="Times New Roman" w:eastAsia="Times New Roman" w:hAnsi="Times New Roman"/>
                <w:sz w:val="12"/>
                <w:szCs w:val="12"/>
                <w:color w:val="0000FF"/>
              </w:rPr>
            </w:pPr>
            <w:hyperlink r:id="rId98">
              <w:r>
                <w:rPr>
                  <w:rFonts w:ascii="Times New Roman" w:cs="Times New Roman" w:eastAsia="Times New Roman" w:hAnsi="Times New Roman"/>
                  <w:sz w:val="12"/>
                  <w:szCs w:val="12"/>
                  <w:color w:val="0000FF"/>
                </w:rPr>
                <w:t>Agreement and Plan of Merger, dated as of March 5, 2021, by and among the Company, Finxera, Merger Sub, and the Equityholder Representative.</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2.3</w:t>
              </w:r>
            </w:hyperlink>
          </w:p>
        </w:tc>
        <w:tc>
          <w:tcPr>
            <w:tcW w:w="80" w:type="dxa"/>
            <w:vAlign w:val="bottom"/>
          </w:tcPr>
          <w:p>
            <w:pPr>
              <w:spacing w:after="0"/>
              <w:rPr>
                <w:sz w:val="13"/>
                <w:szCs w:val="13"/>
                <w:color w:val="auto"/>
              </w:rPr>
            </w:pPr>
          </w:p>
        </w:tc>
        <w:tc>
          <w:tcPr>
            <w:tcW w:w="10120" w:type="dxa"/>
            <w:vAlign w:val="bottom"/>
          </w:tcPr>
          <w:p>
            <w:pPr>
              <w:spacing w:after="0"/>
              <w:rPr>
                <w:rFonts w:ascii="Times New Roman" w:cs="Times New Roman" w:eastAsia="Times New Roman" w:hAnsi="Times New Roman"/>
                <w:sz w:val="12"/>
                <w:szCs w:val="12"/>
                <w:color w:val="0000FF"/>
              </w:rPr>
            </w:pPr>
            <w:hyperlink r:id="rId97">
              <w:r>
                <w:rPr>
                  <w:rFonts w:ascii="Times New Roman" w:cs="Times New Roman" w:eastAsia="Times New Roman" w:hAnsi="Times New Roman"/>
                  <w:sz w:val="12"/>
                  <w:szCs w:val="12"/>
                  <w:color w:val="0000FF"/>
                </w:rPr>
                <w:t>Certificate of Amendment to the Certificate of Incorporation of Priority Technology Holdings dated April 16, 2021, filed April 29, 2021</w:t>
              </w:r>
            </w:hyperlink>
          </w:p>
        </w:tc>
      </w:tr>
      <w:tr>
        <w:trPr>
          <w:trHeight w:val="117"/>
        </w:trPr>
        <w:tc>
          <w:tcPr>
            <w:tcW w:w="110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2.4</w:t>
              </w:r>
            </w:hyperlink>
          </w:p>
        </w:tc>
        <w:tc>
          <w:tcPr>
            <w:tcW w:w="80" w:type="dxa"/>
            <w:vAlign w:val="bottom"/>
            <w:shd w:val="clear" w:color="auto" w:fill="CCEEFF"/>
          </w:tcPr>
          <w:p>
            <w:pPr>
              <w:spacing w:after="0"/>
              <w:rPr>
                <w:sz w:val="10"/>
                <w:szCs w:val="10"/>
                <w:color w:val="auto"/>
              </w:rPr>
            </w:pPr>
          </w:p>
        </w:tc>
        <w:tc>
          <w:tcPr>
            <w:tcW w:w="10120" w:type="dxa"/>
            <w:vAlign w:val="bottom"/>
            <w:shd w:val="clear" w:color="auto" w:fill="CCEEFF"/>
          </w:tcPr>
          <w:p>
            <w:pPr>
              <w:spacing w:after="0" w:line="117" w:lineRule="exact"/>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Agreement and Plan of Merger, dated as of September 18, 2026, by and among Priority Technology Holdings, Inc., WD Capital Partners Parent Inc. and WD Capital Partners Merger Sub Inc. (incorporated by</w:t>
              </w:r>
            </w:hyperlink>
          </w:p>
        </w:tc>
      </w:tr>
      <w:tr>
        <w:trPr>
          <w:trHeight w:val="162"/>
        </w:trPr>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120" w:type="dxa"/>
            <w:vAlign w:val="bottom"/>
            <w:shd w:val="clear" w:color="auto" w:fill="CCEEFF"/>
          </w:tcPr>
          <w:p>
            <w:pPr>
              <w:spacing w:after="0"/>
              <w:rPr>
                <w:rFonts w:ascii="Times New Roman" w:cs="Times New Roman" w:eastAsia="Times New Roman" w:hAnsi="Times New Roman"/>
                <w:sz w:val="12"/>
                <w:szCs w:val="12"/>
                <w:color w:val="0000FF"/>
              </w:rPr>
            </w:pPr>
            <w:hyperlink r:id="rId99">
              <w:r>
                <w:rPr>
                  <w:rFonts w:ascii="Times New Roman" w:cs="Times New Roman" w:eastAsia="Times New Roman" w:hAnsi="Times New Roman"/>
                  <w:sz w:val="12"/>
                  <w:szCs w:val="12"/>
                  <w:color w:val="0000FF"/>
                </w:rPr>
                <w:t>reference to Exhibit 2.1 to the Company's Current Report on Form 8-K, filed September 21, 2026).</w:t>
              </w:r>
            </w:hyperlink>
          </w:p>
        </w:tc>
      </w:tr>
      <w:tr>
        <w:trPr>
          <w:trHeight w:val="153"/>
        </w:trPr>
        <w:tc>
          <w:tcPr>
            <w:tcW w:w="1100" w:type="dxa"/>
            <w:vAlign w:val="bottom"/>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3.1</w:t>
              </w:r>
            </w:hyperlink>
          </w:p>
        </w:tc>
        <w:tc>
          <w:tcPr>
            <w:tcW w:w="80" w:type="dxa"/>
            <w:vAlign w:val="bottom"/>
          </w:tcPr>
          <w:p>
            <w:pPr>
              <w:spacing w:after="0"/>
              <w:rPr>
                <w:sz w:val="13"/>
                <w:szCs w:val="13"/>
                <w:color w:val="auto"/>
              </w:rPr>
            </w:pPr>
          </w:p>
        </w:tc>
        <w:tc>
          <w:tcPr>
            <w:tcW w:w="10120" w:type="dxa"/>
            <w:vAlign w:val="bottom"/>
          </w:tcPr>
          <w:p>
            <w:pPr>
              <w:spacing w:after="0"/>
              <w:rPr>
                <w:rFonts w:ascii="Times New Roman" w:cs="Times New Roman" w:eastAsia="Times New Roman" w:hAnsi="Times New Roman"/>
                <w:sz w:val="12"/>
                <w:szCs w:val="12"/>
                <w:color w:val="0000FF"/>
              </w:rPr>
            </w:pPr>
            <w:hyperlink r:id="rId100">
              <w:r>
                <w:rPr>
                  <w:rFonts w:ascii="Times New Roman" w:cs="Times New Roman" w:eastAsia="Times New Roman" w:hAnsi="Times New Roman"/>
                  <w:sz w:val="12"/>
                  <w:szCs w:val="12"/>
                  <w:color w:val="0000FF"/>
                </w:rPr>
                <w:t>Second Amended and Restated Certificate of Incorporation of Priority Technology Holdings, Inc. (incorporated by reference to Exhibit 3.1 to the Company's Current Report on Form 8-K, filed July 31, 2018).</w:t>
              </w:r>
            </w:hyperlink>
          </w:p>
        </w:tc>
      </w:tr>
      <w:tr>
        <w:trPr>
          <w:trHeight w:val="153"/>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3.2</w:t>
              </w:r>
            </w:hyperlink>
          </w:p>
        </w:tc>
        <w:tc>
          <w:tcPr>
            <w:tcW w:w="80" w:type="dxa"/>
            <w:vAlign w:val="bottom"/>
            <w:shd w:val="clear" w:color="auto" w:fill="CCEEFF"/>
          </w:tcPr>
          <w:p>
            <w:pPr>
              <w:spacing w:after="0"/>
              <w:rPr>
                <w:sz w:val="13"/>
                <w:szCs w:val="13"/>
                <w:color w:val="auto"/>
              </w:rPr>
            </w:pPr>
          </w:p>
        </w:tc>
        <w:tc>
          <w:tcPr>
            <w:tcW w:w="10120" w:type="dxa"/>
            <w:vAlign w:val="bottom"/>
            <w:shd w:val="clear" w:color="auto" w:fill="CCEEFF"/>
          </w:tcPr>
          <w:p>
            <w:pPr>
              <w:spacing w:after="0"/>
              <w:rPr>
                <w:rFonts w:ascii="Times New Roman" w:cs="Times New Roman" w:eastAsia="Times New Roman" w:hAnsi="Times New Roman"/>
                <w:sz w:val="12"/>
                <w:szCs w:val="12"/>
                <w:color w:val="0000FF"/>
              </w:rPr>
            </w:pPr>
            <w:hyperlink r:id="rId101">
              <w:r>
                <w:rPr>
                  <w:rFonts w:ascii="Times New Roman" w:cs="Times New Roman" w:eastAsia="Times New Roman" w:hAnsi="Times New Roman"/>
                  <w:sz w:val="12"/>
                  <w:szCs w:val="12"/>
                  <w:color w:val="0000FF"/>
                </w:rPr>
                <w:t>Amended and Restated Bylaws of Priority Technology Holdings, Inc. (incorporated by reference to Exhibit 3.2 to the Company's Current Report on Form 8-K, filed July 31, 2018).</w:t>
              </w:r>
            </w:hyperlink>
          </w:p>
        </w:tc>
      </w:tr>
      <w:tr>
        <w:trPr>
          <w:trHeight w:val="117"/>
        </w:trPr>
        <w:tc>
          <w:tcPr>
            <w:tcW w:w="1100" w:type="dxa"/>
            <w:vAlign w:val="bottom"/>
          </w:tcPr>
          <w:p>
            <w:pPr>
              <w:spacing w:after="0" w:line="117"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10.1</w:t>
              </w:r>
            </w:hyperlink>
          </w:p>
        </w:tc>
        <w:tc>
          <w:tcPr>
            <w:tcW w:w="80" w:type="dxa"/>
            <w:vAlign w:val="bottom"/>
          </w:tcPr>
          <w:p>
            <w:pPr>
              <w:spacing w:after="0"/>
              <w:rPr>
                <w:sz w:val="10"/>
                <w:szCs w:val="10"/>
                <w:color w:val="auto"/>
              </w:rPr>
            </w:pPr>
          </w:p>
        </w:tc>
        <w:tc>
          <w:tcPr>
            <w:tcW w:w="10120" w:type="dxa"/>
            <w:vAlign w:val="bottom"/>
          </w:tcPr>
          <w:p>
            <w:pPr>
              <w:spacing w:after="0" w:line="117" w:lineRule="exact"/>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Registration Rights Agreement dated as of July 25, 2018 by and among M I Acquisitions, Inc. and the other parties thereto (incorporated by reference to Exhibit 10.1 to the Company's Current Report on Form</w:t>
              </w:r>
            </w:hyperlink>
          </w:p>
        </w:tc>
      </w:tr>
      <w:tr>
        <w:trPr>
          <w:trHeight w:val="158"/>
        </w:trPr>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20" w:type="dxa"/>
            <w:vAlign w:val="bottom"/>
          </w:tcPr>
          <w:p>
            <w:pPr>
              <w:spacing w:after="0"/>
              <w:rPr>
                <w:rFonts w:ascii="Times New Roman" w:cs="Times New Roman" w:eastAsia="Times New Roman" w:hAnsi="Times New Roman"/>
                <w:sz w:val="12"/>
                <w:szCs w:val="12"/>
                <w:color w:val="0000FF"/>
              </w:rPr>
            </w:pPr>
            <w:hyperlink r:id="rId102">
              <w:r>
                <w:rPr>
                  <w:rFonts w:ascii="Times New Roman" w:cs="Times New Roman" w:eastAsia="Times New Roman" w:hAnsi="Times New Roman"/>
                  <w:sz w:val="12"/>
                  <w:szCs w:val="12"/>
                  <w:color w:val="0000FF"/>
                </w:rPr>
                <w:t>8-K, filed July 31, 2018).</w:t>
              </w:r>
            </w:hyperlink>
          </w:p>
        </w:tc>
      </w:tr>
      <w:tr>
        <w:trPr>
          <w:trHeight w:val="157"/>
        </w:trPr>
        <w:tc>
          <w:tcPr>
            <w:tcW w:w="1100" w:type="dxa"/>
            <w:vAlign w:val="bottom"/>
            <w:shd w:val="clear" w:color="auto" w:fill="CCEEFF"/>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10.2</w:t>
              </w:r>
            </w:hyperlink>
          </w:p>
        </w:tc>
        <w:tc>
          <w:tcPr>
            <w:tcW w:w="80" w:type="dxa"/>
            <w:vAlign w:val="bottom"/>
            <w:shd w:val="clear" w:color="auto" w:fill="CCEEFF"/>
          </w:tcPr>
          <w:p>
            <w:pPr>
              <w:spacing w:after="0"/>
              <w:rPr>
                <w:sz w:val="13"/>
                <w:szCs w:val="13"/>
                <w:color w:val="auto"/>
              </w:rPr>
            </w:pPr>
          </w:p>
        </w:tc>
        <w:tc>
          <w:tcPr>
            <w:tcW w:w="10120" w:type="dxa"/>
            <w:vAlign w:val="bottom"/>
            <w:shd w:val="clear" w:color="auto" w:fill="CCEEFF"/>
          </w:tcPr>
          <w:p>
            <w:pPr>
              <w:spacing w:after="0"/>
              <w:rPr>
                <w:rFonts w:ascii="Times New Roman" w:cs="Times New Roman" w:eastAsia="Times New Roman" w:hAnsi="Times New Roman"/>
                <w:sz w:val="12"/>
                <w:szCs w:val="12"/>
                <w:color w:val="0000FF"/>
              </w:rPr>
            </w:pPr>
            <w:hyperlink r:id="rId103">
              <w:r>
                <w:rPr>
                  <w:rFonts w:ascii="Times New Roman" w:cs="Times New Roman" w:eastAsia="Times New Roman" w:hAnsi="Times New Roman"/>
                  <w:sz w:val="12"/>
                  <w:szCs w:val="12"/>
                  <w:color w:val="0000FF"/>
                </w:rPr>
                <w:t>Priority Technology Holdings, Inc. 2018 Equity Incentive Plan (incorporated by reference to Exhibit 10.2 to the Company's Current Report on Form 8-K, filed July 31, 2018).</w:t>
              </w:r>
            </w:hyperlink>
          </w:p>
        </w:tc>
      </w:tr>
      <w:tr>
        <w:trPr>
          <w:trHeight w:val="155"/>
        </w:trPr>
        <w:tc>
          <w:tcPr>
            <w:tcW w:w="1100" w:type="dxa"/>
            <w:vAlign w:val="bottom"/>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10.2.1</w:t>
              </w:r>
            </w:hyperlink>
          </w:p>
        </w:tc>
        <w:tc>
          <w:tcPr>
            <w:tcW w:w="80" w:type="dxa"/>
            <w:vAlign w:val="bottom"/>
          </w:tcPr>
          <w:p>
            <w:pPr>
              <w:spacing w:after="0"/>
              <w:rPr>
                <w:sz w:val="13"/>
                <w:szCs w:val="13"/>
                <w:color w:val="auto"/>
              </w:rPr>
            </w:pPr>
          </w:p>
        </w:tc>
        <w:tc>
          <w:tcPr>
            <w:tcW w:w="10120" w:type="dxa"/>
            <w:vAlign w:val="bottom"/>
          </w:tcPr>
          <w:p>
            <w:pPr>
              <w:spacing w:after="0"/>
              <w:rPr>
                <w:rFonts w:ascii="Times New Roman" w:cs="Times New Roman" w:eastAsia="Times New Roman" w:hAnsi="Times New Roman"/>
                <w:sz w:val="12"/>
                <w:szCs w:val="12"/>
                <w:color w:val="0000FF"/>
              </w:rPr>
            </w:pPr>
            <w:hyperlink r:id="rId104">
              <w:r>
                <w:rPr>
                  <w:rFonts w:ascii="Times New Roman" w:cs="Times New Roman" w:eastAsia="Times New Roman" w:hAnsi="Times New Roman"/>
                  <w:sz w:val="12"/>
                  <w:szCs w:val="12"/>
                  <w:color w:val="0000FF"/>
                </w:rPr>
                <w:t>Amendment No. 1 to Priority Technology Holdings, Inc. 2018 Equity Incentive Plan (incorporated by reference to the Company's Form DEF14A, filed April 12, 2022).</w:t>
              </w:r>
            </w:hyperlink>
          </w:p>
        </w:tc>
      </w:tr>
      <w:tr>
        <w:trPr>
          <w:trHeight w:val="808"/>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2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47</w:t>
            </w:r>
          </w:p>
        </w:tc>
      </w:tr>
      <w:tr>
        <w:trPr>
          <w:trHeight w:val="216"/>
        </w:trPr>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1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37"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53"/>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10.2.2</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07">
              <w:r>
                <w:rPr>
                  <w:rFonts w:ascii="Times New Roman" w:cs="Times New Roman" w:eastAsia="Times New Roman" w:hAnsi="Times New Roman"/>
                  <w:sz w:val="12"/>
                  <w:szCs w:val="12"/>
                  <w:color w:val="0000FF"/>
                </w:rPr>
                <w:t>Amendment No. 2 to Priority Technology Holdings, Inc. 2018 Equity Incentive Plan (incorporated by reference to the Company's Form DEF14A, filed April 28, 2026).</w:t>
              </w:r>
            </w:hyperlink>
          </w:p>
        </w:tc>
        <w:tc>
          <w:tcPr>
            <w:tcW w:w="0" w:type="dxa"/>
            <w:vAlign w:val="bottom"/>
          </w:tcPr>
          <w:p>
            <w:pPr>
              <w:spacing w:after="0"/>
              <w:rPr>
                <w:sz w:val="1"/>
                <w:szCs w:val="1"/>
                <w:color w:val="auto"/>
              </w:rPr>
            </w:pPr>
          </w:p>
        </w:tc>
      </w:tr>
      <w:tr>
        <w:trPr>
          <w:trHeight w:val="153"/>
        </w:trPr>
        <w:tc>
          <w:tcPr>
            <w:tcW w:w="220" w:type="dxa"/>
            <w:vAlign w:val="bottom"/>
          </w:tcPr>
          <w:p>
            <w:pPr>
              <w:spacing w:after="0"/>
              <w:rPr>
                <w:rFonts w:ascii="Times New Roman" w:cs="Times New Roman" w:eastAsia="Times New Roman" w:hAnsi="Times New Roman"/>
                <w:sz w:val="12"/>
                <w:szCs w:val="12"/>
                <w:color w:val="0000FF"/>
                <w:w w:val="94"/>
              </w:rPr>
            </w:pPr>
            <w:hyperlink r:id="rId108">
              <w:r>
                <w:rPr>
                  <w:rFonts w:ascii="Times New Roman" w:cs="Times New Roman" w:eastAsia="Times New Roman" w:hAnsi="Times New Roman"/>
                  <w:sz w:val="12"/>
                  <w:szCs w:val="12"/>
                  <w:color w:val="0000FF"/>
                  <w:w w:val="94"/>
                </w:rPr>
                <w:t>10.3</w:t>
              </w:r>
            </w:hyperlink>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08">
              <w:r>
                <w:rPr>
                  <w:rFonts w:ascii="Times New Roman" w:cs="Times New Roman" w:eastAsia="Times New Roman" w:hAnsi="Times New Roman"/>
                  <w:sz w:val="12"/>
                  <w:szCs w:val="12"/>
                  <w:color w:val="0000FF"/>
                </w:rPr>
                <w:t>Priority Technology Holdings, Inc. 2021 Employee Stock Purchase Plan</w:t>
              </w:r>
            </w:hyperlink>
          </w:p>
        </w:tc>
        <w:tc>
          <w:tcPr>
            <w:tcW w:w="0" w:type="dxa"/>
            <w:vAlign w:val="bottom"/>
          </w:tcPr>
          <w:p>
            <w:pPr>
              <w:spacing w:after="0"/>
              <w:rPr>
                <w:sz w:val="1"/>
                <w:szCs w:val="1"/>
                <w:color w:val="auto"/>
              </w:rPr>
            </w:pPr>
          </w:p>
        </w:tc>
      </w:tr>
      <w:tr>
        <w:trPr>
          <w:trHeight w:val="153"/>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10.3.1</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09">
              <w:r>
                <w:rPr>
                  <w:rFonts w:ascii="Times New Roman" w:cs="Times New Roman" w:eastAsia="Times New Roman" w:hAnsi="Times New Roman"/>
                  <w:sz w:val="12"/>
                  <w:szCs w:val="12"/>
                  <w:color w:val="0000FF"/>
                </w:rPr>
                <w:t>Amendment No. 1 to Priority Technology Holdings, Inc. 2021 Employee Stock Purchase Plan</w:t>
              </w:r>
            </w:hyperlink>
          </w:p>
        </w:tc>
        <w:tc>
          <w:tcPr>
            <w:tcW w:w="0" w:type="dxa"/>
            <w:vAlign w:val="bottom"/>
          </w:tcPr>
          <w:p>
            <w:pPr>
              <w:spacing w:after="0"/>
              <w:rPr>
                <w:sz w:val="1"/>
                <w:szCs w:val="1"/>
                <w:color w:val="auto"/>
              </w:rPr>
            </w:pPr>
          </w:p>
        </w:tc>
      </w:tr>
      <w:tr>
        <w:trPr>
          <w:trHeight w:val="153"/>
        </w:trPr>
        <w:tc>
          <w:tcPr>
            <w:tcW w:w="780" w:type="dxa"/>
            <w:vAlign w:val="bottom"/>
            <w:gridSpan w:val="2"/>
          </w:tcPr>
          <w:p>
            <w:pPr>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10.3.2</w:t>
              </w:r>
            </w:hyperlink>
          </w:p>
        </w:tc>
        <w:tc>
          <w:tcPr>
            <w:tcW w:w="10520" w:type="dxa"/>
            <w:vAlign w:val="bottom"/>
          </w:tcPr>
          <w:p>
            <w:pPr>
              <w:ind w:left="400"/>
              <w:spacing w:after="0"/>
              <w:rPr>
                <w:rFonts w:ascii="Times New Roman" w:cs="Times New Roman" w:eastAsia="Times New Roman" w:hAnsi="Times New Roman"/>
                <w:sz w:val="12"/>
                <w:szCs w:val="12"/>
                <w:color w:val="0000FF"/>
              </w:rPr>
            </w:pPr>
            <w:hyperlink r:id="rId110">
              <w:r>
                <w:rPr>
                  <w:rFonts w:ascii="Times New Roman" w:cs="Times New Roman" w:eastAsia="Times New Roman" w:hAnsi="Times New Roman"/>
                  <w:sz w:val="12"/>
                  <w:szCs w:val="12"/>
                  <w:color w:val="0000FF"/>
                </w:rPr>
                <w:t>Amendment No. 2 to Priority Technology Holdings, Inc. 2021 Employee Stock Purchase Plan</w:t>
              </w:r>
            </w:hyperlink>
          </w:p>
        </w:tc>
        <w:tc>
          <w:tcPr>
            <w:tcW w:w="0" w:type="dxa"/>
            <w:vAlign w:val="bottom"/>
          </w:tcPr>
          <w:p>
            <w:pPr>
              <w:spacing w:after="0"/>
              <w:rPr>
                <w:sz w:val="1"/>
                <w:szCs w:val="1"/>
                <w:color w:val="auto"/>
              </w:rPr>
            </w:pPr>
          </w:p>
        </w:tc>
      </w:tr>
      <w:tr>
        <w:trPr>
          <w:trHeight w:val="117"/>
        </w:trPr>
        <w:tc>
          <w:tcPr>
            <w:tcW w:w="220" w:type="dxa"/>
            <w:vAlign w:val="bottom"/>
            <w:shd w:val="clear" w:color="auto" w:fill="CCEEFF"/>
          </w:tcPr>
          <w:p>
            <w:pPr>
              <w:spacing w:after="0" w:line="117" w:lineRule="exact"/>
              <w:rPr>
                <w:rFonts w:ascii="Times New Roman" w:cs="Times New Roman" w:eastAsia="Times New Roman" w:hAnsi="Times New Roman"/>
                <w:sz w:val="12"/>
                <w:szCs w:val="12"/>
                <w:color w:val="0000FF"/>
                <w:w w:val="94"/>
              </w:rPr>
            </w:pPr>
            <w:hyperlink r:id="rId111">
              <w:r>
                <w:rPr>
                  <w:rFonts w:ascii="Times New Roman" w:cs="Times New Roman" w:eastAsia="Times New Roman" w:hAnsi="Times New Roman"/>
                  <w:sz w:val="12"/>
                  <w:szCs w:val="12"/>
                  <w:color w:val="0000FF"/>
                  <w:w w:val="94"/>
                </w:rPr>
                <w:t>10.4</w:t>
              </w:r>
            </w:hyperlink>
          </w:p>
        </w:tc>
        <w:tc>
          <w:tcPr>
            <w:tcW w:w="560" w:type="dxa"/>
            <w:vAlign w:val="bottom"/>
            <w:shd w:val="clear" w:color="auto" w:fill="CCEEFF"/>
          </w:tcPr>
          <w:p>
            <w:pPr>
              <w:ind w:left="20"/>
              <w:spacing w:after="0" w:line="117" w:lineRule="exact"/>
              <w:rPr>
                <w:sz w:val="20"/>
                <w:szCs w:val="20"/>
                <w:color w:val="auto"/>
              </w:rPr>
            </w:pPr>
            <w:r>
              <w:rPr>
                <w:rFonts w:ascii="Arial" w:cs="Arial" w:eastAsia="Arial" w:hAnsi="Arial"/>
                <w:sz w:val="12"/>
                <w:szCs w:val="12"/>
                <w:color w:val="auto"/>
              </w:rPr>
              <w:t>†</w:t>
            </w:r>
          </w:p>
        </w:tc>
        <w:tc>
          <w:tcPr>
            <w:tcW w:w="10520" w:type="dxa"/>
            <w:vAlign w:val="bottom"/>
            <w:shd w:val="clear" w:color="auto" w:fill="CCEEFF"/>
          </w:tcPr>
          <w:p>
            <w:pPr>
              <w:ind w:left="400"/>
              <w:spacing w:after="0" w:line="117"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Director Agreement by and among Priority Holdings LLC, Pipeline Cynergy Holdings, LLC, Priority Payment Systems Holdings, LLC and Thomas C. Priore, dated May 21, 2014 (incorporated by reference to</w:t>
              </w:r>
            </w:hyperlink>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Exhibit 10.6 to the Company's Registration Statement on Form S-4/A, filed December 26, 2018).</w:t>
              </w:r>
            </w:hyperlink>
          </w:p>
        </w:tc>
        <w:tc>
          <w:tcPr>
            <w:tcW w:w="0" w:type="dxa"/>
            <w:vAlign w:val="bottom"/>
          </w:tcPr>
          <w:p>
            <w:pPr>
              <w:spacing w:after="0"/>
              <w:rPr>
                <w:sz w:val="1"/>
                <w:szCs w:val="1"/>
                <w:color w:val="auto"/>
              </w:rPr>
            </w:pPr>
          </w:p>
        </w:tc>
      </w:tr>
      <w:tr>
        <w:trPr>
          <w:trHeight w:val="117"/>
        </w:trPr>
        <w:tc>
          <w:tcPr>
            <w:tcW w:w="220" w:type="dxa"/>
            <w:vAlign w:val="bottom"/>
          </w:tcPr>
          <w:p>
            <w:pPr>
              <w:spacing w:after="0" w:line="117" w:lineRule="exact"/>
              <w:rPr>
                <w:rFonts w:ascii="Times New Roman" w:cs="Times New Roman" w:eastAsia="Times New Roman" w:hAnsi="Times New Roman"/>
                <w:sz w:val="12"/>
                <w:szCs w:val="12"/>
                <w:color w:val="0000FF"/>
                <w:w w:val="94"/>
              </w:rPr>
            </w:pPr>
            <w:hyperlink r:id="rId112">
              <w:r>
                <w:rPr>
                  <w:rFonts w:ascii="Times New Roman" w:cs="Times New Roman" w:eastAsia="Times New Roman" w:hAnsi="Times New Roman"/>
                  <w:sz w:val="12"/>
                  <w:szCs w:val="12"/>
                  <w:color w:val="0000FF"/>
                  <w:w w:val="94"/>
                </w:rPr>
                <w:t>10.5</w:t>
              </w:r>
            </w:hyperlink>
          </w:p>
        </w:tc>
        <w:tc>
          <w:tcPr>
            <w:tcW w:w="560" w:type="dxa"/>
            <w:vAlign w:val="bottom"/>
          </w:tcPr>
          <w:p>
            <w:pPr>
              <w:ind w:left="20"/>
              <w:spacing w:after="0" w:line="117" w:lineRule="exact"/>
              <w:rPr>
                <w:sz w:val="20"/>
                <w:szCs w:val="20"/>
                <w:color w:val="auto"/>
              </w:rPr>
            </w:pPr>
            <w:r>
              <w:rPr>
                <w:rFonts w:ascii="Arial" w:cs="Arial" w:eastAsia="Arial" w:hAnsi="Arial"/>
                <w:sz w:val="12"/>
                <w:szCs w:val="12"/>
                <w:color w:val="auto"/>
              </w:rPr>
              <w:t>†</w:t>
            </w:r>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Amendment No. 1 to Director Agreement by and among Priority Holdings LLC, Pipeline Cynergy Holdings, LLC, Priority Payment Systems Holdings, LLC and Thomas C. Priore, dated April 19, 2018</w:t>
              </w:r>
            </w:hyperlink>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12">
              <w:r>
                <w:rPr>
                  <w:rFonts w:ascii="Times New Roman" w:cs="Times New Roman" w:eastAsia="Times New Roman" w:hAnsi="Times New Roman"/>
                  <w:sz w:val="12"/>
                  <w:szCs w:val="12"/>
                  <w:color w:val="0000FF"/>
                </w:rPr>
                <w:t>(incorporated by reference to Exhibit 10.7 to the Company's Registration Statement on Form S-4/A, filed December 26, 2018).</w:t>
              </w:r>
            </w:hyperlink>
          </w:p>
        </w:tc>
        <w:tc>
          <w:tcPr>
            <w:tcW w:w="0" w:type="dxa"/>
            <w:vAlign w:val="bottom"/>
          </w:tcPr>
          <w:p>
            <w:pPr>
              <w:spacing w:after="0"/>
              <w:rPr>
                <w:sz w:val="1"/>
                <w:szCs w:val="1"/>
                <w:color w:val="auto"/>
              </w:rPr>
            </w:pPr>
          </w:p>
        </w:tc>
      </w:tr>
      <w:tr>
        <w:trPr>
          <w:trHeight w:val="157"/>
        </w:trPr>
        <w:tc>
          <w:tcPr>
            <w:tcW w:w="220" w:type="dxa"/>
            <w:vAlign w:val="bottom"/>
            <w:shd w:val="clear" w:color="auto" w:fill="CCEEFF"/>
          </w:tcPr>
          <w:p>
            <w:pPr>
              <w:spacing w:after="0"/>
              <w:rPr>
                <w:rFonts w:ascii="Times New Roman" w:cs="Times New Roman" w:eastAsia="Times New Roman" w:hAnsi="Times New Roman"/>
                <w:sz w:val="12"/>
                <w:szCs w:val="12"/>
                <w:color w:val="0000FF"/>
                <w:w w:val="94"/>
              </w:rPr>
            </w:pPr>
            <w:hyperlink r:id="rId113">
              <w:r>
                <w:rPr>
                  <w:rFonts w:ascii="Times New Roman" w:cs="Times New Roman" w:eastAsia="Times New Roman" w:hAnsi="Times New Roman"/>
                  <w:sz w:val="12"/>
                  <w:szCs w:val="12"/>
                  <w:color w:val="0000FF"/>
                  <w:w w:val="94"/>
                </w:rPr>
                <w:t>10.6</w:t>
              </w:r>
            </w:hyperlink>
          </w:p>
        </w:tc>
        <w:tc>
          <w:tcPr>
            <w:tcW w:w="560" w:type="dxa"/>
            <w:vAlign w:val="bottom"/>
            <w:shd w:val="clear" w:color="auto" w:fill="CCEEFF"/>
          </w:tcPr>
          <w:p>
            <w:pPr>
              <w:spacing w:after="0"/>
              <w:rPr>
                <w:sz w:val="13"/>
                <w:szCs w:val="13"/>
                <w:color w:val="auto"/>
              </w:rPr>
            </w:pPr>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13">
              <w:r>
                <w:rPr>
                  <w:rFonts w:ascii="Times New Roman" w:cs="Times New Roman" w:eastAsia="Times New Roman" w:hAnsi="Times New Roman"/>
                  <w:sz w:val="12"/>
                  <w:szCs w:val="12"/>
                  <w:color w:val="0000FF"/>
                </w:rPr>
                <w:t>Form of Independent Director Agreement (incorporated by reference to Exhibit 10.19 to the Company's Annual Report on Form 10-K, filed March 29, 2019).</w:t>
              </w:r>
            </w:hyperlink>
          </w:p>
        </w:tc>
        <w:tc>
          <w:tcPr>
            <w:tcW w:w="0" w:type="dxa"/>
            <w:vAlign w:val="bottom"/>
          </w:tcPr>
          <w:p>
            <w:pPr>
              <w:spacing w:after="0"/>
              <w:rPr>
                <w:sz w:val="1"/>
                <w:szCs w:val="1"/>
                <w:color w:val="auto"/>
              </w:rPr>
            </w:pPr>
          </w:p>
        </w:tc>
      </w:tr>
      <w:tr>
        <w:trPr>
          <w:trHeight w:val="117"/>
        </w:trPr>
        <w:tc>
          <w:tcPr>
            <w:tcW w:w="220" w:type="dxa"/>
            <w:vAlign w:val="bottom"/>
          </w:tcPr>
          <w:p>
            <w:pPr>
              <w:spacing w:after="0" w:line="117" w:lineRule="exact"/>
              <w:rPr>
                <w:rFonts w:ascii="Times New Roman" w:cs="Times New Roman" w:eastAsia="Times New Roman" w:hAnsi="Times New Roman"/>
                <w:sz w:val="12"/>
                <w:szCs w:val="12"/>
                <w:color w:val="0000FF"/>
                <w:w w:val="94"/>
              </w:rPr>
            </w:pPr>
            <w:hyperlink r:id="rId114">
              <w:r>
                <w:rPr>
                  <w:rFonts w:ascii="Times New Roman" w:cs="Times New Roman" w:eastAsia="Times New Roman" w:hAnsi="Times New Roman"/>
                  <w:sz w:val="12"/>
                  <w:szCs w:val="12"/>
                  <w:color w:val="0000FF"/>
                  <w:w w:val="94"/>
                </w:rPr>
                <w:t>10.7</w:t>
              </w:r>
            </w:hyperlink>
          </w:p>
        </w:tc>
        <w:tc>
          <w:tcPr>
            <w:tcW w:w="560" w:type="dxa"/>
            <w:vAlign w:val="bottom"/>
          </w:tcPr>
          <w:p>
            <w:pPr>
              <w:spacing w:after="0"/>
              <w:rPr>
                <w:sz w:val="10"/>
                <w:szCs w:val="10"/>
                <w:color w:val="auto"/>
              </w:rPr>
            </w:pPr>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Asset Purchase Agreement by and between MRI Payments LLC, MRI Software LLC, and Priority Real Estate Technology LLC, dated August 31, 2020 (incorporated by reference to Exhibit 10.1 to the</w:t>
              </w:r>
            </w:hyperlink>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14">
              <w:r>
                <w:rPr>
                  <w:rFonts w:ascii="Times New Roman" w:cs="Times New Roman" w:eastAsia="Times New Roman" w:hAnsi="Times New Roman"/>
                  <w:sz w:val="12"/>
                  <w:szCs w:val="12"/>
                  <w:color w:val="0000FF"/>
                </w:rPr>
                <w:t>Company's Current Report on Form 8-K filed September 1, 2020).</w:t>
              </w:r>
            </w:hyperlink>
          </w:p>
        </w:tc>
        <w:tc>
          <w:tcPr>
            <w:tcW w:w="0" w:type="dxa"/>
            <w:vAlign w:val="bottom"/>
          </w:tcPr>
          <w:p>
            <w:pPr>
              <w:spacing w:after="0"/>
              <w:rPr>
                <w:sz w:val="1"/>
                <w:szCs w:val="1"/>
                <w:color w:val="auto"/>
              </w:rPr>
            </w:pPr>
          </w:p>
        </w:tc>
      </w:tr>
      <w:tr>
        <w:trPr>
          <w:trHeight w:val="157"/>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10.17</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15">
              <w:r>
                <w:rPr>
                  <w:rFonts w:ascii="Times New Roman" w:cs="Times New Roman" w:eastAsia="Times New Roman" w:hAnsi="Times New Roman"/>
                  <w:sz w:val="12"/>
                  <w:szCs w:val="12"/>
                  <w:color w:val="0000FF"/>
                </w:rPr>
                <w:t>Form Restricted Stock Unit Award Agreement.</w:t>
              </w:r>
            </w:hyperlink>
          </w:p>
        </w:tc>
        <w:tc>
          <w:tcPr>
            <w:tcW w:w="0" w:type="dxa"/>
            <w:vAlign w:val="bottom"/>
          </w:tcPr>
          <w:p>
            <w:pPr>
              <w:spacing w:after="0"/>
              <w:rPr>
                <w:sz w:val="1"/>
                <w:szCs w:val="1"/>
                <w:color w:val="auto"/>
              </w:rPr>
            </w:pPr>
          </w:p>
        </w:tc>
      </w:tr>
      <w:tr>
        <w:trPr>
          <w:trHeight w:val="153"/>
        </w:trPr>
        <w:tc>
          <w:tcPr>
            <w:tcW w:w="780" w:type="dxa"/>
            <w:vAlign w:val="bottom"/>
            <w:gridSpan w:val="2"/>
          </w:tcPr>
          <w:p>
            <w:pPr>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 xml:space="preserve">10.18 </w:t>
              </w:r>
            </w:hyperlink>
            <w:r>
              <w:rPr>
                <w:rFonts w:ascii="Arial" w:cs="Arial" w:eastAsia="Arial" w:hAnsi="Arial"/>
                <w:sz w:val="12"/>
                <w:szCs w:val="12"/>
                <w:color w:val="000000"/>
              </w:rPr>
              <w:t>†</w:t>
            </w:r>
          </w:p>
        </w:tc>
        <w:tc>
          <w:tcPr>
            <w:tcW w:w="10520" w:type="dxa"/>
            <w:vAlign w:val="bottom"/>
          </w:tcPr>
          <w:p>
            <w:pPr>
              <w:ind w:left="400"/>
              <w:spacing w:after="0"/>
              <w:rPr>
                <w:rFonts w:ascii="Times New Roman" w:cs="Times New Roman" w:eastAsia="Times New Roman" w:hAnsi="Times New Roman"/>
                <w:sz w:val="12"/>
                <w:szCs w:val="12"/>
                <w:color w:val="0000FF"/>
              </w:rPr>
            </w:pPr>
            <w:hyperlink r:id="rId116">
              <w:r>
                <w:rPr>
                  <w:rFonts w:ascii="Times New Roman" w:cs="Times New Roman" w:eastAsia="Times New Roman" w:hAnsi="Times New Roman"/>
                  <w:sz w:val="12"/>
                  <w:szCs w:val="12"/>
                  <w:color w:val="0000FF"/>
                </w:rPr>
                <w:t>Executive Employment Agreement between Priority Technology Holdings, Inc. and Tim O'Leary, dated September 19, 2022.</w:t>
              </w:r>
            </w:hyperlink>
          </w:p>
        </w:tc>
        <w:tc>
          <w:tcPr>
            <w:tcW w:w="0" w:type="dxa"/>
            <w:vAlign w:val="bottom"/>
          </w:tcPr>
          <w:p>
            <w:pPr>
              <w:spacing w:after="0"/>
              <w:rPr>
                <w:sz w:val="1"/>
                <w:szCs w:val="1"/>
                <w:color w:val="auto"/>
              </w:rPr>
            </w:pPr>
          </w:p>
        </w:tc>
      </w:tr>
      <w:tr>
        <w:trPr>
          <w:trHeight w:val="153"/>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10.19</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17">
              <w:r>
                <w:rPr>
                  <w:rFonts w:ascii="Times New Roman" w:cs="Times New Roman" w:eastAsia="Times New Roman" w:hAnsi="Times New Roman"/>
                  <w:sz w:val="12"/>
                  <w:szCs w:val="12"/>
                  <w:color w:val="0000FF"/>
                </w:rPr>
                <w:t>Priority Technology Holdings, Inc. Recoupment Policy adopted March 1, 2023</w:t>
              </w:r>
            </w:hyperlink>
          </w:p>
        </w:tc>
        <w:tc>
          <w:tcPr>
            <w:tcW w:w="0" w:type="dxa"/>
            <w:vAlign w:val="bottom"/>
          </w:tcPr>
          <w:p>
            <w:pPr>
              <w:spacing w:after="0"/>
              <w:rPr>
                <w:sz w:val="1"/>
                <w:szCs w:val="1"/>
                <w:color w:val="auto"/>
              </w:rPr>
            </w:pPr>
          </w:p>
        </w:tc>
      </w:tr>
      <w:tr>
        <w:trPr>
          <w:trHeight w:val="153"/>
        </w:trPr>
        <w:tc>
          <w:tcPr>
            <w:tcW w:w="780" w:type="dxa"/>
            <w:vAlign w:val="bottom"/>
            <w:gridSpan w:val="2"/>
          </w:tcPr>
          <w:p>
            <w:pPr>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10.20</w:t>
              </w:r>
            </w:hyperlink>
          </w:p>
        </w:tc>
        <w:tc>
          <w:tcPr>
            <w:tcW w:w="10520" w:type="dxa"/>
            <w:vAlign w:val="bottom"/>
          </w:tcPr>
          <w:p>
            <w:pPr>
              <w:ind w:left="400"/>
              <w:spacing w:after="0"/>
              <w:rPr>
                <w:rFonts w:ascii="Times New Roman" w:cs="Times New Roman" w:eastAsia="Times New Roman" w:hAnsi="Times New Roman"/>
                <w:sz w:val="12"/>
                <w:szCs w:val="12"/>
                <w:color w:val="0000FF"/>
              </w:rPr>
            </w:pPr>
            <w:hyperlink r:id="rId118">
              <w:r>
                <w:rPr>
                  <w:rFonts w:ascii="Times New Roman" w:cs="Times New Roman" w:eastAsia="Times New Roman" w:hAnsi="Times New Roman"/>
                  <w:sz w:val="12"/>
                  <w:szCs w:val="12"/>
                  <w:color w:val="0000FF"/>
                </w:rPr>
                <w:t>Amendment No. 1 to Equity and Asset Purchase Agreement, dated July 31, 2023, by and among Plastiq, Powered by Priority, LLC, Plastiq Inc., PLV Inc. and Nearside Business Corp.</w:t>
              </w:r>
            </w:hyperlink>
          </w:p>
        </w:tc>
        <w:tc>
          <w:tcPr>
            <w:tcW w:w="0" w:type="dxa"/>
            <w:vAlign w:val="bottom"/>
          </w:tcPr>
          <w:p>
            <w:pPr>
              <w:spacing w:after="0"/>
              <w:rPr>
                <w:sz w:val="1"/>
                <w:szCs w:val="1"/>
                <w:color w:val="auto"/>
              </w:rPr>
            </w:pPr>
          </w:p>
        </w:tc>
      </w:tr>
      <w:tr>
        <w:trPr>
          <w:trHeight w:val="117"/>
        </w:trPr>
        <w:tc>
          <w:tcPr>
            <w:tcW w:w="780" w:type="dxa"/>
            <w:vAlign w:val="bottom"/>
            <w:gridSpan w:val="2"/>
            <w:shd w:val="clear" w:color="auto" w:fill="CCEEFF"/>
          </w:tcPr>
          <w:p>
            <w:pPr>
              <w:spacing w:after="0" w:line="117" w:lineRule="exact"/>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10.25</w:t>
              </w:r>
            </w:hyperlink>
          </w:p>
        </w:tc>
        <w:tc>
          <w:tcPr>
            <w:tcW w:w="10520" w:type="dxa"/>
            <w:vAlign w:val="bottom"/>
            <w:shd w:val="clear" w:color="auto" w:fill="CCEEFF"/>
          </w:tcPr>
          <w:p>
            <w:pPr>
              <w:ind w:left="400"/>
              <w:spacing w:after="0" w:line="117" w:lineRule="exact"/>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Credit and Guaranty Agreement, dated as of May 16, 2024, by and among Priority Holdings, LLC, as the Initial Borrower, the Credit Parties party thereto, the Lenders party thereto and Truist Bank, as</w:t>
              </w:r>
            </w:hyperlink>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19">
              <w:r>
                <w:rPr>
                  <w:rFonts w:ascii="Times New Roman" w:cs="Times New Roman" w:eastAsia="Times New Roman" w:hAnsi="Times New Roman"/>
                  <w:sz w:val="12"/>
                  <w:szCs w:val="12"/>
                  <w:color w:val="0000FF"/>
                </w:rPr>
                <w:t>Administrative Agent and Collateral Agent.</w:t>
              </w:r>
            </w:hyperlink>
          </w:p>
        </w:tc>
        <w:tc>
          <w:tcPr>
            <w:tcW w:w="0" w:type="dxa"/>
            <w:vAlign w:val="bottom"/>
          </w:tcPr>
          <w:p>
            <w:pPr>
              <w:spacing w:after="0"/>
              <w:rPr>
                <w:sz w:val="1"/>
                <w:szCs w:val="1"/>
                <w:color w:val="auto"/>
              </w:rPr>
            </w:pPr>
          </w:p>
        </w:tc>
      </w:tr>
      <w:tr>
        <w:trPr>
          <w:trHeight w:val="117"/>
        </w:trPr>
        <w:tc>
          <w:tcPr>
            <w:tcW w:w="780" w:type="dxa"/>
            <w:vAlign w:val="bottom"/>
            <w:gridSpan w:val="2"/>
          </w:tcPr>
          <w:p>
            <w:pPr>
              <w:spacing w:after="0" w:line="117" w:lineRule="exact"/>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10.26</w:t>
              </w:r>
            </w:hyperlink>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Amendment No. 1 to the Credit and Guaranty Agreement, dated as of November 21, 2024, by and among Priority Holdings, LLC, as the Initial Borrower, the Credit Parties party thereto, the 2024-1 Incremental</w:t>
              </w:r>
            </w:hyperlink>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20">
              <w:r>
                <w:rPr>
                  <w:rFonts w:ascii="Times New Roman" w:cs="Times New Roman" w:eastAsia="Times New Roman" w:hAnsi="Times New Roman"/>
                  <w:sz w:val="12"/>
                  <w:szCs w:val="12"/>
                  <w:color w:val="0000FF"/>
                </w:rPr>
                <w:t>Term Lenders and Truist Bank, as Administrative Agent and Collateral Agent.</w:t>
              </w:r>
            </w:hyperlink>
          </w:p>
        </w:tc>
        <w:tc>
          <w:tcPr>
            <w:tcW w:w="0" w:type="dxa"/>
            <w:vAlign w:val="bottom"/>
          </w:tcPr>
          <w:p>
            <w:pPr>
              <w:spacing w:after="0"/>
              <w:rPr>
                <w:sz w:val="1"/>
                <w:szCs w:val="1"/>
                <w:color w:val="auto"/>
              </w:rPr>
            </w:pPr>
          </w:p>
        </w:tc>
      </w:tr>
      <w:tr>
        <w:trPr>
          <w:trHeight w:val="157"/>
        </w:trPr>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0000FF"/>
              </w:rPr>
              <w:t>10.27</w:t>
            </w:r>
          </w:p>
        </w:tc>
        <w:tc>
          <w:tcPr>
            <w:tcW w:w="10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0000FF"/>
              </w:rPr>
              <w:t>Share Purchase Agreement by and between Ayrshire Developments Corp., Priority Canada Acquisition Company, Inc., and Priority Technology Holdings, Inc., dated January 21, 2025.</w:t>
            </w:r>
          </w:p>
        </w:tc>
        <w:tc>
          <w:tcPr>
            <w:tcW w:w="0" w:type="dxa"/>
            <w:vAlign w:val="bottom"/>
          </w:tcPr>
          <w:p>
            <w:pPr>
              <w:spacing w:after="0"/>
              <w:rPr>
                <w:sz w:val="1"/>
                <w:szCs w:val="1"/>
                <w:color w:val="auto"/>
              </w:rPr>
            </w:pPr>
          </w:p>
        </w:tc>
      </w:tr>
      <w:tr>
        <w:trPr>
          <w:trHeight w:val="117"/>
        </w:trPr>
        <w:tc>
          <w:tcPr>
            <w:tcW w:w="780" w:type="dxa"/>
            <w:vAlign w:val="bottom"/>
            <w:gridSpan w:val="2"/>
          </w:tcPr>
          <w:p>
            <w:pPr>
              <w:spacing w:after="0" w:line="117"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10.28</w:t>
              </w:r>
            </w:hyperlink>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Amendment No. 2 to the Credit and Guaranty Agreement, dated as of July 31, 2025, by and among Priority Holdings, LLC, as the Borrower Representative, the Credit Parties party thereto, each of the Lenders</w:t>
              </w:r>
            </w:hyperlink>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520" w:type="dxa"/>
            <w:vAlign w:val="bottom"/>
          </w:tcPr>
          <w:p>
            <w:pPr>
              <w:ind w:left="400"/>
              <w:spacing w:after="0" w:line="124" w:lineRule="exact"/>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party thereto, each 2025-1 Converting Lender party thereto, each 2025-1 Incremental Revolving Credit Lender party thereto, each New 2025-1 Refinancing Term Lender party thereto and Truist Bank, as</w:t>
              </w:r>
            </w:hyperlink>
          </w:p>
        </w:tc>
        <w:tc>
          <w:tcPr>
            <w:tcW w:w="0" w:type="dxa"/>
            <w:vAlign w:val="bottom"/>
          </w:tcPr>
          <w:p>
            <w:pPr>
              <w:spacing w:after="0"/>
              <w:rPr>
                <w:sz w:val="1"/>
                <w:szCs w:val="1"/>
                <w:color w:val="auto"/>
              </w:rPr>
            </w:pPr>
          </w:p>
        </w:tc>
      </w:tr>
      <w:tr>
        <w:trPr>
          <w:trHeight w:val="155"/>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21">
              <w:r>
                <w:rPr>
                  <w:rFonts w:ascii="Times New Roman" w:cs="Times New Roman" w:eastAsia="Times New Roman" w:hAnsi="Times New Roman"/>
                  <w:sz w:val="12"/>
                  <w:szCs w:val="12"/>
                  <w:color w:val="0000FF"/>
                </w:rPr>
                <w:t>administrative agent and collateral agent, as the Designated 2025 Fronting Lender and as the 2025-1 Incremental Term Lender.</w:t>
              </w:r>
            </w:hyperlink>
          </w:p>
        </w:tc>
        <w:tc>
          <w:tcPr>
            <w:tcW w:w="0" w:type="dxa"/>
            <w:vAlign w:val="bottom"/>
          </w:tcPr>
          <w:p>
            <w:pPr>
              <w:spacing w:after="0"/>
              <w:rPr>
                <w:sz w:val="1"/>
                <w:szCs w:val="1"/>
                <w:color w:val="auto"/>
              </w:rPr>
            </w:pPr>
          </w:p>
        </w:tc>
      </w:tr>
      <w:tr>
        <w:trPr>
          <w:trHeight w:val="117"/>
        </w:trPr>
        <w:tc>
          <w:tcPr>
            <w:tcW w:w="780" w:type="dxa"/>
            <w:vAlign w:val="bottom"/>
            <w:gridSpan w:val="2"/>
            <w:shd w:val="clear" w:color="auto" w:fill="CCEEFF"/>
          </w:tcPr>
          <w:p>
            <w:pPr>
              <w:spacing w:after="0" w:line="117"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10.29</w:t>
              </w:r>
            </w:hyperlink>
          </w:p>
        </w:tc>
        <w:tc>
          <w:tcPr>
            <w:tcW w:w="10520" w:type="dxa"/>
            <w:vAlign w:val="bottom"/>
            <w:shd w:val="clear" w:color="auto" w:fill="CCEEFF"/>
          </w:tcPr>
          <w:p>
            <w:pPr>
              <w:ind w:left="400"/>
              <w:spacing w:after="0" w:line="117" w:lineRule="exact"/>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Credit Agreement, dated as of August 18, 2025, by and among Priority Finance SPV, LLC, as Borrower, Priority Residual Finance, LLC, as Holdings, Priority Holdings, LLC, as Servicer, the Lenders party</w:t>
              </w:r>
            </w:hyperlink>
          </w:p>
        </w:tc>
        <w:tc>
          <w:tcPr>
            <w:tcW w:w="0" w:type="dxa"/>
            <w:vAlign w:val="bottom"/>
          </w:tcPr>
          <w:p>
            <w:pPr>
              <w:spacing w:after="0"/>
              <w:rPr>
                <w:sz w:val="1"/>
                <w:szCs w:val="1"/>
                <w:color w:val="auto"/>
              </w:rPr>
            </w:pPr>
          </w:p>
        </w:tc>
      </w:tr>
      <w:tr>
        <w:trPr>
          <w:trHeight w:val="162"/>
        </w:trPr>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22">
              <w:r>
                <w:rPr>
                  <w:rFonts w:ascii="Times New Roman" w:cs="Times New Roman" w:eastAsia="Times New Roman" w:hAnsi="Times New Roman"/>
                  <w:sz w:val="12"/>
                  <w:szCs w:val="12"/>
                  <w:color w:val="0000FF"/>
                </w:rPr>
                <w:t>thereto and VP Capital, L.P., as Administrative Agent and Collateral Agent.</w:t>
              </w:r>
            </w:hyperlink>
          </w:p>
        </w:tc>
        <w:tc>
          <w:tcPr>
            <w:tcW w:w="0" w:type="dxa"/>
            <w:vAlign w:val="bottom"/>
          </w:tcPr>
          <w:p>
            <w:pPr>
              <w:spacing w:after="0"/>
              <w:rPr>
                <w:sz w:val="1"/>
                <w:szCs w:val="1"/>
                <w:color w:val="auto"/>
              </w:rPr>
            </w:pPr>
          </w:p>
        </w:tc>
      </w:tr>
      <w:tr>
        <w:trPr>
          <w:trHeight w:val="153"/>
        </w:trPr>
        <w:tc>
          <w:tcPr>
            <w:tcW w:w="780" w:type="dxa"/>
            <w:vAlign w:val="bottom"/>
            <w:gridSpan w:val="2"/>
          </w:tcPr>
          <w:p>
            <w:pPr>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10.30</w:t>
              </w:r>
            </w:hyperlink>
          </w:p>
        </w:tc>
        <w:tc>
          <w:tcPr>
            <w:tcW w:w="10520" w:type="dxa"/>
            <w:vAlign w:val="bottom"/>
          </w:tcPr>
          <w:p>
            <w:pPr>
              <w:ind w:left="400"/>
              <w:spacing w:after="0"/>
              <w:rPr>
                <w:rFonts w:ascii="Times New Roman" w:cs="Times New Roman" w:eastAsia="Times New Roman" w:hAnsi="Times New Roman"/>
                <w:sz w:val="12"/>
                <w:szCs w:val="12"/>
                <w:color w:val="0000FF"/>
              </w:rPr>
            </w:pPr>
            <w:hyperlink r:id="rId123">
              <w:r>
                <w:rPr>
                  <w:rFonts w:ascii="Times New Roman" w:cs="Times New Roman" w:eastAsia="Times New Roman" w:hAnsi="Times New Roman"/>
                  <w:sz w:val="12"/>
                  <w:szCs w:val="12"/>
                  <w:color w:val="0000FF"/>
                </w:rPr>
                <w:t>Sale Agreement, dated as of August 18, 2025, by and among Priority Holdings, LLC, as Priority Originator and Servicer, Priority Payment Systems LLC, as PPS Originator and Priority Finance SPV, LLC.</w:t>
              </w:r>
            </w:hyperlink>
          </w:p>
        </w:tc>
        <w:tc>
          <w:tcPr>
            <w:tcW w:w="0" w:type="dxa"/>
            <w:vAlign w:val="bottom"/>
          </w:tcPr>
          <w:p>
            <w:pPr>
              <w:spacing w:after="0"/>
              <w:rPr>
                <w:sz w:val="1"/>
                <w:szCs w:val="1"/>
                <w:color w:val="auto"/>
              </w:rPr>
            </w:pPr>
          </w:p>
        </w:tc>
      </w:tr>
      <w:tr>
        <w:trPr>
          <w:trHeight w:val="153"/>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10.31</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24">
              <w:r>
                <w:rPr>
                  <w:rFonts w:ascii="Times New Roman" w:cs="Times New Roman" w:eastAsia="Times New Roman" w:hAnsi="Times New Roman"/>
                  <w:sz w:val="12"/>
                  <w:szCs w:val="12"/>
                  <w:color w:val="0000FF"/>
                </w:rPr>
                <w:t>Servicing Agreement, dated as of August 18, 2025, by and between Priority Finance SPV, LLC, as Borrower and Priority Holdings, LLC, as Servicer.</w:t>
              </w:r>
            </w:hyperlink>
          </w:p>
        </w:tc>
        <w:tc>
          <w:tcPr>
            <w:tcW w:w="0" w:type="dxa"/>
            <w:vAlign w:val="bottom"/>
          </w:tcPr>
          <w:p>
            <w:pPr>
              <w:spacing w:after="0"/>
              <w:rPr>
                <w:sz w:val="1"/>
                <w:szCs w:val="1"/>
                <w:color w:val="auto"/>
              </w:rPr>
            </w:pPr>
          </w:p>
        </w:tc>
      </w:tr>
      <w:tr>
        <w:trPr>
          <w:trHeight w:val="117"/>
        </w:trPr>
        <w:tc>
          <w:tcPr>
            <w:tcW w:w="780" w:type="dxa"/>
            <w:vAlign w:val="bottom"/>
            <w:gridSpan w:val="2"/>
          </w:tcPr>
          <w:p>
            <w:pPr>
              <w:spacing w:after="0" w:line="117" w:lineRule="exact"/>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10.32</w:t>
              </w:r>
            </w:hyperlink>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Asset Purchase Agreement, dated as of August 18, 2025, by and between Priority Boom, LLC as buyer and Eventus Holdings, LLC, Riverside Management, LLC, and National Payment Systems, LLC, as</w:t>
              </w:r>
            </w:hyperlink>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25">
              <w:r>
                <w:rPr>
                  <w:rFonts w:ascii="Times New Roman" w:cs="Times New Roman" w:eastAsia="Times New Roman" w:hAnsi="Times New Roman"/>
                  <w:sz w:val="12"/>
                  <w:szCs w:val="12"/>
                  <w:color w:val="0000FF"/>
                </w:rPr>
                <w:t>sellers.</w:t>
              </w:r>
            </w:hyperlink>
          </w:p>
        </w:tc>
        <w:tc>
          <w:tcPr>
            <w:tcW w:w="0" w:type="dxa"/>
            <w:vAlign w:val="bottom"/>
          </w:tcPr>
          <w:p>
            <w:pPr>
              <w:spacing w:after="0"/>
              <w:rPr>
                <w:sz w:val="1"/>
                <w:szCs w:val="1"/>
                <w:color w:val="auto"/>
              </w:rPr>
            </w:pPr>
          </w:p>
        </w:tc>
      </w:tr>
      <w:tr>
        <w:trPr>
          <w:trHeight w:val="157"/>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10.33</w:t>
              </w:r>
            </w:hyperlink>
          </w:p>
        </w:tc>
        <w:tc>
          <w:tcPr>
            <w:tcW w:w="10520" w:type="dxa"/>
            <w:vAlign w:val="bottom"/>
            <w:shd w:val="clear" w:color="auto" w:fill="CCEEFF"/>
          </w:tcPr>
          <w:p>
            <w:pPr>
              <w:ind w:left="400"/>
              <w:spacing w:after="0"/>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Asset Purchase Agreement, dated October 1, 2025, by and between Priority DMS, LLC as buyer and DMSJV, LLC as seller.</w:t>
              </w:r>
            </w:hyperlink>
          </w:p>
        </w:tc>
        <w:tc>
          <w:tcPr>
            <w:tcW w:w="0" w:type="dxa"/>
            <w:vAlign w:val="bottom"/>
          </w:tcPr>
          <w:p>
            <w:pPr>
              <w:spacing w:after="0"/>
              <w:rPr>
                <w:sz w:val="1"/>
                <w:szCs w:val="1"/>
                <w:color w:val="auto"/>
              </w:rPr>
            </w:pPr>
          </w:p>
        </w:tc>
      </w:tr>
      <w:tr>
        <w:trPr>
          <w:trHeight w:val="117"/>
        </w:trPr>
        <w:tc>
          <w:tcPr>
            <w:tcW w:w="780" w:type="dxa"/>
            <w:vAlign w:val="bottom"/>
            <w:gridSpan w:val="2"/>
          </w:tcPr>
          <w:p>
            <w:pPr>
              <w:spacing w:after="0" w:line="117"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10.34</w:t>
              </w:r>
            </w:hyperlink>
          </w:p>
        </w:tc>
        <w:tc>
          <w:tcPr>
            <w:tcW w:w="10520" w:type="dxa"/>
            <w:vAlign w:val="bottom"/>
          </w:tcPr>
          <w:p>
            <w:pPr>
              <w:ind w:left="400"/>
              <w:spacing w:after="0" w:line="117" w:lineRule="exact"/>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Amendment No. 3 to the Credit and Guaranty Agreement, dated as of October 1, 2025, by and among Priority Holdings, LLC, as the sole Borrower Representative under the Credit Agreement, the other Credit</w:t>
              </w:r>
            </w:hyperlink>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520" w:type="dxa"/>
            <w:vAlign w:val="bottom"/>
          </w:tcPr>
          <w:p>
            <w:pPr>
              <w:ind w:left="400"/>
              <w:spacing w:after="0"/>
              <w:rPr>
                <w:rFonts w:ascii="Times New Roman" w:cs="Times New Roman" w:eastAsia="Times New Roman" w:hAnsi="Times New Roman"/>
                <w:sz w:val="12"/>
                <w:szCs w:val="12"/>
                <w:color w:val="0000FF"/>
              </w:rPr>
            </w:pPr>
            <w:hyperlink r:id="rId127">
              <w:r>
                <w:rPr>
                  <w:rFonts w:ascii="Times New Roman" w:cs="Times New Roman" w:eastAsia="Times New Roman" w:hAnsi="Times New Roman"/>
                  <w:sz w:val="12"/>
                  <w:szCs w:val="12"/>
                  <w:color w:val="0000FF"/>
                </w:rPr>
                <w:t>Parties thereto, the 2025-2 Incremental Term Lender and Truist Bank, as Administrative Agent and Collateral Agent.</w:t>
              </w:r>
            </w:hyperlink>
          </w:p>
        </w:tc>
        <w:tc>
          <w:tcPr>
            <w:tcW w:w="0" w:type="dxa"/>
            <w:vAlign w:val="bottom"/>
          </w:tcPr>
          <w:p>
            <w:pPr>
              <w:spacing w:after="0"/>
              <w:rPr>
                <w:sz w:val="1"/>
                <w:szCs w:val="1"/>
                <w:color w:val="auto"/>
              </w:rPr>
            </w:pPr>
          </w:p>
        </w:tc>
      </w:tr>
      <w:tr>
        <w:trPr>
          <w:trHeight w:val="158"/>
        </w:trPr>
        <w:tc>
          <w:tcPr>
            <w:tcW w:w="780" w:type="dxa"/>
            <w:vAlign w:val="bottom"/>
            <w:gridSpan w:val="2"/>
            <w:shd w:val="clear" w:color="auto" w:fill="CCEEFF"/>
          </w:tcPr>
          <w:p>
            <w:pPr>
              <w:spacing w:after="0"/>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10.35</w:t>
              </w:r>
            </w:hyperlink>
          </w:p>
        </w:tc>
        <w:tc>
          <w:tcPr>
            <w:tcW w:w="10520" w:type="dxa"/>
            <w:vAlign w:val="bottom"/>
            <w:vMerge w:val="restart"/>
            <w:shd w:val="clear" w:color="auto" w:fill="CCEEFF"/>
          </w:tcPr>
          <w:p>
            <w:pPr>
              <w:ind w:left="400"/>
              <w:spacing w:after="0"/>
              <w:rPr>
                <w:rFonts w:ascii="Times New Roman" w:cs="Times New Roman" w:eastAsia="Times New Roman" w:hAnsi="Times New Roman"/>
                <w:sz w:val="12"/>
                <w:szCs w:val="12"/>
                <w:color w:val="0000FF"/>
              </w:rPr>
            </w:pPr>
            <w:hyperlink r:id="rId128">
              <w:r>
                <w:rPr>
                  <w:rFonts w:ascii="Times New Roman" w:cs="Times New Roman" w:eastAsia="Times New Roman" w:hAnsi="Times New Roman"/>
                  <w:sz w:val="12"/>
                  <w:szCs w:val="12"/>
                  <w:color w:val="0000FF"/>
                </w:rPr>
                <w:t>Membership Interest Purchase Agreement by and between Priority Payment Systems LLC, as Buyer and Convenient Payments Acquisition Subsidiary, LLC, as Seller, dated August 25, 2026</w:t>
              </w:r>
            </w:hyperlink>
          </w:p>
        </w:tc>
        <w:tc>
          <w:tcPr>
            <w:tcW w:w="0" w:type="dxa"/>
            <w:vAlign w:val="bottom"/>
          </w:tcPr>
          <w:p>
            <w:pPr>
              <w:spacing w:after="0"/>
              <w:rPr>
                <w:sz w:val="1"/>
                <w:szCs w:val="1"/>
                <w:color w:val="auto"/>
              </w:rPr>
            </w:pPr>
          </w:p>
        </w:tc>
      </w:tr>
      <w:tr>
        <w:trPr>
          <w:trHeight w:val="124"/>
        </w:trPr>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5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5"/>
              </w:rPr>
              <w:t>21.1</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52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Subsidiaries</w:t>
            </w:r>
          </w:p>
        </w:tc>
        <w:tc>
          <w:tcPr>
            <w:tcW w:w="0" w:type="dxa"/>
            <w:vAlign w:val="bottom"/>
          </w:tcPr>
          <w:p>
            <w:pPr>
              <w:spacing w:after="0"/>
              <w:rPr>
                <w:sz w:val="1"/>
                <w:szCs w:val="1"/>
                <w:color w:val="auto"/>
              </w:rPr>
            </w:pPr>
          </w:p>
        </w:tc>
      </w:tr>
      <w:tr>
        <w:trPr>
          <w:trHeight w:val="153"/>
        </w:trPr>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w w:val="95"/>
              </w:rPr>
              <w:t>31.1</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0000FF"/>
              </w:rPr>
              <w:t>Certification of Chief Executive Officer pursuant to Rule 13a-14 and Rule 15d-14(a), promulgated under the Securities and Exchange Act of 1934, as amended.</w:t>
            </w:r>
          </w:p>
        </w:tc>
        <w:tc>
          <w:tcPr>
            <w:tcW w:w="0" w:type="dxa"/>
            <w:vAlign w:val="bottom"/>
          </w:tcPr>
          <w:p>
            <w:pPr>
              <w:spacing w:after="0"/>
              <w:rPr>
                <w:sz w:val="1"/>
                <w:szCs w:val="1"/>
                <w:color w:val="auto"/>
              </w:rPr>
            </w:pPr>
          </w:p>
        </w:tc>
      </w:tr>
      <w:tr>
        <w:trPr>
          <w:trHeight w:val="155"/>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0000FF"/>
                <w:w w:val="95"/>
              </w:rPr>
              <w:t>31.2</w:t>
            </w:r>
          </w:p>
        </w:tc>
        <w:tc>
          <w:tcPr>
            <w:tcW w:w="5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w:t>
            </w:r>
          </w:p>
        </w:tc>
        <w:tc>
          <w:tcPr>
            <w:tcW w:w="1052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Certification of Chief Financial Officer pursuant to Rule 13a-14 and Rule 15d-14(a), promulgated under the Securities and Exchange Act of 1934, as amended.</w:t>
            </w:r>
          </w:p>
        </w:tc>
        <w:tc>
          <w:tcPr>
            <w:tcW w:w="0" w:type="dxa"/>
            <w:vAlign w:val="bottom"/>
          </w:tcPr>
          <w:p>
            <w:pPr>
              <w:spacing w:after="0"/>
              <w:rPr>
                <w:sz w:val="1"/>
                <w:szCs w:val="1"/>
                <w:color w:val="auto"/>
              </w:rPr>
            </w:pPr>
          </w:p>
        </w:tc>
      </w:tr>
      <w:tr>
        <w:trPr>
          <w:trHeight w:val="817"/>
        </w:trPr>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52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216"/>
        </w:trPr>
        <w:tc>
          <w:tcPr>
            <w:tcW w:w="2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8" w:right="299" w:bottom="1440" w:gutter="0" w:footer="0" w:header="0"/>
        </w:sectPr>
      </w:pPr>
    </w:p>
    <w:bookmarkStart w:id="51" w:name="page52"/>
    <w:bookmarkEnd w:id="51"/>
    <w:tbl>
      <w:tblPr>
        <w:tblLayout w:type="fixed"/>
        <w:tblInd w:w="8" w:type="dxa"/>
        <w:tblCellMar>
          <w:top w:w="0" w:type="dxa"/>
          <w:left w:w="0" w:type="dxa"/>
          <w:bottom w:w="0" w:type="dxa"/>
          <w:right w:w="0" w:type="dxa"/>
        </w:tblCellMar>
      </w:tblP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0000FF"/>
              </w:rPr>
              <w:t>32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0000FF"/>
              </w:rPr>
              <w:t>Certification of Chief Executive Officer and Chief Financial Officer pursuant to 18 U.S.C. Section 1350, as adopted pursuant to Section 906 of the Sarbanes-Oxley Act of 2002.</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101.INS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Instance Document - the instance document does not appear in the Interactive Data File because its XBRL tags are embedded within the Inline XBRL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101.SCH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101.CAL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101.LAB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153"/>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101.PRE *</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r>
        <w:trPr>
          <w:trHeight w:val="15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101.DEF *</w:t>
            </w:r>
          </w:p>
        </w:tc>
        <w:tc>
          <w:tcPr>
            <w:tcW w:w="10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155"/>
        </w:trPr>
        <w:tc>
          <w:tcPr>
            <w:tcW w:w="8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44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Filed herewith.</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 Furnished herewith.</w:t>
      </w:r>
    </w:p>
    <w:p>
      <w:pPr>
        <w:spacing w:after="0" w:line="150" w:lineRule="exact"/>
        <w:rPr>
          <w:sz w:val="20"/>
          <w:szCs w:val="20"/>
          <w:color w:val="auto"/>
        </w:rPr>
      </w:pPr>
    </w:p>
    <w:p>
      <w:pPr>
        <w:ind w:left="88" w:hanging="88"/>
        <w:spacing w:after="0"/>
        <w:tabs>
          <w:tab w:leader="none" w:pos="88" w:val="left"/>
        </w:tabs>
        <w:numPr>
          <w:ilvl w:val="0"/>
          <w:numId w:val="45"/>
        </w:numPr>
        <w:rPr>
          <w:rFonts w:ascii="Arial" w:cs="Arial" w:eastAsia="Arial" w:hAnsi="Arial"/>
          <w:sz w:val="12"/>
          <w:szCs w:val="12"/>
          <w:color w:val="auto"/>
        </w:rPr>
      </w:pPr>
      <w:r>
        <w:rPr>
          <w:rFonts w:ascii="Times New Roman" w:cs="Times New Roman" w:eastAsia="Times New Roman" w:hAnsi="Times New Roman"/>
          <w:sz w:val="12"/>
          <w:szCs w:val="12"/>
          <w:color w:val="auto"/>
        </w:rPr>
        <w:t>Indicates exhibits that constitute management contracts or compensation plans or arrangements.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17" w:lineRule="exact"/>
        <w:rPr>
          <w:rFonts w:ascii="Arial" w:cs="Arial" w:eastAsia="Arial" w:hAnsi="Arial"/>
          <w:sz w:val="12"/>
          <w:szCs w:val="12"/>
          <w:color w:val="auto"/>
        </w:rPr>
      </w:pPr>
    </w:p>
    <w:p>
      <w:pPr>
        <w:ind w:left="3028"/>
        <w:spacing w:after="0"/>
        <w:rPr>
          <w:rFonts w:ascii="Arial" w:cs="Arial" w:eastAsia="Arial" w:hAnsi="Arial"/>
          <w:sz w:val="12"/>
          <w:szCs w:val="12"/>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58" w:right="299" w:bottom="1440" w:gutter="0" w:footer="0" w:header="0"/>
        </w:sectPr>
      </w:pPr>
    </w:p>
    <w:bookmarkStart w:id="52" w:name="page53"/>
    <w:bookmarkEnd w:id="52"/>
    <w:p>
      <w:pPr>
        <w:ind w:left="52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60" w:type="dxa"/>
            <w:vAlign w:val="bottom"/>
          </w:tcPr>
          <w:p>
            <w:pPr>
              <w:spacing w:after="0"/>
              <w:rPr>
                <w:sz w:val="13"/>
                <w:szCs w:val="13"/>
                <w:color w:val="auto"/>
              </w:rPr>
            </w:pPr>
          </w:p>
        </w:tc>
        <w:tc>
          <w:tcPr>
            <w:tcW w:w="5380" w:type="dxa"/>
            <w:vAlign w:val="bottom"/>
            <w:gridSpan w:val="4"/>
          </w:tcPr>
          <w:p>
            <w:pPr>
              <w:ind w:left="1980"/>
              <w:spacing w:after="0"/>
              <w:rPr>
                <w:sz w:val="20"/>
                <w:szCs w:val="20"/>
                <w:color w:val="auto"/>
              </w:rPr>
            </w:pPr>
            <w:r>
              <w:rPr>
                <w:rFonts w:ascii="Times New Roman" w:cs="Times New Roman" w:eastAsia="Times New Roman" w:hAnsi="Times New Roman"/>
                <w:sz w:val="12"/>
                <w:szCs w:val="12"/>
                <w:color w:val="auto"/>
              </w:rPr>
              <w:t>PRIORITY TECHNOLOGY HOLDINGS, INC.</w:t>
            </w:r>
          </w:p>
        </w:tc>
      </w:tr>
      <w:tr>
        <w:trPr>
          <w:trHeight w:val="387"/>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5, 2026</w:t>
            </w:r>
          </w:p>
        </w:tc>
        <w:tc>
          <w:tcPr>
            <w:tcW w:w="3020" w:type="dxa"/>
            <w:vAlign w:val="bottom"/>
          </w:tcPr>
          <w:p>
            <w:pPr>
              <w:spacing w:after="0"/>
              <w:rPr>
                <w:sz w:val="24"/>
                <w:szCs w:val="24"/>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980" w:type="dxa"/>
            <w:vAlign w:val="bottom"/>
            <w:tcBorders>
              <w:top w:val="single" w:sz="8" w:color="auto"/>
            </w:tcBorders>
          </w:tcPr>
          <w:p>
            <w:pPr>
              <w:spacing w:after="0" w:line="93" w:lineRule="exact"/>
              <w:rPr>
                <w:sz w:val="20"/>
                <w:szCs w:val="20"/>
                <w:color w:val="auto"/>
              </w:rPr>
            </w:pPr>
            <w:r>
              <w:rPr>
                <w:rFonts w:ascii="Times New Roman" w:cs="Times New Roman" w:eastAsia="Times New Roman" w:hAnsi="Times New Roman"/>
                <w:sz w:val="10"/>
                <w:szCs w:val="10"/>
                <w:color w:val="auto"/>
              </w:rPr>
              <w:t>Thomas C. Priore</w:t>
            </w:r>
          </w:p>
        </w:tc>
        <w:tc>
          <w:tcPr>
            <w:tcW w:w="14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w w:val="98"/>
              </w:rPr>
              <w:t>President, Chief Executive Officer and Chairman</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tc>
      </w:tr>
      <w:tr>
        <w:trPr>
          <w:trHeight w:val="221"/>
        </w:trPr>
        <w:tc>
          <w:tcPr>
            <w:tcW w:w="2860" w:type="dxa"/>
            <w:vAlign w:val="bottom"/>
          </w:tcPr>
          <w:p>
            <w:pPr>
              <w:spacing w:after="0"/>
              <w:rPr>
                <w:sz w:val="20"/>
                <w:szCs w:val="20"/>
                <w:color w:val="auto"/>
              </w:rPr>
            </w:pPr>
            <w:r>
              <w:rPr>
                <w:rFonts w:ascii="Times New Roman" w:cs="Times New Roman" w:eastAsia="Times New Roman" w:hAnsi="Times New Roman"/>
                <w:sz w:val="12"/>
                <w:szCs w:val="12"/>
                <w:color w:val="auto"/>
              </w:rPr>
              <w:t>November 5, 2026</w:t>
            </w:r>
          </w:p>
        </w:tc>
        <w:tc>
          <w:tcPr>
            <w:tcW w:w="3020" w:type="dxa"/>
            <w:vAlign w:val="bottom"/>
          </w:tcPr>
          <w:p>
            <w:pPr>
              <w:spacing w:after="0"/>
              <w:rPr>
                <w:sz w:val="19"/>
                <w:szCs w:val="19"/>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 Timothy M. O'Leary</w:t>
            </w:r>
          </w:p>
        </w:tc>
      </w:tr>
      <w:tr>
        <w:trPr>
          <w:trHeight w:val="93"/>
        </w:trPr>
        <w:tc>
          <w:tcPr>
            <w:tcW w:w="28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20" w:type="dxa"/>
            <w:vAlign w:val="bottom"/>
            <w:tcBorders>
              <w:top w:val="single" w:sz="8" w:color="auto"/>
            </w:tcBorders>
            <w:gridSpan w:val="2"/>
          </w:tcPr>
          <w:p>
            <w:pPr>
              <w:spacing w:after="0" w:line="93" w:lineRule="exact"/>
              <w:rPr>
                <w:sz w:val="20"/>
                <w:szCs w:val="20"/>
                <w:color w:val="auto"/>
              </w:rPr>
            </w:pPr>
            <w:r>
              <w:rPr>
                <w:rFonts w:ascii="Times New Roman" w:cs="Times New Roman" w:eastAsia="Times New Roman" w:hAnsi="Times New Roman"/>
                <w:sz w:val="10"/>
                <w:szCs w:val="10"/>
                <w:color w:val="auto"/>
              </w:rPr>
              <w:t>Timothy M. O'Leary</w:t>
            </w:r>
          </w:p>
        </w:tc>
        <w:tc>
          <w:tcPr>
            <w:tcW w:w="1240" w:type="dxa"/>
            <w:vAlign w:val="bottom"/>
          </w:tcPr>
          <w:p>
            <w:pPr>
              <w:spacing w:after="0"/>
              <w:rPr>
                <w:sz w:val="8"/>
                <w:szCs w:val="8"/>
                <w:color w:val="auto"/>
              </w:rPr>
            </w:pPr>
          </w:p>
        </w:tc>
      </w:tr>
      <w:tr>
        <w:trPr>
          <w:trHeight w:val="121"/>
        </w:trPr>
        <w:tc>
          <w:tcPr>
            <w:tcW w:w="28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360" w:type="dxa"/>
            <w:vAlign w:val="bottom"/>
            <w:gridSpan w:val="3"/>
          </w:tcPr>
          <w:p>
            <w:pPr>
              <w:spacing w:after="0" w:line="121" w:lineRule="exact"/>
              <w:rPr>
                <w:sz w:val="20"/>
                <w:szCs w:val="20"/>
                <w:color w:val="auto"/>
              </w:rPr>
            </w:pPr>
            <w:r>
              <w:rPr>
                <w:rFonts w:ascii="Times New Roman" w:cs="Times New Roman" w:eastAsia="Times New Roman" w:hAnsi="Times New Roman"/>
                <w:sz w:val="12"/>
                <w:szCs w:val="12"/>
                <w:i w:val="1"/>
                <w:iCs w:val="1"/>
                <w:color w:val="auto"/>
              </w:rPr>
              <w:t>Chief Financial Officer</w:t>
            </w:r>
          </w:p>
        </w:tc>
      </w:tr>
      <w:tr>
        <w:trPr>
          <w:trHeight w:val="157"/>
        </w:trPr>
        <w:tc>
          <w:tcPr>
            <w:tcW w:w="28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60" w:type="dxa"/>
            <w:vAlign w:val="bottom"/>
            <w:gridSpan w:val="3"/>
          </w:tcPr>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0159"/>
          </w:cols>
          <w:pgMar w:left="300" w:top="1331"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Subsidiaries of Priority Technology Holdings, Inc.</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Technology Holdings,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Holdings,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Payment Systems,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DMS,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Booms,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Convenient Payments,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Commercial Payments,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Commerce Canada, Inc. (Canada)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Finance,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Residual Finance,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Finance SPV,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Plastiq, Powered by Priority,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Plastiq Canada, Inc. (Canada)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Holdings,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Intermediate,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Finxera,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IDC Private Limited (India)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Enhanced Capital RETC Fund XII,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Account Administration Services,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Tech Ventures,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IR,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Wave, LLC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Ambient TPA Solutions,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Build,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Primsa Prop Tech, LLC</w:t>
      </w:r>
    </w:p>
    <w:p>
      <w:pPr>
        <w:sectPr>
          <w:pgSz w:w="11900" w:h="16838" w:orient="portrait"/>
          <w:cols w:equalWidth="0" w:num="1">
            <w:col w:w="11300"/>
          </w:cols>
          <w:pgMar w:left="300" w:top="126" w:right="29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3"/>
          <w:szCs w:val="13"/>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Rollfi, LLC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Sila, Inc.</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Priority Canada Acquisition Company, Inc. (Canada)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Payslate, Inc. (Canada)</w:t>
      </w:r>
    </w:p>
    <w:p>
      <w:pPr>
        <w:sectPr>
          <w:pgSz w:w="11900" w:h="16838" w:orient="portrait"/>
          <w:cols w:equalWidth="0" w:num="1">
            <w:col w:w="11300"/>
          </w:cols>
          <w:pgMar w:left="300" w:top="126" w:right="2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Thomas C. Priore, certify that:</w:t>
      </w:r>
    </w:p>
    <w:p>
      <w:pPr>
        <w:spacing w:after="0" w:line="249" w:lineRule="exact"/>
        <w:rPr>
          <w:sz w:val="20"/>
          <w:szCs w:val="20"/>
          <w:color w:val="auto"/>
        </w:rPr>
      </w:pPr>
    </w:p>
    <w:p>
      <w:pPr>
        <w:ind w:left="208" w:hanging="208"/>
        <w:spacing w:after="0"/>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391" w:lineRule="auto"/>
        <w:tabs>
          <w:tab w:leader="none" w:pos="646"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8" w:right="280" w:hanging="216"/>
        <w:spacing w:after="0" w:line="420" w:lineRule="auto"/>
        <w:tabs>
          <w:tab w:leader="none" w:pos="644" w:val="left"/>
        </w:tabs>
        <w:numPr>
          <w:ilvl w:val="1"/>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165" w:right="2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2"/>
          <w:szCs w:val="12"/>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8" w:right="40" w:hanging="208"/>
        <w:spacing w:after="0" w:line="420" w:lineRule="auto"/>
        <w:tabs>
          <w:tab w:leader="none" w:pos="208"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tbl>
      <w:tblPr>
        <w:tblLayout w:type="fixed"/>
        <w:tblInd w:w="448" w:type="dxa"/>
        <w:tblCellMar>
          <w:top w:w="0" w:type="dxa"/>
          <w:left w:w="0" w:type="dxa"/>
          <w:bottom w:w="0" w:type="dxa"/>
          <w:right w:w="0" w:type="dxa"/>
        </w:tblCellMar>
      </w:tblPr>
      <w:tr>
        <w:trPr>
          <w:trHeight w:val="180"/>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November 5, 2026</w:t>
            </w:r>
          </w:p>
        </w:tc>
        <w:tc>
          <w:tcPr>
            <w:tcW w:w="5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 THOMAS C. PRIORE</w:t>
            </w:r>
          </w:p>
        </w:tc>
      </w:tr>
      <w:tr>
        <w:trPr>
          <w:trHeight w:val="155"/>
        </w:trPr>
        <w:tc>
          <w:tcPr>
            <w:tcW w:w="3440" w:type="dxa"/>
            <w:vAlign w:val="bottom"/>
          </w:tcPr>
          <w:p>
            <w:pPr>
              <w:spacing w:after="0"/>
              <w:rPr>
                <w:sz w:val="13"/>
                <w:szCs w:val="13"/>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Thomas C. Priore</w:t>
            </w:r>
          </w:p>
        </w:tc>
      </w:tr>
      <w:tr>
        <w:trPr>
          <w:trHeight w:val="205"/>
        </w:trPr>
        <w:tc>
          <w:tcPr>
            <w:tcW w:w="3440" w:type="dxa"/>
            <w:vAlign w:val="bottom"/>
          </w:tcPr>
          <w:p>
            <w:pPr>
              <w:spacing w:after="0"/>
              <w:rPr>
                <w:sz w:val="17"/>
                <w:szCs w:val="17"/>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tc>
      </w:tr>
      <w:tr>
        <w:trPr>
          <w:trHeight w:val="207"/>
        </w:trPr>
        <w:tc>
          <w:tcPr>
            <w:tcW w:w="3440" w:type="dxa"/>
            <w:vAlign w:val="bottom"/>
          </w:tcPr>
          <w:p>
            <w:pPr>
              <w:spacing w:after="0"/>
              <w:rPr>
                <w:sz w:val="18"/>
                <w:szCs w:val="18"/>
                <w:color w:val="auto"/>
              </w:rPr>
            </w:pPr>
          </w:p>
        </w:tc>
        <w:tc>
          <w:tcPr>
            <w:tcW w:w="582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Executive Officer)</w:t>
            </w:r>
          </w:p>
        </w:tc>
      </w:tr>
    </w:tbl>
    <w:p>
      <w:pPr>
        <w:sectPr>
          <w:pgSz w:w="11900" w:h="16838" w:orient="portrait"/>
          <w:cols w:equalWidth="0" w:num="1">
            <w:col w:w="11308"/>
          </w:cols>
          <w:pgMar w:left="292" w:top="165" w:right="2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 OF PRINCIPAL FINANCIAL OFFICER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EXCHANGE ACT RULE 13a-14(a) AS ADOPTED PURSUANT TO</w:t>
      </w:r>
    </w:p>
    <w:p>
      <w:pPr>
        <w:spacing w:after="0" w:line="8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303 OF THE SARBANES-OXLEY ACT OF 2002</w:t>
      </w: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Timothy M. O’Leary, certify that:</w:t>
      </w:r>
    </w:p>
    <w:p>
      <w:pPr>
        <w:spacing w:after="0" w:line="249" w:lineRule="exact"/>
        <w:rPr>
          <w:sz w:val="20"/>
          <w:szCs w:val="20"/>
          <w:color w:val="auto"/>
        </w:rPr>
      </w:pPr>
    </w:p>
    <w:p>
      <w:pPr>
        <w:ind w:left="208" w:hanging="208"/>
        <w:spacing w:after="0"/>
        <w:tabs>
          <w:tab w:leader="none" w:pos="2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Priority Technology Holdings, Inc.;</w:t>
      </w:r>
    </w:p>
    <w:p>
      <w:pPr>
        <w:spacing w:after="0" w:line="249" w:lineRule="exact"/>
        <w:rPr>
          <w:rFonts w:ascii="Times New Roman" w:cs="Times New Roman" w:eastAsia="Times New Roman" w:hAnsi="Times New Roman"/>
          <w:sz w:val="12"/>
          <w:szCs w:val="12"/>
          <w:color w:val="auto"/>
        </w:rPr>
      </w:pPr>
    </w:p>
    <w:p>
      <w:pPr>
        <w:ind w:left="208" w:right="200" w:hanging="208"/>
        <w:spacing w:after="0" w:line="420" w:lineRule="auto"/>
        <w:tabs>
          <w:tab w:leader="none" w:pos="2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208" w:right="100" w:hanging="208"/>
        <w:spacing w:after="0" w:line="420" w:lineRule="auto"/>
        <w:tabs>
          <w:tab w:leader="none" w:pos="2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Times New Roman" w:cs="Times New Roman" w:eastAsia="Times New Roman" w:hAnsi="Times New Roman"/>
          <w:sz w:val="12"/>
          <w:szCs w:val="12"/>
          <w:color w:val="auto"/>
        </w:rPr>
      </w:pPr>
    </w:p>
    <w:p>
      <w:pPr>
        <w:ind w:left="208" w:right="220" w:hanging="208"/>
        <w:spacing w:after="0" w:line="420" w:lineRule="auto"/>
        <w:tabs>
          <w:tab w:leader="none" w:pos="208"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2"/>
          <w:szCs w:val="12"/>
          <w:color w:val="auto"/>
        </w:rPr>
      </w:pPr>
    </w:p>
    <w:p>
      <w:pPr>
        <w:ind w:left="648" w:right="440" w:hanging="216"/>
        <w:spacing w:after="0" w:line="391" w:lineRule="auto"/>
        <w:tabs>
          <w:tab w:leader="none" w:pos="646"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8" w:right="200" w:hanging="216"/>
        <w:spacing w:after="0" w:line="391" w:lineRule="auto"/>
        <w:tabs>
          <w:tab w:leader="none" w:pos="644"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648" w:right="240" w:hanging="216"/>
        <w:spacing w:after="0" w:line="420" w:lineRule="auto"/>
        <w:tabs>
          <w:tab w:leader="none" w:pos="646"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11308"/>
          </w:cols>
          <w:pgMar w:left="292" w:top="165" w:right="2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2"/>
          <w:szCs w:val="12"/>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8" w:right="280" w:hanging="216"/>
        <w:spacing w:after="0" w:line="420" w:lineRule="auto"/>
        <w:tabs>
          <w:tab w:leader="none" w:pos="644" w:val="left"/>
        </w:tabs>
        <w:numPr>
          <w:ilvl w:val="1"/>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Times New Roman" w:cs="Times New Roman" w:eastAsia="Times New Roman" w:hAnsi="Times New Roman"/>
          <w:sz w:val="12"/>
          <w:szCs w:val="12"/>
          <w:color w:val="auto"/>
        </w:rPr>
      </w:pPr>
    </w:p>
    <w:p>
      <w:pPr>
        <w:ind w:left="208" w:right="40" w:hanging="208"/>
        <w:spacing w:after="0" w:line="420" w:lineRule="auto"/>
        <w:tabs>
          <w:tab w:leader="none" w:pos="208"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Times New Roman" w:cs="Times New Roman" w:eastAsia="Times New Roman" w:hAnsi="Times New Roman"/>
          <w:sz w:val="12"/>
          <w:szCs w:val="12"/>
          <w:color w:val="auto"/>
        </w:rPr>
      </w:pPr>
    </w:p>
    <w:p>
      <w:pPr>
        <w:ind w:left="648" w:right="40" w:hanging="216"/>
        <w:spacing w:after="0" w:line="391" w:lineRule="auto"/>
        <w:tabs>
          <w:tab w:leader="none" w:pos="646"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8" w:hanging="216"/>
        <w:spacing w:after="0"/>
        <w:tabs>
          <w:tab w:leader="none" w:pos="648"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tbl>
      <w:tblPr>
        <w:tblLayout w:type="fixed"/>
        <w:tblInd w:w="48" w:type="dxa"/>
        <w:tblCellMar>
          <w:top w:w="0" w:type="dxa"/>
          <w:left w:w="0" w:type="dxa"/>
          <w:bottom w:w="0" w:type="dxa"/>
          <w:right w:w="0" w:type="dxa"/>
        </w:tblCellMar>
      </w:tblPr>
      <w:tr>
        <w:trPr>
          <w:trHeight w:val="171"/>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November 5, 2026</w:t>
            </w: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/s/ TIMOTHY M. O’LEARY</w:t>
            </w:r>
          </w:p>
        </w:tc>
      </w:tr>
      <w:tr>
        <w:trPr>
          <w:trHeight w:val="162"/>
        </w:trPr>
        <w:tc>
          <w:tcPr>
            <w:tcW w:w="6260" w:type="dxa"/>
            <w:vAlign w:val="bottom"/>
          </w:tcPr>
          <w:p>
            <w:pPr>
              <w:spacing w:after="0"/>
              <w:rPr>
                <w:sz w:val="14"/>
                <w:szCs w:val="1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Timothy M. O’Leary</w:t>
            </w:r>
          </w:p>
        </w:tc>
      </w:tr>
      <w:tr>
        <w:trPr>
          <w:trHeight w:val="207"/>
        </w:trPr>
        <w:tc>
          <w:tcPr>
            <w:tcW w:w="62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Chief Financial Officer</w:t>
            </w:r>
          </w:p>
        </w:tc>
      </w:tr>
      <w:tr>
        <w:trPr>
          <w:trHeight w:val="207"/>
        </w:trPr>
        <w:tc>
          <w:tcPr>
            <w:tcW w:w="62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2"/>
                <w:szCs w:val="12"/>
                <w:i w:val="1"/>
                <w:iCs w:val="1"/>
                <w:color w:val="auto"/>
                <w:w w:val="99"/>
              </w:rPr>
              <w:t>(Principal Financial Officer)</w:t>
            </w:r>
          </w:p>
        </w:tc>
      </w:tr>
    </w:tbl>
    <w:p>
      <w:pPr>
        <w:sectPr>
          <w:pgSz w:w="11900" w:h="16838" w:orient="portrait"/>
          <w:cols w:equalWidth="0" w:num="1">
            <w:col w:w="11308"/>
          </w:cols>
          <w:pgMar w:left="292" w:top="165" w:right="2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2"/>
          <w:szCs w:val="1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OF PRINCIPAL EXECUTIVE OFFICER AND PRINCIPAL FINANCIAL OFFICER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18 U.S.C. SECTION 1350, AS ADOPTED PURSUANT TO SECTION 906 OF THE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SARBANES-OXLEY ACT OF 2002</w:t>
      </w:r>
    </w:p>
    <w:p>
      <w:pPr>
        <w:spacing w:after="0" w:line="200" w:lineRule="exact"/>
        <w:rPr>
          <w:sz w:val="20"/>
          <w:szCs w:val="20"/>
          <w:color w:val="auto"/>
        </w:rPr>
      </w:pPr>
    </w:p>
    <w:p>
      <w:pPr>
        <w:spacing w:after="0" w:line="215" w:lineRule="exact"/>
        <w:rPr>
          <w:sz w:val="20"/>
          <w:szCs w:val="20"/>
          <w:color w:val="auto"/>
        </w:rPr>
      </w:pPr>
    </w:p>
    <w:p>
      <w:pPr>
        <w:spacing w:after="0" w:line="420" w:lineRule="auto"/>
        <w:rPr>
          <w:sz w:val="20"/>
          <w:szCs w:val="20"/>
          <w:color w:val="auto"/>
        </w:rPr>
      </w:pPr>
      <w:r>
        <w:rPr>
          <w:rFonts w:ascii="Times New Roman" w:cs="Times New Roman" w:eastAsia="Times New Roman" w:hAnsi="Times New Roman"/>
          <w:sz w:val="12"/>
          <w:szCs w:val="12"/>
          <w:color w:val="auto"/>
        </w:rPr>
        <w:t>In connection with the Quarterly Report on Form 10-Q of Priority Technology Holdings, Inc. (the "Company") for the quarter ended September 30, 2026 as filed with the Securities and Exchange Commission (the "Report"), each of the undersigned, on the dates indicated below, hereby certifies pursuant to 18 U.S.C. Section 1350, as adopted pursuant to Section 906 of the Sarbanes-Oxley Act of 2002, that:</w:t>
      </w:r>
    </w:p>
    <w:p>
      <w:pPr>
        <w:spacing w:after="0" w:line="129" w:lineRule="exact"/>
        <w:rPr>
          <w:sz w:val="20"/>
          <w:szCs w:val="20"/>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Act of 1934; and</w:t>
      </w:r>
    </w:p>
    <w:p>
      <w:pPr>
        <w:spacing w:after="0" w:line="8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 of the Company.</w:t>
      </w:r>
    </w:p>
    <w:p>
      <w:pPr>
        <w:sectPr>
          <w:pgSz w:w="11900" w:h="16838" w:orient="portrait"/>
          <w:cols w:equalWidth="0" w:num="1">
            <w:col w:w="11300"/>
          </w:cols>
          <w:pgMar w:left="300" w:top="165" w:right="2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November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1"/>
          <w:szCs w:val="11"/>
          <w:color w:val="auto"/>
        </w:rPr>
        <w:t>November 5,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Thomas C. Priore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Executive Officer and Chairman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22225</wp:posOffset>
            </wp:positionV>
            <wp:extent cx="422338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4223385" cy="1143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Timothy M. O’Leary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0" w:lineRule="exact"/>
        <w:rPr>
          <w:sz w:val="20"/>
          <w:szCs w:val="20"/>
          <w:color w:val="auto"/>
        </w:rPr>
      </w:pPr>
    </w:p>
    <w:p>
      <w:pPr>
        <w:sectPr>
          <w:pgSz w:w="11900" w:h="16838" w:orient="portrait"/>
          <w:cols w:equalWidth="0" w:num="2">
            <w:col w:w="3960" w:space="720"/>
            <w:col w:w="6620"/>
          </w:cols>
          <w:pgMar w:left="300" w:top="165" w:right="299" w:bottom="1440" w:gutter="0" w:footer="0" w:header="0"/>
          <w:type w:val="continuous"/>
        </w:sect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300"/>
      </w:cols>
      <w:pgMar w:left="300" w:top="165"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5"/>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3"/>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lvl w:ilvl="1">
      <w:lvlJc w:val="left"/>
      <w:lvlText w:val="(%2)"/>
      <w:numFmt w:val="decimal"/>
      <w:start w:val="1"/>
    </w:lvl>
  </w:abstractNum>
  <w:abstractNum w:abstractNumId="14">
    <w:nsid w:val="4516DDE9"/>
    <w:multiLevelType w:val="hybridMultilevel"/>
    <w:lvl w:ilvl="0">
      <w:lvlJc w:val="left"/>
      <w:lvlText w:val="%1."/>
      <w:numFmt w:val="decimal"/>
      <w:start w:val="4"/>
    </w:lvl>
    <w:lvl w:ilvl="1">
      <w:lvlJc w:val="left"/>
      <w:lvlText w:val="%2"/>
      <w:numFmt w:val="decimal"/>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lvl w:ilvl="1">
      <w:lvlJc w:val="left"/>
      <w:lvlText w:val="(%2)"/>
      <w:numFmt w:val="decimal"/>
      <w:start w:val="1"/>
    </w:lvl>
  </w:abstractNum>
  <w:abstractNum w:abstractNumId="17">
    <w:nsid w:val="419AC241"/>
    <w:multiLevelType w:val="hybridMultilevel"/>
    <w:lvl w:ilvl="0">
      <w:lvlJc w:val="left"/>
      <w:lvlText w:val="%1."/>
      <w:numFmt w:val="decimal"/>
      <w:start w:val="5"/>
    </w:lvl>
    <w:lvl w:ilvl="1">
      <w:lvlJc w:val="left"/>
      <w:lvlText w:val="%2"/>
      <w:numFmt w:val="decimal"/>
      <w:start w:val="1"/>
    </w:lvl>
  </w:abstractNum>
  <w:abstractNum w:abstractNumId="18">
    <w:nsid w:val="5577F8E1"/>
    <w:multiLevelType w:val="hybridMultilevel"/>
    <w:lvl w:ilvl="0">
      <w:lvlJc w:val="left"/>
      <w:lvlText w:val="%1."/>
      <w:numFmt w:val="decimal"/>
      <w:start w:val="6"/>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0"/>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decimal"/>
      <w:start w:val="5"/>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decimal"/>
      <w:start w:val="5"/>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5"/>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5"/>
    </w:lvl>
  </w:abstractNum>
  <w:abstractNum w:abstractNumId="40">
    <w:nsid w:val="4B588F54"/>
    <w:multiLevelType w:val="hybridMultilevel"/>
    <w:lvl w:ilvl="0">
      <w:lvlJc w:val="left"/>
      <w:lvlText w:val="%1"/>
      <w:numFmt w:val="decimal"/>
      <w:start w:val="1"/>
    </w:lvl>
    <w:lvl w:ilvl="1">
      <w:lvlJc w:val="left"/>
      <w:lvlText w:val="(%2)"/>
      <w:numFmt w:val="decimal"/>
      <w:start w:val="1"/>
    </w:lvl>
  </w:abstractNum>
  <w:abstractNum w:abstractNumId="41">
    <w:nsid w:val="542289EC"/>
    <w:multiLevelType w:val="hybridMultilevel"/>
    <w:lvl w:ilvl="0">
      <w:lvlJc w:val="left"/>
      <w:lvlText w:val="%1."/>
      <w:numFmt w:val="decimal"/>
      <w:start w:val="16"/>
    </w:lvl>
    <w:lvl w:ilvl="1">
      <w:lvlJc w:val="left"/>
      <w:lvlText w:val="%2"/>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5"/>
    </w:lvl>
    <w:lvl w:ilvl="1">
      <w:lvlJc w:val="left"/>
      <w:lvlText w:val="(%2)"/>
      <w:numFmt w:val="lowerLetter"/>
      <w:start w:val="5"/>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4"/>
    </w:lvl>
  </w:abstractNum>
  <w:abstractNum w:abstractNumId="49">
    <w:nsid w:val="3DC240FB"/>
    <w:multiLevelType w:val="hybridMultilevel"/>
    <w:lvl w:ilvl="0">
      <w:lvlJc w:val="left"/>
      <w:lvlText w:val="%1."/>
      <w:numFmt w:val="decimal"/>
      <w:start w:val="5"/>
    </w:lvl>
    <w:lvl w:ilvl="1">
      <w:lvlJc w:val="left"/>
      <w:lvlText w:val="(%2)"/>
      <w:numFmt w:val="lowerLetter"/>
      <w:start w:val="5"/>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96" Type="http://schemas.openxmlformats.org/officeDocument/2006/relationships/hyperlink" Target="https://www.sec.gov/Archives/edgar/data/1653558/000161577418006226/s111183_defm14a.htm" TargetMode="External"/><Relationship Id="rId97" Type="http://schemas.openxmlformats.org/officeDocument/2006/relationships/hyperlink" Target="https://www.sec.gov/Archives/edgar/data/1653558/000165355821000060/annex1certificateofamendme.htm" TargetMode="External"/><Relationship Id="rId98" Type="http://schemas.openxmlformats.org/officeDocument/2006/relationships/hyperlink" Target="https://www.sec.gov/Archives/edgar/data/1653558/000165355821000031/projectwarriorfinxera-merg.htm" TargetMode="External"/><Relationship Id="rId99" Type="http://schemas.openxmlformats.org/officeDocument/2006/relationships/hyperlink" Target="https://www.sec.gov/Archives/edgar/data/1653558/000121390026101651/ea030604701ex2-1.htm" TargetMode="External"/><Relationship Id="rId100" Type="http://schemas.openxmlformats.org/officeDocument/2006/relationships/hyperlink" Target="https://www.sec.gov/Archives/edgar/data/1653558/000161577418007231/s111606_ex3-1.htm" TargetMode="External"/><Relationship Id="rId101" Type="http://schemas.openxmlformats.org/officeDocument/2006/relationships/hyperlink" Target="https://www.sec.gov/Archives/edgar/data/1653558/000161577418007231/s111606_ex3-2.htm" TargetMode="External"/><Relationship Id="rId102" Type="http://schemas.openxmlformats.org/officeDocument/2006/relationships/hyperlink" Target="https://www.sec.gov/Archives/edgar/data/1653558/000161577418007231/s111606_ex10-1.htm" TargetMode="External"/><Relationship Id="rId103" Type="http://schemas.openxmlformats.org/officeDocument/2006/relationships/hyperlink" Target="https://www.sec.gov/Archives/edgar/data/1653558/000161577418007231/s111606_ex10-2.htm" TargetMode="External"/><Relationship Id="rId104" Type="http://schemas.openxmlformats.org/officeDocument/2006/relationships/hyperlink" Target="https://www.sec.gov/Archives/edgar/data/1653558/000165355822000052/definitiveproxystatement20.htm" TargetMode="External"/><Relationship Id="rId107" Type="http://schemas.openxmlformats.org/officeDocument/2006/relationships/hyperlink" Target="https://www.sec.gov/ix?doc=/Archives/edgar/data/0001653558/000165355826000090/prth-20260428.htm" TargetMode="External"/><Relationship Id="rId108" Type="http://schemas.openxmlformats.org/officeDocument/2006/relationships/hyperlink" Target="https://www.sec.gov/Archives/edgar/data/0001653558/000165355821000101/ex1021prioritytechnologyq2.htm" TargetMode="External"/><Relationship Id="rId109" Type="http://schemas.openxmlformats.org/officeDocument/2006/relationships/hyperlink" Target="https://www.sec.gov/Archives/edgar/data/1653558/000165355822000028/prioritytechnology-ex1031x.htm" TargetMode="External"/><Relationship Id="rId110" Type="http://schemas.openxmlformats.org/officeDocument/2006/relationships/hyperlink" Target="https://www.sec.gov/Archives/edgar/data/1653558/000165355825000102/ex1032amendmentno2to2021.htm" TargetMode="External"/><Relationship Id="rId111" Type="http://schemas.openxmlformats.org/officeDocument/2006/relationships/hyperlink" Target="https://www.sec.gov/Archives/edgar/data/1653558/000161577418014981/s114881_ex10-6.htm" TargetMode="External"/><Relationship Id="rId112" Type="http://schemas.openxmlformats.org/officeDocument/2006/relationships/hyperlink" Target="https://www.sec.gov/Archives/edgar/data/1653558/000161577418014981/s114881_ex10-7.htm" TargetMode="External"/><Relationship Id="rId113" Type="http://schemas.openxmlformats.org/officeDocument/2006/relationships/hyperlink" Target="http://www.sec.gov/Archives/edgar/data/1653558/000162828019003666/prioritytechnology-ex1019.htm" TargetMode="External"/><Relationship Id="rId114" Type="http://schemas.openxmlformats.org/officeDocument/2006/relationships/hyperlink" Target="https://www.sec.gov/Archives/edgar/data/1653558/000165355820000148/assetpurchaseagreement.htm" TargetMode="External"/><Relationship Id="rId115" Type="http://schemas.openxmlformats.org/officeDocument/2006/relationships/hyperlink" Target="https://www.sec.gov/Archives/edgar/data/1653558/000165355822000094/ex1023formrestrictedstocku.htm" TargetMode="External"/><Relationship Id="rId116" Type="http://schemas.openxmlformats.org/officeDocument/2006/relationships/hyperlink" Target="https://www.sec.gov/Archives/edgar/data/1653558/000165355823000030/prioritytechnology-ex108.htm" TargetMode="External"/><Relationship Id="rId117" Type="http://schemas.openxmlformats.org/officeDocument/2006/relationships/hyperlink" Target="https://www.sec.gov/Archives/edgar/data/1653558/000165355823000056/ex1025priorityrecoupmentcl.htm" TargetMode="External"/><Relationship Id="rId118" Type="http://schemas.openxmlformats.org/officeDocument/2006/relationships/hyperlink" Target="https://www.sec.gov/Archives/edgar/data/1653558/000165355823000087/ex101projectbellamy-amen.htm" TargetMode="External"/><Relationship Id="rId119" Type="http://schemas.openxmlformats.org/officeDocument/2006/relationships/hyperlink" Target="https://www.sec.gov/ix?doc=/Archives/edgar/data/1653558/000165355824000073/prth-20240516.htm" TargetMode="External"/><Relationship Id="rId120" Type="http://schemas.openxmlformats.org/officeDocument/2006/relationships/hyperlink" Target="https://www.sec.gov/ix?doc=/Archives/edgar/data/0001653558/000165355824000153/prth-20241121.htm" TargetMode="External"/><Relationship Id="rId121" Type="http://schemas.openxmlformats.org/officeDocument/2006/relationships/hyperlink" Target="https://www.sec.gov/Archives/edgar/data/1653558/000165355825000091/ex101prthamendmentno2.htm" TargetMode="External"/><Relationship Id="rId122" Type="http://schemas.openxmlformats.org/officeDocument/2006/relationships/hyperlink" Target="https://www.sec.gov/Archives/edgar/data/1653558/000165355825000107/prth-form8xkxexhibit101x.htm" TargetMode="External"/><Relationship Id="rId123" Type="http://schemas.openxmlformats.org/officeDocument/2006/relationships/hyperlink" Target="https://www.sec.gov/Archives/edgar/data/1653558/000165355825000107/prth-form8xkxexhibit102x.htm" TargetMode="External"/><Relationship Id="rId124" Type="http://schemas.openxmlformats.org/officeDocument/2006/relationships/hyperlink" Target="https://www.sec.gov/Archives/edgar/data/1653558/000165355825000107/prth-form8xkxexhibit103x.htm" TargetMode="External"/><Relationship Id="rId125" Type="http://schemas.openxmlformats.org/officeDocument/2006/relationships/hyperlink" Target="https://www.sec.gov/Archives/edgar/data/1653558/000165355825000107/assetpurchaseagreement-boo.htm" TargetMode="External"/><Relationship Id="rId126" Type="http://schemas.openxmlformats.org/officeDocument/2006/relationships/hyperlink" Target="https://www.sec.gov/Archives/edgar/data/1653558/000162828025043526/a101assetpurchaseandcontri.htm" TargetMode="External"/><Relationship Id="rId127" Type="http://schemas.openxmlformats.org/officeDocument/2006/relationships/hyperlink" Target="https://www.sec.gov/Archives/edgar/data/1653558/000162828025043526/prth-ex102xcoveramendmentx.htm" TargetMode="External"/><Relationship Id="rId128" Type="http://schemas.openxmlformats.org/officeDocument/2006/relationships/hyperlink" Target="https://www.sec.gov/Archives/edgar/data/1653558/000165355826000134/ex101membershipinterest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2026-11-05T07:56:31Z</dcterms:created>
  <dcterms:modified xsi:type="dcterms:W3CDTF">2026-11-05T07:56:31Z</dcterms:modified>
</cp:coreProperties>
</file>