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240" w:right="900" w:hanging="3339"/>
        <w:spacing w:after="0" w:line="484" w:lineRule="auto"/>
        <w:tabs>
          <w:tab w:leader="none" w:pos="1375"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March 31, 2017</w:t>
      </w:r>
    </w:p>
    <w:p>
      <w:pPr>
        <w:spacing w:after="0" w:line="29" w:lineRule="exact"/>
        <w:rPr>
          <w:rFonts w:ascii="MS PGothic" w:cs="MS PGothic" w:eastAsia="MS PGothic" w:hAnsi="MS PGothic"/>
          <w:sz w:val="18"/>
          <w:szCs w:val="18"/>
          <w:color w:val="auto"/>
        </w:rPr>
      </w:pPr>
    </w:p>
    <w:p>
      <w:pPr>
        <w:ind w:left="1380" w:hanging="485"/>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4"/>
          </w:tcPr>
          <w:p>
            <w:pPr>
              <w:ind w:left="3640"/>
              <w:spacing w:after="0"/>
              <w:rPr>
                <w:sz w:val="20"/>
                <w:szCs w:val="20"/>
                <w:color w:val="auto"/>
              </w:rPr>
            </w:pPr>
            <w:r>
              <w:rPr>
                <w:rFonts w:ascii="Arial" w:cs="Arial" w:eastAsia="Arial" w:hAnsi="Arial"/>
                <w:sz w:val="18"/>
                <w:szCs w:val="18"/>
                <w:b w:val="1"/>
                <w:bCs w:val="1"/>
                <w:color w:val="auto"/>
              </w:rPr>
              <w:t>For the transition period from</w:t>
            </w:r>
          </w:p>
        </w:tc>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r>
      <w:tr>
        <w:trPr>
          <w:trHeight w:val="392"/>
        </w:trPr>
        <w:tc>
          <w:tcPr>
            <w:tcW w:w="114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Commission file number: 001-37872</w:t>
            </w:r>
          </w:p>
        </w:tc>
      </w:tr>
      <w:tr>
        <w:trPr>
          <w:trHeight w:val="20"/>
        </w:trPr>
        <w:tc>
          <w:tcPr>
            <w:tcW w:w="6320" w:type="dxa"/>
            <w:vAlign w:val="bottom"/>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38"/>
        </w:trPr>
        <w:tc>
          <w:tcPr>
            <w:tcW w:w="6820" w:type="dxa"/>
            <w:vAlign w:val="bottom"/>
            <w:gridSpan w:val="4"/>
          </w:tcPr>
          <w:p>
            <w:pPr>
              <w:jc w:val="center"/>
              <w:ind w:left="4530"/>
              <w:spacing w:after="0"/>
              <w:rPr>
                <w:sz w:val="20"/>
                <w:szCs w:val="20"/>
                <w:color w:val="auto"/>
              </w:rPr>
            </w:pPr>
            <w:r>
              <w:rPr>
                <w:rFonts w:ascii="Arial" w:cs="Arial" w:eastAsia="Arial" w:hAnsi="Arial"/>
                <w:sz w:val="18"/>
                <w:szCs w:val="18"/>
                <w:b w:val="1"/>
                <w:bCs w:val="1"/>
                <w:color w:val="auto"/>
              </w:rPr>
              <w:t>M I ACQUISITIONS, INC.</w:t>
            </w:r>
          </w:p>
        </w:tc>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0"/>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32"/>
        </w:trPr>
        <w:tc>
          <w:tcPr>
            <w:tcW w:w="682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93"/>
              </w:rPr>
              <w:t>Delaware</w:t>
            </w:r>
          </w:p>
        </w:tc>
        <w:tc>
          <w:tcPr>
            <w:tcW w:w="460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89"/>
              </w:rPr>
              <w:t>47-4257046</w:t>
            </w:r>
          </w:p>
        </w:tc>
      </w:tr>
      <w:tr>
        <w:trPr>
          <w:trHeight w:val="195"/>
        </w:trPr>
        <w:tc>
          <w:tcPr>
            <w:tcW w:w="5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4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jc w:val="center"/>
              <w:ind w:right="105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6820" w:type="dxa"/>
            <w:vAlign w:val="bottom"/>
            <w:gridSpan w:val="4"/>
          </w:tcPr>
          <w:p>
            <w:pPr>
              <w:jc w:val="center"/>
              <w:ind w:right="1320"/>
              <w:spacing w:after="0"/>
              <w:rPr>
                <w:sz w:val="20"/>
                <w:szCs w:val="20"/>
                <w:color w:val="auto"/>
              </w:rPr>
            </w:pPr>
            <w:r>
              <w:rPr>
                <w:rFonts w:ascii="Arial" w:cs="Arial" w:eastAsia="Arial" w:hAnsi="Arial"/>
                <w:sz w:val="18"/>
                <w:szCs w:val="18"/>
                <w:color w:val="auto"/>
                <w:w w:val="93"/>
              </w:rPr>
              <w:t>incorporation or organization)</w:t>
            </w:r>
          </w:p>
        </w:tc>
        <w:tc>
          <w:tcPr>
            <w:tcW w:w="280" w:type="dxa"/>
            <w:vAlign w:val="bottom"/>
          </w:tcPr>
          <w:p>
            <w:pPr>
              <w:spacing w:after="0"/>
              <w:rPr>
                <w:sz w:val="20"/>
                <w:szCs w:val="20"/>
                <w:color w:val="auto"/>
              </w:rPr>
            </w:pPr>
          </w:p>
        </w:tc>
        <w:tc>
          <w:tcPr>
            <w:tcW w:w="4320" w:type="dxa"/>
            <w:vAlign w:val="bottom"/>
          </w:tcPr>
          <w:p>
            <w:pPr>
              <w:jc w:val="center"/>
              <w:ind w:right="10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491-4240</w:t>
      </w:r>
    </w:p>
    <w:p>
      <w:pPr>
        <w:spacing w:after="0" w:line="27" w:lineRule="exact"/>
        <w:rPr>
          <w:rFonts w:ascii="Arial" w:cs="Arial" w:eastAsia="Arial" w:hAnsi="Arial"/>
          <w:sz w:val="18"/>
          <w:szCs w:val="18"/>
          <w:b w:val="1"/>
          <w:bCs w:val="1"/>
          <w:color w:val="auto"/>
        </w:rPr>
      </w:pPr>
    </w:p>
    <w:p>
      <w:pPr>
        <w:ind w:left="4700"/>
        <w:spacing w:after="0"/>
        <w:rPr>
          <w:rFonts w:ascii="Arial" w:cs="Arial" w:eastAsia="Arial" w:hAnsi="Arial"/>
          <w:sz w:val="18"/>
          <w:szCs w:val="18"/>
          <w:b w:val="1"/>
          <w:bCs w:val="1"/>
          <w:color w:val="auto"/>
        </w:rPr>
      </w:pPr>
      <w:r>
        <w:rPr>
          <w:rFonts w:ascii="Arial" w:cs="Arial" w:eastAsia="Arial" w:hAnsi="Arial"/>
          <w:sz w:val="18"/>
          <w:szCs w:val="18"/>
          <w:color w:val="auto"/>
        </w:rPr>
        <w:t>(Issuer’s telephone number)</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3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rPr>
                <w:sz w:val="20"/>
                <w:szCs w:val="20"/>
                <w:color w:val="auto"/>
              </w:rPr>
            </w:pPr>
            <w:r>
              <w:rPr>
                <w:rFonts w:ascii="Arial" w:cs="Arial" w:eastAsia="Arial" w:hAnsi="Arial"/>
                <w:sz w:val="18"/>
                <w:szCs w:val="18"/>
                <w:color w:val="auto"/>
              </w:rPr>
              <w:t>x</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w w:val="99"/>
              </w:rPr>
              <w:t>(Do not check if smaller reporting company)</w:t>
            </w:r>
          </w:p>
        </w:tc>
        <w:tc>
          <w:tcPr>
            <w:tcW w:w="1320" w:type="dxa"/>
            <w:vAlign w:val="bottom"/>
          </w:tcPr>
          <w:p>
            <w:pPr>
              <w:spacing w:after="0"/>
              <w:rPr>
                <w:sz w:val="20"/>
                <w:szCs w:val="20"/>
                <w:color w:val="auto"/>
              </w:rPr>
            </w:pPr>
          </w:p>
        </w:tc>
        <w:tc>
          <w:tcPr>
            <w:tcW w:w="3640" w:type="dxa"/>
            <w:vAlign w:val="bottom"/>
          </w:tcPr>
          <w:p>
            <w:pPr>
              <w:ind w:left="90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rPr>
                <w:sz w:val="20"/>
                <w:szCs w:val="20"/>
                <w:color w:val="auto"/>
              </w:rPr>
            </w:pPr>
            <w:r>
              <w:rPr>
                <w:rFonts w:ascii="Arial" w:cs="Arial" w:eastAsia="Arial" w:hAnsi="Arial"/>
                <w:sz w:val="18"/>
                <w:szCs w:val="18"/>
                <w:color w:val="auto"/>
              </w:rPr>
              <w:t>x</w:t>
            </w:r>
          </w:p>
        </w:tc>
      </w:tr>
    </w:tbl>
    <w:p>
      <w:pPr>
        <w:spacing w:after="0" w:line="20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12, 2017, 7,058,743 shares of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0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rPr>
              <w:t>M I ACQUISITIONS,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380" w:type="dxa"/>
            <w:vAlign w:val="bottom"/>
            <w:gridSpan w:val="9"/>
          </w:tcPr>
          <w:p>
            <w:pPr>
              <w:jc w:val="center"/>
              <w:ind w:right="2240"/>
              <w:spacing w:after="0"/>
              <w:rPr>
                <w:sz w:val="20"/>
                <w:szCs w:val="20"/>
                <w:color w:val="auto"/>
              </w:rPr>
            </w:pPr>
            <w:r>
              <w:rPr>
                <w:rFonts w:ascii="Arial" w:cs="Arial" w:eastAsia="Arial" w:hAnsi="Arial"/>
                <w:sz w:val="18"/>
                <w:szCs w:val="18"/>
                <w:b w:val="1"/>
                <w:bCs w:val="1"/>
                <w:color w:val="auto"/>
                <w:w w:val="98"/>
              </w:rPr>
              <w:t>FORM 10-Q FOR THE QUARTER ENDED MARCH 31,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0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Part I.</w:t>
            </w:r>
          </w:p>
        </w:tc>
        <w:tc>
          <w:tcPr>
            <w:tcW w:w="9480" w:type="dxa"/>
            <w:vAlign w:val="bottom"/>
            <w:gridSpan w:val="15"/>
            <w:shd w:val="clear" w:color="auto" w:fill="CCEEFF"/>
          </w:tcPr>
          <w:p>
            <w:pPr>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80" w:type="dxa"/>
            <w:vAlign w:val="bottom"/>
            <w:gridSpan w:val="1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80" w:type="dxa"/>
            <w:vAlign w:val="bottom"/>
            <w:gridSpan w:val="15"/>
            <w:shd w:val="clear" w:color="auto" w:fill="CCEEFF"/>
          </w:tcPr>
          <w:p>
            <w:pPr>
              <w:ind w:left="1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80" w:type="dxa"/>
            <w:vAlign w:val="bottom"/>
            <w:gridSpan w:val="15"/>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80" w:type="dxa"/>
            <w:vAlign w:val="bottom"/>
            <w:gridSpan w:val="15"/>
            <w:shd w:val="clear" w:color="auto" w:fill="CCEEFF"/>
          </w:tcPr>
          <w:p>
            <w:pPr>
              <w:ind w:left="1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80" w:type="dxa"/>
            <w:vAlign w:val="bottom"/>
            <w:gridSpan w:val="15"/>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Financial Statements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80" w:type="dxa"/>
            <w:vAlign w:val="bottom"/>
            <w:gridSpan w:val="1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gridSpan w:val="2"/>
          </w:tcPr>
          <w:p>
            <w:pPr>
              <w:spacing w:after="0" w:line="17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Item 3.</w:t>
              </w:r>
            </w:hyperlink>
          </w:p>
        </w:tc>
        <w:tc>
          <w:tcPr>
            <w:tcW w:w="6480" w:type="dxa"/>
            <w:vAlign w:val="bottom"/>
            <w:tcBorders>
              <w:top w:val="single" w:sz="8" w:color="0000EE"/>
            </w:tcBorders>
            <w:gridSpan w:val="12"/>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Regarding Market Risk</w:t>
              </w:r>
            </w:hyperlink>
          </w:p>
        </w:tc>
        <w:tc>
          <w:tcPr>
            <w:tcW w:w="24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Item 4.</w:t>
              </w:r>
            </w:hyperlink>
          </w:p>
        </w:tc>
        <w:tc>
          <w:tcPr>
            <w:tcW w:w="1800" w:type="dxa"/>
            <w:vAlign w:val="bottom"/>
            <w:tcBorders>
              <w:bottom w:val="single" w:sz="8" w:color="0000EE"/>
            </w:tcBorders>
            <w:gridSpan w:val="5"/>
            <w:shd w:val="clear" w:color="auto" w:fill="CCEEFF"/>
          </w:tcPr>
          <w:p>
            <w:pPr>
              <w:ind w:left="20"/>
              <w:spacing w:after="0" w:line="17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Controls and Procedures</w:t>
              </w:r>
            </w:hyperlink>
          </w:p>
        </w:tc>
        <w:tc>
          <w:tcPr>
            <w:tcW w:w="714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Part II.</w:t>
            </w:r>
          </w:p>
        </w:tc>
        <w:tc>
          <w:tcPr>
            <w:tcW w:w="9480" w:type="dxa"/>
            <w:vAlign w:val="bottom"/>
            <w:gridSpan w:val="15"/>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438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Unregistered Sales of Equity Securities and Use of Proceeds</w:t>
              </w:r>
            </w:hyperlink>
          </w:p>
        </w:tc>
        <w:tc>
          <w:tcPr>
            <w:tcW w:w="456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spacing w:after="0" w:line="17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6.</w:t>
              </w:r>
            </w:hyperlink>
          </w:p>
        </w:tc>
        <w:tc>
          <w:tcPr>
            <w:tcW w:w="8940" w:type="dxa"/>
            <w:vAlign w:val="bottom"/>
            <w:gridSpan w:val="13"/>
          </w:tcPr>
          <w:p>
            <w:pPr>
              <w:ind w:left="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246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rPr>
              <w:t>PART I – FINANCIAL STATEMENTS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6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2"/>
              </w:rPr>
              <w:t>M I Acquisitions,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86"/>
              </w:rPr>
              <w:t>Condensed Balance Sheets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w w:val="95"/>
              </w:rPr>
              <w:t>March 31, 2017   December 31, 2016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80" w:type="dxa"/>
            <w:vAlign w:val="bottom"/>
            <w:gridSpan w:val="3"/>
            <w:shd w:val="clear" w:color="auto" w:fill="CCEEFF"/>
          </w:tcPr>
          <w:p>
            <w:pPr>
              <w:jc w:val="center"/>
              <w:ind w:right="3800"/>
              <w:spacing w:after="0" w:line="176" w:lineRule="exact"/>
              <w:rPr>
                <w:sz w:val="20"/>
                <w:szCs w:val="20"/>
                <w:color w:val="auto"/>
              </w:rPr>
            </w:pPr>
            <w:r>
              <w:rPr>
                <w:rFonts w:ascii="Arial" w:cs="Arial" w:eastAsia="Arial" w:hAnsi="Arial"/>
                <w:sz w:val="18"/>
                <w:szCs w:val="18"/>
                <w:b w:val="1"/>
                <w:bCs w:val="1"/>
                <w:color w:val="auto"/>
                <w:w w:val="81"/>
              </w:rPr>
              <w:t>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5"/>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128,071</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362,535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121,205</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56,241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249,276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5"/>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54,716,747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54,731,828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top w:val="single" w:sz="8" w:color="CCEEFF"/>
              <w:bottom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54,966,023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55,150,604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5420" w:type="dxa"/>
            <w:vAlign w:val="bottom"/>
            <w:gridSpan w:val="4"/>
            <w:shd w:val="clear" w:color="auto" w:fill="CCEEFF"/>
          </w:tcPr>
          <w:p>
            <w:pPr>
              <w:jc w:val="center"/>
              <w:ind w:right="2660"/>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5"/>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115,271</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Accrued offering costs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5"/>
          </w:tcPr>
          <w:p>
            <w:pPr>
              <w:ind w:left="160"/>
              <w:spacing w:after="0"/>
              <w:rPr>
                <w:sz w:val="20"/>
                <w:szCs w:val="20"/>
                <w:color w:val="auto"/>
              </w:rPr>
            </w:pPr>
            <w:r>
              <w:rPr>
                <w:rFonts w:ascii="Arial" w:cs="Arial" w:eastAsia="Arial" w:hAnsi="Arial"/>
                <w:sz w:val="18"/>
                <w:szCs w:val="18"/>
                <w:color w:val="auto"/>
              </w:rPr>
              <w:t>Note payable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27,500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Deferred underwriting fee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1,062,022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1,216,409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1,212,149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2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Common stock subject to possible conversion (4,731,015 and 4,748,033 shares at conversion value as of</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March 31, 2017 and December 31, 2016)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48,749,608</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48,938,449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5"/>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$0.001 par value; 30,000,000 shares authorized; 2,327,728 and 2,310,710 shares issued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w w:val="91"/>
              </w:rPr>
              <w:t>outstanding at March 31, 2017 (excluding 4,731,015 and 4,748,033 shares subject to possible conversion) at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March 31, 2017 and December 31, 2016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2,328</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5"/>
          </w:tcPr>
          <w:p>
            <w:pPr>
              <w:ind w:left="160"/>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5,304,744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5,115,916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(307,066)</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4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54,966,023</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55,150,604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720" w:type="dxa"/>
            <w:vAlign w:val="bottom"/>
            <w:gridSpan w:val="4"/>
          </w:tcPr>
          <w:p>
            <w:pPr>
              <w:ind w:left="820"/>
              <w:spacing w:after="0"/>
              <w:rPr>
                <w:sz w:val="20"/>
                <w:szCs w:val="20"/>
                <w:color w:val="auto"/>
              </w:rPr>
            </w:pPr>
            <w:r>
              <w:rPr>
                <w:rFonts w:ascii="Arial" w:cs="Arial" w:eastAsia="Arial" w:hAnsi="Arial"/>
                <w:sz w:val="18"/>
                <w:szCs w:val="18"/>
                <w:b w:val="1"/>
                <w:bCs w:val="1"/>
                <w:color w:val="auto"/>
              </w:rPr>
              <w:t>For the Three Months</w:t>
            </w: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Ended</w:t>
            </w:r>
          </w:p>
        </w:tc>
        <w:tc>
          <w:tcPr>
            <w:tcW w:w="160" w:type="dxa"/>
            <w:vAlign w:val="bottom"/>
          </w:tcPr>
          <w:p>
            <w:pPr>
              <w:spacing w:after="0"/>
              <w:rPr>
                <w:sz w:val="19"/>
                <w:szCs w:val="19"/>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March 31, 2017</w:t>
            </w:r>
          </w:p>
        </w:tc>
        <w:tc>
          <w:tcPr>
            <w:tcW w:w="160" w:type="dxa"/>
            <w:vAlign w:val="bottom"/>
          </w:tcPr>
          <w:p>
            <w:pPr>
              <w:spacing w:after="0"/>
              <w:rPr>
                <w:sz w:val="20"/>
                <w:szCs w:val="20"/>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March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EXPENSES</w:t>
            </w:r>
          </w:p>
        </w:tc>
        <w:tc>
          <w:tcPr>
            <w:tcW w:w="5900" w:type="dxa"/>
            <w:vAlign w:val="bottom"/>
            <w:tcBorders>
              <w:bottom w:val="single" w:sz="8" w:color="CCEEFF"/>
            </w:tcBorders>
            <w:gridSpan w:val="4"/>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215,466</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EXPENSES</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245,466</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gridSpan w:val="5"/>
          </w:tcPr>
          <w:p>
            <w:pPr>
              <w:ind w:left="32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56,621</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80" w:type="dxa"/>
            <w:vAlign w:val="bottom"/>
            <w:gridSpan w:val="5"/>
          </w:tcPr>
          <w:p>
            <w:pPr>
              <w:spacing w:after="0" w:line="156" w:lineRule="exact"/>
              <w:rPr>
                <w:sz w:val="20"/>
                <w:szCs w:val="20"/>
                <w:color w:val="auto"/>
              </w:rPr>
            </w:pPr>
            <w:r>
              <w:rPr>
                <w:rFonts w:ascii="Arial" w:cs="Arial" w:eastAsia="Arial" w:hAnsi="Arial"/>
                <w:sz w:val="18"/>
                <w:szCs w:val="18"/>
                <w:color w:val="auto"/>
              </w:rPr>
              <w:t>TOTAL OTHER INCOME</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56,621</w:t>
            </w:r>
          </w:p>
        </w:tc>
        <w:tc>
          <w:tcPr>
            <w:tcW w:w="160" w:type="dxa"/>
            <w:vAlign w:val="bottom"/>
          </w:tcPr>
          <w:p>
            <w:pPr>
              <w:spacing w:after="0"/>
              <w:rPr>
                <w:sz w:val="15"/>
                <w:szCs w:val="15"/>
                <w:color w:val="auto"/>
              </w:rPr>
            </w:pPr>
          </w:p>
        </w:tc>
        <w:tc>
          <w:tcPr>
            <w:tcW w:w="152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780" w:type="dxa"/>
            <w:vAlign w:val="bottom"/>
            <w:gridSpan w:val="5"/>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(188,845)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 (1)</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2,310,710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1,250,000(1)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46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number excludes an aggregate of of 4,731,015 subject to possible conversion at March 31, 2017 and 187,500 shares of common stock that are subject to forfeiture if the over-allotment option is not exercised by the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For the Three Months</w:t>
            </w:r>
          </w:p>
        </w:tc>
        <w:tc>
          <w:tcPr>
            <w:tcW w:w="1800" w:type="dxa"/>
            <w:vAlign w:val="bottom"/>
            <w:gridSpan w:val="4"/>
          </w:tcPr>
          <w:p>
            <w:pPr>
              <w:spacing w:after="0"/>
              <w:rPr>
                <w:sz w:val="20"/>
                <w:szCs w:val="20"/>
                <w:color w:val="auto"/>
              </w:rPr>
            </w:pPr>
            <w:r>
              <w:rPr>
                <w:rFonts w:ascii="Arial" w:cs="Arial" w:eastAsia="Arial" w:hAnsi="Arial"/>
                <w:sz w:val="18"/>
                <w:szCs w:val="18"/>
                <w:b w:val="1"/>
                <w:bCs w:val="1"/>
                <w:color w:val="auto"/>
                <w:w w:val="96"/>
              </w:rPr>
              <w:t>For the Three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Ended</w:t>
            </w:r>
          </w:p>
        </w:tc>
        <w:tc>
          <w:tcPr>
            <w:tcW w:w="180" w:type="dxa"/>
            <w:vAlign w:val="bottom"/>
          </w:tcPr>
          <w:p>
            <w:pPr>
              <w:spacing w:after="0"/>
              <w:rPr>
                <w:sz w:val="19"/>
                <w:szCs w:val="19"/>
                <w:color w:val="auto"/>
              </w:rPr>
            </w:pPr>
          </w:p>
        </w:tc>
        <w:tc>
          <w:tcPr>
            <w:tcW w:w="16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 2017</w:t>
            </w:r>
          </w:p>
        </w:tc>
        <w:tc>
          <w:tcPr>
            <w:tcW w:w="180" w:type="dxa"/>
            <w:vAlign w:val="bottom"/>
          </w:tcPr>
          <w:p>
            <w:pPr>
              <w:spacing w:after="0"/>
              <w:rPr>
                <w:sz w:val="20"/>
                <w:szCs w:val="20"/>
                <w:color w:val="auto"/>
              </w:rPr>
            </w:pPr>
          </w:p>
        </w:tc>
        <w:tc>
          <w:tcPr>
            <w:tcW w:w="16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6"/>
              </w:rPr>
              <w:t>March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(188,845)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(56,621)</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Formation and organization costs paid by related parties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(64,964)</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gridSpan w:val="2"/>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4,264</w:t>
            </w:r>
          </w:p>
        </w:tc>
        <w:tc>
          <w:tcPr>
            <w:tcW w:w="1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(306,166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Interest released from Trust Account</w:t>
            </w:r>
          </w:p>
        </w:tc>
        <w:tc>
          <w:tcPr>
            <w:tcW w:w="16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71,702</w:t>
            </w:r>
          </w:p>
        </w:tc>
        <w:tc>
          <w:tcPr>
            <w:tcW w:w="1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71,702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(234,464)</w:t>
            </w: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362,535</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128,071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3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Change in common stock subject to possible conversion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188,845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2017, the Company had not yet commenced any operations. For the three months ended March 31, 2017, the Company’s activity has been limited to the evaluation of business combination candidates, and the Company will not be generating any operating revenues until the closing and completion of an initial business combination.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March 31, 2017.</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$54,694,127 placed into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Additionally,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its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within 18 months from the date of the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entered into between the Company and American Stock Transfer &amp; Trust Company, in order to extend the time available for the Company to consummate its initial Business Combination, the Company’s insiders or their affiliates or designees, upon five days advance notice prior to the applicable deadline, must deposit into the trust account $132,753 ($0.025 per unit), up to an aggregate of $398,259, or $0.075 per unit, on or prior to the date of the applicable deadline, for each one month extension.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condensed financial statements have been prepared assuming the Company will continue as a going concern, which contemplates, among other things, the realization of assets and satisfaction of liabilities in the normal course of business. As of March 31, 2017, the Company had approximately $128,000 in cash and cash equivalents held outside Trust Account, approximately $56,600 in interest income available from the Company's investments in the Trust Account to pay its tax obligations, and working capital of approximately $95,000.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March 19, 2018 (if an extension is not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financial statements do not include any adjustments that might be necessary if the Company is unable to continue as a going concern.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(“U.S. GAAP”) and pursuant to the rules and regulations of the Securities and Exchange Commission (“SEC”) for interim financial information and the instructions to Form 10-Q.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this Form 10-Q. Operating results for the quarter ended March 31, 2017 are not necessarily indicative of the results that may be expected for the year ended December 31, 2017 or any future interim period. The accompanying unaudited condensed financial statements should be read in conjunction with the Company’s financial statements and notes thereto included in the Company’s Form 10-K filed with the Securities and Exchange Commission on March 13,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As of March 31, 2017, marketable securities held in the Trust Account consisted of $54,716,747 in United States Treasury Bills with an original maturity of six months or less. During the three months ended March 31, 2017, the Company withdrew interest income totaling $71,702 to be utilized for payment of tax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complies with the requirements of FASB ASC 340-10-S99-1 and SEC Staff Accounting Bulletin (“SAB”) Topic 5A—“</w:t>
      </w:r>
      <w:r>
        <w:rPr>
          <w:rFonts w:ascii="Arial" w:cs="Arial" w:eastAsia="Arial" w:hAnsi="Arial"/>
          <w:sz w:val="18"/>
          <w:szCs w:val="18"/>
          <w:i w:val="1"/>
          <w:iCs w:val="1"/>
          <w:color w:val="auto"/>
        </w:rPr>
        <w:t>Expenses of Offering</w:t>
      </w:r>
      <w:r>
        <w:rPr>
          <w:rFonts w:ascii="Arial" w:cs="Arial" w:eastAsia="Arial" w:hAnsi="Arial"/>
          <w:sz w:val="18"/>
          <w:szCs w:val="18"/>
          <w:color w:val="auto"/>
        </w:rPr>
        <w:t>.” Deferred offering costs consist of costs incurred in connection with preparation for the Offering. These costs, together with the underwriter discount, were charged to capital upon completion of the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loss per common share is computed by dividing net loss applicable to common stockholders by the weighted average number of common shares outstanding during the period, plus, to the extent dilutive, the incremental number of shares of common stock to settle warrants, as calculated using the treasury stock method. An aggregate of 4,731,015 shares of common stock subject to possible redemption at March 31, 2017 and an aggregate of 187,500 shares subject to forfeiture if the over-allotment option was not exercised in full by the underwriters at March 31, 2016, have been excluded from the calculation of basic loss per ordinary share since such shares, if redeemed, only participate in their pro rata share of the trust earnings. At March 31, 2017,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are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condensed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and 2016 tax year. The Company believes that its income tax positions and deductions would be sustained on audit and does not anticipate any adjustments that would result in a material change to its financial position.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March 31, 2017. Management is currently unaware of any issues under review that could result in significant payments, accruals or material deviations from its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September 14, 2017,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Related Party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2016, the Company issued a $131,720 principal amount unsecured promissory note to an affiliate of the Company’s executive officers. The note was non-interest bearing and payable on the earlier of (i) the consummation of the Offering or (ii) the date on which the Company determines not to proceed with the Offering. As of March 31, 2017, all amounts under the note had been repaid.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 affiliate of the Company’s executive officers advanced funds to the Company to pay administrative expenses and offering costs incurred. These advances totaled $55,201 and were due on demand and are non-interest bearing. As of March 31, 2017, the Company repaid all advances.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Public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three months ended March 31, 2017 and 2016, the Company incurred administrative fees of $30,000 and $0,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April 2017, the Company and its Sponsor have agreed to defer payment of the monthly administrative service fee.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there are no preferred shares issued or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2017 and December 31, 2016, there were 2,327,728 and 2,310,710 common shares issued and outstanding, which excludes 4,731,015 and 4,748,033 shares subject to possible conversion,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includes forward-looking statements.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 References to “we”, “us”, “our” or the “Company” are to M I Acquisitions Inc., except where the context requires otherwise. The following discussion should be read in conjunction with our condensed financial statements and related notes thereto included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our public offering in effecting our initial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presently have no revenue, have had losses since inception from incurring formation costs and have had no operations other than the active solicitation of a target business with which to complete a business combination. We have relied upon the sale of our securities and loans from our officers and directors to fund our operations. During the three months ended March 31, 2017, we withdrew interest income totaling $71,706 to be utilized for payment of tax obligations.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14, 2016, a total of $54,694,127 of the net proceeds from the Offering and the Private Placement were in a trust account established for the benefit of the Company’s public shareholders.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entire activity from inception up to September 19, 2016 was in preparation for the Offering. Since the Offering, our activity has been limited to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 Our expenses have increased substantially since closing the Offering.</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2017, we had a net loss of $188,845. During the three months ended March 31, 2017, we incurred $215,466 of general and administrative expenses and $30,000 of administrative fees paid to a related party. For the three months ended March 31, 2016, we had a net loss of $7,264. During the three months ended March 31, 2016, we incurred $7,264 of general and administrative expenses.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we had cash outside our trust account of $128,071.</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liquidity needs have been satisfied to date through the Offering, the receipt of $25,000 from the sale of the insider shares and loans from insiders and a related party and an unrelated party in an aggregate amount of $186,720 that are more fully described below. In addition, during the three months ended March 31, 2017, we withdrew interest income totaling $71,706 to be utilized for payment of tax obligations.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Offering, including the funds held in the trust account, in connection with our initial business combination and to pay our expenses relating thereto, including a deferred underwriting commission payable to Chardan Capital Markets, LLC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anticipate that the approximately $128,000 outside of our trust account will be insufficient to allow us to operate until March 19, 2018 (if an extension is not completed), assuming that a business combination is not consummated during that time. We anticipate that we may need to raise additional capital through loans or additional investments from our shareholders, officers, directors, or third parties to allow us to operate March 19, 2018 (if an extension is not completed). None of the shareholders, officers or directors are under any obligation to advance funds to, or to invest in, our company. Accordingly, we may not be able to obtain additional financing. If we are unable to raise additional capital, we may be required to take additional measures to conserve liquidity, which could include, but not necessarily be limited to, curtailing operations, suspending the pursuit of our business plan, and reducing overhead expenses. We cannot provide any assurance that new financing will be available to us on commercially acceptable terms, if at all. These matters, among others, raise substantial doubt about the Company’s ability to continue as a going concern.</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2017, we were not subject to any market or interest rate risk. Following the consummation of the Offering, the net proceeds of the Offering, including amounts in the trust account, may be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March 31, 2017,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of 2017 covered by this Quarterly Report on Form 10-Q that has materially affected, or is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The holders of the Private Units have agreed (A) to vote their private shares and any public shares acquired by them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by March 13, 2018 (or June 13, 2018 if an extension is completed),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by March 13, 2018 (or June 13, 2018, if an extension is completed)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14, 2016, a total of $54,694,127 of the net proceeds from the Offering and the Private Placement were in a trust account established for the benefit of the Company’s public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paid a total of $1,593,033 in underwriting discounts and commissions and $1,687,451 for other costs and expenses related to our formation and the IPO.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6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385"/>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140" w:type="dxa"/>
            <w:vAlign w:val="bottom"/>
            <w:tcBorders>
              <w:top w:val="single" w:sz="8" w:color="auto"/>
              <w:bottom w:val="single" w:sz="8" w:color="0000EE"/>
            </w:tcBorders>
            <w:gridSpan w:val="3"/>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Certification of Chief Executive Officer pursuant to Rule 13a-14 and Rule 15d-14(a), promulgated under the Securities and Exchange Act of</w:t>
              </w:r>
            </w:hyperlink>
          </w:p>
        </w:tc>
        <w:tc>
          <w:tcPr>
            <w:tcW w:w="20" w:type="dxa"/>
            <w:vAlign w:val="bottom"/>
            <w:tcBorders>
              <w:top w:val="single" w:sz="8" w:color="auto"/>
            </w:tcBorders>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1934, as amended.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160" w:type="dxa"/>
            <w:vAlign w:val="bottom"/>
            <w:gridSpan w:val="4"/>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Certification of Chief Financial Officer pursuant to Rule 13a-14 and Rule 15d-14(a), promulgated under the Securities and Exchange Act of</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1934, as amended.</w:t>
              </w:r>
            </w:hyperlink>
          </w:p>
        </w:tc>
        <w:tc>
          <w:tcPr>
            <w:tcW w:w="8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right="60" w:hanging="1252"/>
        <w:spacing w:after="0" w:line="277" w:lineRule="auto"/>
        <w:tabs>
          <w:tab w:leader="none" w:pos="1260" w:val="left"/>
        </w:tabs>
        <w:numPr>
          <w:ilvl w:val="0"/>
          <w:numId w:val="4"/>
        </w:numPr>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of the Sarbanes-Oxley Act of 2002.</w:t>
        </w:r>
      </w:hyperlink>
    </w:p>
    <w:p>
      <w:pPr>
        <w:spacing w:after="0" w:line="17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98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ind w:left="46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904"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Joshua Sason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Joshua Sason,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Date: May 15,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Manuel,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8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Date: May 15,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M I Acquisitions, Inc. (the “Company”) on Form 10-Q for the quarter ended March 31, 2017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380" w:hanging="328"/>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May 15, 2017</w:t>
      </w:r>
    </w:p>
    <w:p>
      <w:pPr>
        <w:ind w:left="686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15,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347"/>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32"/>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2020-01-17T09:33:02Z</dcterms:created>
  <dcterms:modified xsi:type="dcterms:W3CDTF">2020-01-17T09:33:02Z</dcterms:modified>
</cp:coreProperties>
</file>