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 I ACQUISITIONS,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55304A104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5080"/>
        <w:spacing w:after="0"/>
        <w:rPr>
          <w:sz w:val="20"/>
          <w:szCs w:val="20"/>
          <w:color w:val="auto"/>
        </w:rPr>
      </w:pPr>
      <w:r>
        <w:rPr>
          <w:rFonts w:ascii="Arial" w:cs="Arial" w:eastAsia="Arial" w:hAnsi="Arial"/>
          <w:sz w:val="22"/>
          <w:szCs w:val="22"/>
          <w:color w:val="auto"/>
        </w:rPr>
        <w:t>June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spacing w:after="0" w:line="1" w:lineRule="exact"/>
        <w:rPr>
          <w:rFonts w:ascii="Arial" w:cs="Arial" w:eastAsia="Arial" w:hAnsi="Arial"/>
          <w:sz w:val="21"/>
          <w:szCs w:val="21"/>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67" w:lineRule="exact"/>
        <w:rPr>
          <w:rFonts w:ascii="Arial" w:cs="Arial" w:eastAsia="Arial" w:hAnsi="Arial"/>
          <w:sz w:val="22"/>
          <w:szCs w:val="22"/>
          <w:color w:val="auto"/>
        </w:rPr>
      </w:pPr>
    </w:p>
    <w:p>
      <w:pPr>
        <w:spacing w:after="0" w:line="210" w:lineRule="auto"/>
        <w:rPr>
          <w:rFonts w:ascii="Arial" w:cs="Arial" w:eastAsia="Arial" w:hAnsi="Arial"/>
          <w:sz w:val="22"/>
          <w:szCs w:val="22"/>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55304A104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Hazelbrook Investors (Bermuda) 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Bermuda</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354,600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3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354,600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36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354,600</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5.04%</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PN</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3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M I ACQUISITIONS,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40 Wall Street, 58th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10005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Hazelbrook Investors (Bermuda) L.P.</w:t>
      </w:r>
    </w:p>
    <w:p>
      <w:pPr>
        <w:spacing w:after="0" w:line="101" w:lineRule="exact"/>
        <w:rPr>
          <w:rFonts w:ascii="Arial" w:cs="Arial" w:eastAsia="Arial" w:hAnsi="Arial"/>
          <w:sz w:val="22"/>
          <w:szCs w:val="22"/>
          <w:b w:val="1"/>
          <w:bCs w:val="1"/>
          <w:color w:val="auto"/>
        </w:rPr>
      </w:pPr>
    </w:p>
    <w:p>
      <w:pPr>
        <w:ind w:left="1780" w:right="4080" w:hanging="407"/>
        <w:spacing w:after="0" w:line="256"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Group LLP</w:t>
      </w:r>
    </w:p>
    <w:p>
      <w:pPr>
        <w:spacing w:after="0" w:line="81" w:lineRule="exact"/>
        <w:rPr>
          <w:rFonts w:ascii="Arial" w:cs="Arial" w:eastAsia="Arial" w:hAnsi="Arial"/>
          <w:sz w:val="22"/>
          <w:szCs w:val="22"/>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55304A104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[X]</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354,600</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5.04%</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354,600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354,600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right="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ectPr>
          <w:pgSz w:w="11900" w:h="16880"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1380" w:right="4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33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jc w:val="center"/>
        <w:ind w:right="70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2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8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 Hazelbrook Investors (Bermuda) L.P.</w:t>
      </w:r>
    </w:p>
    <w:p>
      <w:pPr>
        <w:spacing w:after="0" w:line="34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 Wellington Alternative Investments LLC</w:t>
      </w:r>
    </w:p>
    <w:p>
      <w:pPr>
        <w:spacing w:after="0" w:line="8"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Its General Partner</w:t>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N. Shea</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Name: Matthew N. Shea</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Date: June 25, 2018</w:t>
      </w:r>
    </w:p>
    <w:sectPr>
      <w:pgSz w:w="11900" w:h="16838" w:orient="portrait"/>
      <w:cols w:equalWidth="0" w:num="1">
        <w:col w:w="11140"/>
      </w:cols>
      <w:pgMar w:left="320" w:top="2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2020-01-15T18:47:43Z</dcterms:created>
  <dcterms:modified xsi:type="dcterms:W3CDTF">2020-01-15T18:47:43Z</dcterms:modified>
</cp:coreProperties>
</file>