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United States</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SECURITIES AND EXCHANGE COMMISSION</w:t>
      </w:r>
    </w:p>
    <w:p>
      <w:pPr>
        <w:spacing w:after="0" w:line="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3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Form 8-K</w:t>
      </w:r>
    </w:p>
    <w:p>
      <w:pPr>
        <w:spacing w:after="0" w:line="150"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Pursuant to Section 13 or 15(d) of the</w:t>
      </w:r>
    </w:p>
    <w:p>
      <w:pPr>
        <w:spacing w:after="0" w:line="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Securities Exchange Act of 1934</w:t>
      </w:r>
    </w:p>
    <w:p>
      <w:pPr>
        <w:spacing w:after="0" w:line="13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May 9, 2024</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2743200</wp:posOffset>
            </wp:positionH>
            <wp:positionV relativeFrom="paragraph">
              <wp:posOffset>3810</wp:posOffset>
            </wp:positionV>
            <wp:extent cx="1691640" cy="782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91640" cy="7829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u w:val="single" w:color="auto"/>
          <w:color w:val="auto"/>
        </w:rPr>
        <w:t>Priority Technology Holdings, Inc.</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216" w:lineRule="exact"/>
        <w:rPr>
          <w:sz w:val="24"/>
          <w:szCs w:val="24"/>
          <w:color w:val="auto"/>
        </w:rPr>
      </w:pPr>
    </w:p>
    <w:tbl>
      <w:tblPr>
        <w:tblLayout w:type="fixed"/>
        <w:tblInd w:w="8" w:type="dxa"/>
        <w:tblCellMar>
          <w:top w:w="0" w:type="dxa"/>
          <w:left w:w="0" w:type="dxa"/>
          <w:bottom w:w="0" w:type="dxa"/>
          <w:right w:w="0" w:type="dxa"/>
        </w:tblCellMar>
      </w:tblPr>
      <w:tr>
        <w:trPr>
          <w:trHeight w:val="159"/>
        </w:trPr>
        <w:tc>
          <w:tcPr>
            <w:tcW w:w="400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21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001-37872</w:t>
            </w:r>
          </w:p>
        </w:tc>
        <w:tc>
          <w:tcPr>
            <w:tcW w:w="1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580" w:type="dxa"/>
            <w:vAlign w:val="bottom"/>
          </w:tcPr>
          <w:p>
            <w:pPr>
              <w:jc w:val="right"/>
              <w:ind w:right="1440"/>
              <w:spacing w:after="0"/>
              <w:rPr>
                <w:sz w:val="20"/>
                <w:szCs w:val="20"/>
                <w:color w:val="auto"/>
              </w:rPr>
            </w:pPr>
            <w:r>
              <w:rPr>
                <w:rFonts w:ascii="Times New Roman" w:cs="Times New Roman" w:eastAsia="Times New Roman" w:hAnsi="Times New Roman"/>
                <w:sz w:val="12"/>
                <w:szCs w:val="12"/>
                <w:b w:val="1"/>
                <w:bCs w:val="1"/>
                <w:color w:val="auto"/>
              </w:rPr>
              <w:t>47-4257046</w:t>
            </w:r>
          </w:p>
        </w:tc>
        <w:tc>
          <w:tcPr>
            <w:tcW w:w="20" w:type="dxa"/>
            <w:vAlign w:val="bottom"/>
          </w:tcPr>
          <w:p>
            <w:pPr>
              <w:spacing w:after="0"/>
              <w:rPr>
                <w:sz w:val="13"/>
                <w:szCs w:val="13"/>
                <w:color w:val="auto"/>
              </w:rPr>
            </w:pPr>
          </w:p>
        </w:tc>
      </w:tr>
      <w:tr>
        <w:trPr>
          <w:trHeight w:val="144"/>
        </w:trPr>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(State or other jurisdiction of incorporation)</w:t>
            </w:r>
          </w:p>
        </w:tc>
        <w:tc>
          <w:tcPr>
            <w:tcW w:w="320" w:type="dxa"/>
            <w:vAlign w:val="bottom"/>
          </w:tcPr>
          <w:p>
            <w:pPr>
              <w:spacing w:after="0"/>
              <w:rPr>
                <w:sz w:val="12"/>
                <w:szCs w:val="12"/>
                <w:color w:val="auto"/>
              </w:rPr>
            </w:pPr>
          </w:p>
        </w:tc>
        <w:tc>
          <w:tcPr>
            <w:tcW w:w="3380" w:type="dxa"/>
            <w:vAlign w:val="bottom"/>
            <w:tcBorders>
              <w:top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2"/>
                <w:szCs w:val="12"/>
                <w:color w:val="auto"/>
                <w:w w:val="99"/>
              </w:rPr>
              <w:t>(Commission File Number)</w:t>
            </w:r>
          </w:p>
        </w:tc>
        <w:tc>
          <w:tcPr>
            <w:tcW w:w="320" w:type="dxa"/>
            <w:vAlign w:val="bottom"/>
          </w:tcPr>
          <w:p>
            <w:pPr>
              <w:spacing w:after="0"/>
              <w:rPr>
                <w:sz w:val="12"/>
                <w:szCs w:val="12"/>
                <w:color w:val="auto"/>
              </w:rPr>
            </w:pPr>
          </w:p>
        </w:tc>
        <w:tc>
          <w:tcPr>
            <w:tcW w:w="3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(I.R.S. Employer Identification No.)</w:t>
            </w:r>
          </w:p>
        </w:tc>
        <w:tc>
          <w:tcPr>
            <w:tcW w:w="20" w:type="dxa"/>
            <w:vAlign w:val="bottom"/>
          </w:tcPr>
          <w:p>
            <w:pPr>
              <w:spacing w:after="0"/>
              <w:rPr>
                <w:sz w:val="12"/>
                <w:szCs w:val="12"/>
                <w:color w:val="auto"/>
              </w:rPr>
            </w:pPr>
          </w:p>
        </w:tc>
      </w:tr>
      <w:tr>
        <w:trPr>
          <w:trHeight w:val="433"/>
        </w:trPr>
        <w:tc>
          <w:tcPr>
            <w:tcW w:w="4000" w:type="dxa"/>
            <w:vAlign w:val="bottom"/>
            <w:gridSpan w:val="2"/>
          </w:tcPr>
          <w:p>
            <w:pPr>
              <w:jc w:val="center"/>
              <w:ind w:left="1700"/>
              <w:spacing w:after="0"/>
              <w:rPr>
                <w:sz w:val="20"/>
                <w:szCs w:val="20"/>
                <w:color w:val="auto"/>
              </w:rPr>
            </w:pPr>
            <w:r>
              <w:rPr>
                <w:rFonts w:ascii="Times New Roman" w:cs="Times New Roman" w:eastAsia="Times New Roman" w:hAnsi="Times New Roman"/>
                <w:sz w:val="12"/>
                <w:szCs w:val="12"/>
                <w:b w:val="1"/>
                <w:bCs w:val="1"/>
                <w:color w:val="auto"/>
                <w:w w:val="98"/>
              </w:rPr>
              <w:t>2001 Westside Parkway</w:t>
            </w:r>
          </w:p>
        </w:tc>
        <w:tc>
          <w:tcPr>
            <w:tcW w:w="1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53"/>
        </w:trPr>
        <w:tc>
          <w:tcPr>
            <w:tcW w:w="4000" w:type="dxa"/>
            <w:vAlign w:val="bottom"/>
            <w:gridSpan w:val="2"/>
          </w:tcPr>
          <w:p>
            <w:pPr>
              <w:jc w:val="center"/>
              <w:ind w:left="1700"/>
              <w:spacing w:after="0"/>
              <w:rPr>
                <w:sz w:val="20"/>
                <w:szCs w:val="20"/>
                <w:color w:val="auto"/>
              </w:rPr>
            </w:pPr>
            <w:r>
              <w:rPr>
                <w:rFonts w:ascii="Times New Roman" w:cs="Times New Roman" w:eastAsia="Times New Roman" w:hAnsi="Times New Roman"/>
                <w:sz w:val="12"/>
                <w:szCs w:val="12"/>
                <w:b w:val="1"/>
                <w:bCs w:val="1"/>
                <w:color w:val="auto"/>
              </w:rPr>
              <w:t>Suite 155</w:t>
            </w:r>
          </w:p>
        </w:tc>
        <w:tc>
          <w:tcPr>
            <w:tcW w:w="1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9"/>
        </w:trPr>
        <w:tc>
          <w:tcPr>
            <w:tcW w:w="4000" w:type="dxa"/>
            <w:vAlign w:val="bottom"/>
            <w:gridSpan w:val="2"/>
          </w:tcPr>
          <w:p>
            <w:pPr>
              <w:ind w:left="1140"/>
              <w:spacing w:after="0"/>
              <w:rPr>
                <w:sz w:val="20"/>
                <w:szCs w:val="20"/>
                <w:color w:val="auto"/>
              </w:rPr>
            </w:pPr>
            <w:r>
              <w:rPr>
                <w:rFonts w:ascii="Times New Roman" w:cs="Times New Roman" w:eastAsia="Times New Roman" w:hAnsi="Times New Roman"/>
                <w:sz w:val="12"/>
                <w:szCs w:val="12"/>
                <w:b w:val="1"/>
                <w:bCs w:val="1"/>
                <w:color w:val="auto"/>
              </w:rPr>
              <w:t>Alpharetta,</w:t>
            </w:r>
          </w:p>
        </w:tc>
        <w:tc>
          <w:tcPr>
            <w:tcW w:w="3700" w:type="dxa"/>
            <w:vAlign w:val="bottom"/>
            <w:gridSpan w:val="4"/>
          </w:tcPr>
          <w:p>
            <w:pPr>
              <w:ind w:left="120"/>
              <w:spacing w:after="0"/>
              <w:rPr>
                <w:sz w:val="20"/>
                <w:szCs w:val="20"/>
                <w:color w:val="auto"/>
              </w:rPr>
            </w:pPr>
            <w:r>
              <w:rPr>
                <w:rFonts w:ascii="Times New Roman" w:cs="Times New Roman" w:eastAsia="Times New Roman" w:hAnsi="Times New Roman"/>
                <w:sz w:val="12"/>
                <w:szCs w:val="12"/>
                <w:b w:val="1"/>
                <w:bCs w:val="1"/>
                <w:color w:val="auto"/>
              </w:rPr>
              <w:t>Georgia</w:t>
            </w:r>
          </w:p>
        </w:tc>
        <w:tc>
          <w:tcPr>
            <w:tcW w:w="3580" w:type="dxa"/>
            <w:vAlign w:val="bottom"/>
          </w:tcPr>
          <w:p>
            <w:pPr>
              <w:jc w:val="right"/>
              <w:ind w:right="2380"/>
              <w:spacing w:after="0"/>
              <w:rPr>
                <w:sz w:val="20"/>
                <w:szCs w:val="20"/>
                <w:color w:val="auto"/>
              </w:rPr>
            </w:pPr>
            <w:r>
              <w:rPr>
                <w:rFonts w:ascii="Times New Roman" w:cs="Times New Roman" w:eastAsia="Times New Roman" w:hAnsi="Times New Roman"/>
                <w:sz w:val="12"/>
                <w:szCs w:val="12"/>
                <w:b w:val="1"/>
                <w:bCs w:val="1"/>
                <w:color w:val="auto"/>
              </w:rPr>
              <w:t>30004</w:t>
            </w:r>
          </w:p>
        </w:tc>
        <w:tc>
          <w:tcPr>
            <w:tcW w:w="20" w:type="dxa"/>
            <w:vAlign w:val="bottom"/>
          </w:tcPr>
          <w:p>
            <w:pPr>
              <w:spacing w:after="0"/>
              <w:rPr>
                <w:sz w:val="13"/>
                <w:szCs w:val="13"/>
                <w:color w:val="auto"/>
              </w:rPr>
            </w:pPr>
          </w:p>
        </w:tc>
      </w:tr>
      <w:tr>
        <w:trPr>
          <w:trHeight w:val="144"/>
        </w:trPr>
        <w:tc>
          <w:tcPr>
            <w:tcW w:w="4000" w:type="dxa"/>
            <w:vAlign w:val="bottom"/>
            <w:tcBorders>
              <w:top w:val="single" w:sz="8" w:color="auto"/>
            </w:tcBorders>
            <w:gridSpan w:val="2"/>
          </w:tcPr>
          <w:p>
            <w:pPr>
              <w:jc w:val="center"/>
              <w:ind w:left="1660"/>
              <w:spacing w:after="0"/>
              <w:rPr>
                <w:sz w:val="20"/>
                <w:szCs w:val="20"/>
                <w:color w:val="auto"/>
              </w:rPr>
            </w:pPr>
            <w:r>
              <w:rPr>
                <w:rFonts w:ascii="Times New Roman" w:cs="Times New Roman" w:eastAsia="Times New Roman" w:hAnsi="Times New Roman"/>
                <w:sz w:val="12"/>
                <w:szCs w:val="12"/>
                <w:color w:val="auto"/>
              </w:rPr>
              <w:t>(Address of Principal Executive Offices)</w:t>
            </w:r>
          </w:p>
        </w:tc>
        <w:tc>
          <w:tcPr>
            <w:tcW w:w="176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580" w:type="dxa"/>
            <w:vAlign w:val="bottom"/>
            <w:tcBorders>
              <w:top w:val="single" w:sz="8" w:color="auto"/>
            </w:tcBorders>
          </w:tcPr>
          <w:p>
            <w:pPr>
              <w:jc w:val="center"/>
              <w:ind w:right="1560"/>
              <w:spacing w:after="0"/>
              <w:rPr>
                <w:sz w:val="20"/>
                <w:szCs w:val="20"/>
                <w:color w:val="auto"/>
              </w:rPr>
            </w:pPr>
            <w:r>
              <w:rPr>
                <w:rFonts w:ascii="Times New Roman" w:cs="Times New Roman" w:eastAsia="Times New Roman" w:hAnsi="Times New Roman"/>
                <w:sz w:val="12"/>
                <w:szCs w:val="12"/>
                <w:color w:val="auto"/>
                <w:w w:val="98"/>
              </w:rPr>
              <w:t>(Zip Code)</w:t>
            </w:r>
          </w:p>
        </w:tc>
        <w:tc>
          <w:tcPr>
            <w:tcW w:w="20" w:type="dxa"/>
            <w:vAlign w:val="bottom"/>
            <w:tcBorders>
              <w:top w:val="single" w:sz="8" w:color="auto"/>
            </w:tcBorders>
          </w:tcPr>
          <w:p>
            <w:pPr>
              <w:spacing w:after="0"/>
              <w:rPr>
                <w:sz w:val="12"/>
                <w:szCs w:val="12"/>
                <w:color w:val="auto"/>
              </w:rPr>
            </w:pPr>
          </w:p>
        </w:tc>
      </w:tr>
    </w:tbl>
    <w:p>
      <w:pPr>
        <w:spacing w:after="0" w:line="181" w:lineRule="exact"/>
        <w:rPr>
          <w:sz w:val="24"/>
          <w:szCs w:val="24"/>
          <w:color w:val="auto"/>
        </w:rPr>
      </w:pPr>
    </w:p>
    <w:p>
      <w:pPr>
        <w:jc w:val="center"/>
        <w:ind w:right="32"/>
        <w:spacing w:after="0"/>
        <w:rPr>
          <w:sz w:val="20"/>
          <w:szCs w:val="20"/>
          <w:color w:val="auto"/>
        </w:rPr>
      </w:pPr>
      <w:r>
        <w:rPr>
          <w:rFonts w:ascii="Times New Roman" w:cs="Times New Roman" w:eastAsia="Times New Roman" w:hAnsi="Times New Roman"/>
          <w:sz w:val="12"/>
          <w:szCs w:val="12"/>
          <w:color w:val="auto"/>
        </w:rPr>
        <w:t xml:space="preserve">Registrant's telephone number, including area code: </w:t>
      </w:r>
      <w:r>
        <w:rPr>
          <w:rFonts w:ascii="Times New Roman" w:cs="Times New Roman" w:eastAsia="Times New Roman" w:hAnsi="Times New Roman"/>
          <w:sz w:val="12"/>
          <w:szCs w:val="12"/>
          <w:b w:val="1"/>
          <w:bCs w:val="1"/>
          <w:color w:val="auto"/>
        </w:rPr>
        <w:t>(800) 935-5961</w:t>
      </w:r>
    </w:p>
    <w:p>
      <w:pPr>
        <w:spacing w:after="0" w:line="154" w:lineRule="exact"/>
        <w:rPr>
          <w:sz w:val="24"/>
          <w:szCs w:val="24"/>
          <w:color w:val="auto"/>
        </w:rPr>
      </w:pPr>
    </w:p>
    <w:p>
      <w:pPr>
        <w:jc w:val="center"/>
        <w:ind w:right="32"/>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p>
      <w:pPr>
        <w:spacing w:after="0" w:line="150"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2"/>
          <w:szCs w:val="12"/>
          <w:u w:val="single" w:color="auto"/>
          <w:color w:val="auto"/>
        </w:rPr>
        <w:t>see</w:t>
      </w:r>
      <w:r>
        <w:rPr>
          <w:rFonts w:ascii="Times New Roman" w:cs="Times New Roman" w:eastAsia="Times New Roman" w:hAnsi="Times New Roman"/>
          <w:sz w:val="12"/>
          <w:szCs w:val="12"/>
          <w:color w:val="auto"/>
        </w:rPr>
        <w:t xml:space="preserve"> General Instruction A.2. below):</w:t>
      </w:r>
    </w:p>
    <w:p>
      <w:pPr>
        <w:spacing w:after="0" w:line="150" w:lineRule="exact"/>
        <w:rPr>
          <w:sz w:val="24"/>
          <w:szCs w:val="24"/>
          <w:color w:val="auto"/>
        </w:rPr>
      </w:pPr>
    </w:p>
    <w:p>
      <w:pPr>
        <w:ind w:left="288" w:hanging="288"/>
        <w:spacing w:after="0"/>
        <w:tabs>
          <w:tab w:leader="none" w:pos="28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50" w:lineRule="exact"/>
        <w:rPr>
          <w:rFonts w:ascii="MS PGothic" w:cs="MS PGothic" w:eastAsia="MS PGothic" w:hAnsi="MS PGothic"/>
          <w:sz w:val="12"/>
          <w:szCs w:val="12"/>
          <w:color w:val="auto"/>
        </w:rPr>
      </w:pPr>
    </w:p>
    <w:p>
      <w:pPr>
        <w:ind w:left="288" w:hanging="288"/>
        <w:spacing w:after="0"/>
        <w:tabs>
          <w:tab w:leader="none" w:pos="28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50" w:lineRule="exact"/>
        <w:rPr>
          <w:rFonts w:ascii="MS PGothic" w:cs="MS PGothic" w:eastAsia="MS PGothic" w:hAnsi="MS PGothic"/>
          <w:sz w:val="12"/>
          <w:szCs w:val="12"/>
          <w:color w:val="auto"/>
        </w:rPr>
      </w:pPr>
    </w:p>
    <w:p>
      <w:pPr>
        <w:ind w:left="288" w:hanging="288"/>
        <w:spacing w:after="0"/>
        <w:tabs>
          <w:tab w:leader="none" w:pos="28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50" w:lineRule="exact"/>
        <w:rPr>
          <w:rFonts w:ascii="MS PGothic" w:cs="MS PGothic" w:eastAsia="MS PGothic" w:hAnsi="MS PGothic"/>
          <w:sz w:val="12"/>
          <w:szCs w:val="12"/>
          <w:color w:val="auto"/>
        </w:rPr>
      </w:pPr>
    </w:p>
    <w:p>
      <w:pPr>
        <w:ind w:left="288" w:hanging="288"/>
        <w:spacing w:after="0"/>
        <w:tabs>
          <w:tab w:leader="none" w:pos="28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312" w:lineRule="exact"/>
        <w:rPr>
          <w:sz w:val="24"/>
          <w:szCs w:val="24"/>
          <w:color w:val="auto"/>
        </w:rPr>
      </w:pPr>
    </w:p>
    <w:tbl>
      <w:tblPr>
        <w:tblLayout w:type="fixed"/>
        <w:tblInd w:w="8" w:type="dxa"/>
        <w:tblCellMar>
          <w:top w:w="0" w:type="dxa"/>
          <w:left w:w="0" w:type="dxa"/>
          <w:bottom w:w="0" w:type="dxa"/>
          <w:right w:w="0" w:type="dxa"/>
        </w:tblCellMar>
      </w:tblPr>
      <w:tr>
        <w:trPr>
          <w:trHeight w:val="155"/>
        </w:trPr>
        <w:tc>
          <w:tcPr>
            <w:tcW w:w="56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6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352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234"/>
        </w:trPr>
        <w:tc>
          <w:tcPr>
            <w:tcW w:w="560" w:type="dxa"/>
            <w:vAlign w:val="bottom"/>
          </w:tcPr>
          <w:p>
            <w:pPr>
              <w:spacing w:after="0"/>
              <w:rPr>
                <w:sz w:val="20"/>
                <w:szCs w:val="20"/>
                <w:color w:val="auto"/>
              </w:rPr>
            </w:pPr>
          </w:p>
        </w:tc>
        <w:tc>
          <w:tcPr>
            <w:tcW w:w="360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Title of each class</w:t>
            </w:r>
          </w:p>
        </w:tc>
        <w:tc>
          <w:tcPr>
            <w:tcW w:w="3060" w:type="dxa"/>
            <w:vAlign w:val="bottom"/>
            <w:gridSpan w:val="3"/>
          </w:tcPr>
          <w:p>
            <w:pPr>
              <w:jc w:val="center"/>
              <w:ind w:right="1080"/>
              <w:spacing w:after="0"/>
              <w:rPr>
                <w:sz w:val="20"/>
                <w:szCs w:val="20"/>
                <w:color w:val="auto"/>
              </w:rPr>
            </w:pPr>
            <w:r>
              <w:rPr>
                <w:rFonts w:ascii="Times New Roman" w:cs="Times New Roman" w:eastAsia="Times New Roman" w:hAnsi="Times New Roman"/>
                <w:sz w:val="12"/>
                <w:szCs w:val="12"/>
                <w:b w:val="1"/>
                <w:bCs w:val="1"/>
                <w:color w:val="auto"/>
                <w:w w:val="97"/>
              </w:rPr>
              <w:t>Trading Symbol</w:t>
            </w:r>
          </w:p>
        </w:tc>
        <w:tc>
          <w:tcPr>
            <w:tcW w:w="4080" w:type="dxa"/>
            <w:vAlign w:val="bottom"/>
            <w:gridSpan w:val="2"/>
          </w:tcPr>
          <w:p>
            <w:pPr>
              <w:jc w:val="center"/>
              <w:ind w:right="1460"/>
              <w:spacing w:after="0"/>
              <w:rPr>
                <w:sz w:val="20"/>
                <w:szCs w:val="20"/>
                <w:color w:val="auto"/>
              </w:rPr>
            </w:pPr>
            <w:r>
              <w:rPr>
                <w:rFonts w:ascii="Times New Roman" w:cs="Times New Roman" w:eastAsia="Times New Roman" w:hAnsi="Times New Roman"/>
                <w:sz w:val="12"/>
                <w:szCs w:val="12"/>
                <w:b w:val="1"/>
                <w:bCs w:val="1"/>
                <w:color w:val="auto"/>
                <w:w w:val="99"/>
              </w:rPr>
              <w:t>Name of each exchange on which registered</w:t>
            </w:r>
          </w:p>
        </w:tc>
      </w:tr>
      <w:tr>
        <w:trPr>
          <w:trHeight w:val="144"/>
        </w:trPr>
        <w:tc>
          <w:tcPr>
            <w:tcW w:w="560" w:type="dxa"/>
            <w:vAlign w:val="bottom"/>
          </w:tcPr>
          <w:p>
            <w:pPr>
              <w:spacing w:after="0"/>
              <w:rPr>
                <w:sz w:val="12"/>
                <w:szCs w:val="12"/>
                <w:color w:val="auto"/>
              </w:rPr>
            </w:pPr>
          </w:p>
        </w:tc>
        <w:tc>
          <w:tcPr>
            <w:tcW w:w="3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Common stock, $0.001 par value</w:t>
            </w:r>
          </w:p>
        </w:tc>
        <w:tc>
          <w:tcPr>
            <w:tcW w:w="200" w:type="dxa"/>
            <w:vAlign w:val="bottom"/>
          </w:tcPr>
          <w:p>
            <w:pPr>
              <w:spacing w:after="0"/>
              <w:rPr>
                <w:sz w:val="12"/>
                <w:szCs w:val="12"/>
                <w:color w:val="auto"/>
              </w:rPr>
            </w:pPr>
          </w:p>
        </w:tc>
        <w:tc>
          <w:tcPr>
            <w:tcW w:w="1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PRTH</w:t>
            </w:r>
          </w:p>
        </w:tc>
        <w:tc>
          <w:tcPr>
            <w:tcW w:w="18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3520" w:type="dxa"/>
            <w:vAlign w:val="bottom"/>
            <w:tcBorders>
              <w:top w:val="single" w:sz="8" w:color="auto"/>
            </w:tcBorders>
          </w:tcPr>
          <w:p>
            <w:pPr>
              <w:jc w:val="center"/>
              <w:ind w:right="840"/>
              <w:spacing w:after="0"/>
              <w:rPr>
                <w:sz w:val="20"/>
                <w:szCs w:val="20"/>
                <w:color w:val="auto"/>
              </w:rPr>
            </w:pPr>
            <w:r>
              <w:rPr>
                <w:rFonts w:ascii="Times New Roman" w:cs="Times New Roman" w:eastAsia="Times New Roman" w:hAnsi="Times New Roman"/>
                <w:sz w:val="12"/>
                <w:szCs w:val="12"/>
                <w:color w:val="auto"/>
              </w:rPr>
              <w:t>Nasdaq Global Market</w:t>
            </w:r>
          </w:p>
        </w:tc>
        <w:tc>
          <w:tcPr>
            <w:tcW w:w="560" w:type="dxa"/>
            <w:vAlign w:val="bottom"/>
          </w:tcPr>
          <w:p>
            <w:pPr>
              <w:spacing w:after="0"/>
              <w:rPr>
                <w:sz w:val="12"/>
                <w:szCs w:val="12"/>
                <w:color w:val="auto"/>
              </w:rPr>
            </w:pPr>
          </w:p>
        </w:tc>
      </w:tr>
      <w:tr>
        <w:trPr>
          <w:trHeight w:val="808"/>
        </w:trPr>
        <w:tc>
          <w:tcPr>
            <w:tcW w:w="560" w:type="dxa"/>
            <w:vAlign w:val="bottom"/>
            <w:tcBorders>
              <w:bottom w:val="single" w:sz="8" w:color="9A9A9A"/>
            </w:tcBorders>
          </w:tcPr>
          <w:p>
            <w:pPr>
              <w:spacing w:after="0"/>
              <w:rPr>
                <w:sz w:val="24"/>
                <w:szCs w:val="24"/>
                <w:color w:val="auto"/>
              </w:rPr>
            </w:pPr>
          </w:p>
        </w:tc>
        <w:tc>
          <w:tcPr>
            <w:tcW w:w="34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5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7159625</wp:posOffset>
            </wp:positionH>
            <wp:positionV relativeFrom="paragraph">
              <wp:posOffset>-23495</wp:posOffset>
            </wp:positionV>
            <wp:extent cx="31115"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8"/>
          </w:cols>
          <w:pgMar w:left="292" w:top="710" w:right="299" w:bottom="1440" w:gutter="0" w:footer="0" w:header="0"/>
        </w:sectPr>
      </w:pPr>
    </w:p>
    <w:bookmarkStart w:id="1" w:name="page2"/>
    <w:bookmarkEnd w:id="1"/>
    <w:p>
      <w:pPr>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1" w:lineRule="exact"/>
        <w:rPr>
          <w:sz w:val="20"/>
          <w:szCs w:val="20"/>
          <w:color w:val="auto"/>
        </w:rPr>
      </w:pPr>
    </w:p>
    <w:p>
      <w:pPr>
        <w:ind w:left="1200"/>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96" w:lineRule="exact"/>
        <w:rPr>
          <w:sz w:val="20"/>
          <w:szCs w:val="20"/>
          <w:color w:val="auto"/>
        </w:rPr>
      </w:pPr>
    </w:p>
    <w:p>
      <w:pPr>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347980</wp:posOffset>
            </wp:positionV>
            <wp:extent cx="7203440"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642" w:right="319" w:bottom="1440" w:gutter="0" w:footer="0" w:header="0"/>
        </w:sectPr>
      </w:pPr>
    </w:p>
    <w:bookmarkStart w:id="2" w:name="page3"/>
    <w:bookmarkEnd w:id="2"/>
    <w:p>
      <w:pPr>
        <w:spacing w:after="0"/>
        <w:tabs>
          <w:tab w:leader="none" w:pos="660" w:val="left"/>
        </w:tabs>
        <w:rPr>
          <w:sz w:val="20"/>
          <w:szCs w:val="20"/>
          <w:color w:val="auto"/>
        </w:rPr>
      </w:pPr>
      <w:r>
        <w:rPr>
          <w:rFonts w:ascii="Times New Roman" w:cs="Times New Roman" w:eastAsia="Times New Roman" w:hAnsi="Times New Roman"/>
          <w:sz w:val="12"/>
          <w:szCs w:val="12"/>
          <w:b w:val="1"/>
          <w:bCs w:val="1"/>
          <w:color w:val="auto"/>
        </w:rPr>
        <w:t>Item 2.02.</w:t>
        <w:tab/>
        <w:t>Results of Operations and Financial Condition.</w:t>
      </w:r>
    </w:p>
    <w:p>
      <w:pPr>
        <w:spacing w:after="0" w:line="154"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On May 9, 2024, Priority Technology Holdings, Inc. ("Priority") issued a press release announcing its financial results for the quarter ended March 31, 2024. A copy of that press release is attached as Exhibit 99.1 to this Current Report on Form 8-K.</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On May 9, 2024, Priority will hold an earnings conference call and webcast at 11:00 a.m. (Eastern Time) to discuss the financial results for the quarter ended March 31, 2024. The press release referenced in Item 2.02 contains information about how to access the conference call and webcast. A copy of the slide presentation to be used during the earnings call and webcast is furnished as Exhibit 99.2 to this Current Report on Form 8-K. The slide presentation also will be available on our website, www.prioritycommerce.com under the "Investor Relations" section.</w:t>
      </w:r>
    </w:p>
    <w:p>
      <w:pPr>
        <w:spacing w:after="0" w:line="11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information in this Current Report on Form 8-K, including Exhibit 99.1, is being furnished and shall not be deemed "filed" for the purposes of Section 18 of the Securities Exchange Act of 1934, as amended, or otherwise subject to the liabilities of that Section. The information in this Current Report on Form 8-K shall not be incorporated by reference into any registration statement or other document filed pursuant to the Securities Act of 1933, as amended.</w:t>
      </w:r>
    </w:p>
    <w:p>
      <w:pPr>
        <w:spacing w:after="0" w:line="10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 Exhibits – The following exhibit is furnished as part of this Current Report on Form 8-K.</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Exhibit Number</w:t>
            </w:r>
          </w:p>
        </w:tc>
        <w:tc>
          <w:tcPr>
            <w:tcW w:w="100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140"/>
        </w:trPr>
        <w:tc>
          <w:tcPr>
            <w:tcW w:w="1260" w:type="dxa"/>
            <w:vAlign w:val="bottom"/>
          </w:tcPr>
          <w:p>
            <w:pPr>
              <w:spacing w:after="0"/>
              <w:rPr>
                <w:sz w:val="20"/>
                <w:szCs w:val="20"/>
                <w:color w:val="auto"/>
              </w:rPr>
            </w:pPr>
            <w:r>
              <w:rPr>
                <w:rFonts w:ascii="Times New Roman" w:cs="Times New Roman" w:eastAsia="Times New Roman" w:hAnsi="Times New Roman"/>
                <w:sz w:val="12"/>
                <w:szCs w:val="12"/>
                <w:color w:val="0000FF"/>
              </w:rPr>
              <w:t>99.1</w:t>
            </w:r>
          </w:p>
        </w:tc>
        <w:tc>
          <w:tcPr>
            <w:tcW w:w="10040" w:type="dxa"/>
            <w:vAlign w:val="bottom"/>
          </w:tcPr>
          <w:p>
            <w:pPr>
              <w:ind w:left="400"/>
              <w:spacing w:after="0"/>
              <w:rPr>
                <w:sz w:val="20"/>
                <w:szCs w:val="20"/>
                <w:color w:val="auto"/>
              </w:rPr>
            </w:pPr>
            <w:r>
              <w:rPr>
                <w:rFonts w:ascii="Times New Roman" w:cs="Times New Roman" w:eastAsia="Times New Roman" w:hAnsi="Times New Roman"/>
                <w:sz w:val="12"/>
                <w:szCs w:val="12"/>
                <w:color w:val="0000FF"/>
              </w:rPr>
              <w:t>Press Release of Priority Technology Holdings, Inc. dated May 9, 2024</w:t>
            </w:r>
          </w:p>
        </w:tc>
      </w:tr>
      <w:tr>
        <w:trPr>
          <w:trHeight w:val="153"/>
        </w:trPr>
        <w:tc>
          <w:tcPr>
            <w:tcW w:w="1260" w:type="dxa"/>
            <w:vAlign w:val="bottom"/>
          </w:tcPr>
          <w:p>
            <w:pPr>
              <w:spacing w:after="0"/>
              <w:rPr>
                <w:sz w:val="20"/>
                <w:szCs w:val="20"/>
                <w:color w:val="auto"/>
              </w:rPr>
            </w:pPr>
            <w:r>
              <w:rPr>
                <w:rFonts w:ascii="Times New Roman" w:cs="Times New Roman" w:eastAsia="Times New Roman" w:hAnsi="Times New Roman"/>
                <w:sz w:val="12"/>
                <w:szCs w:val="12"/>
                <w:color w:val="0000FF"/>
              </w:rPr>
              <w:t>99.2</w:t>
            </w:r>
          </w:p>
        </w:tc>
        <w:tc>
          <w:tcPr>
            <w:tcW w:w="10040" w:type="dxa"/>
            <w:vAlign w:val="bottom"/>
          </w:tcPr>
          <w:p>
            <w:pPr>
              <w:ind w:left="400"/>
              <w:spacing w:after="0"/>
              <w:rPr>
                <w:sz w:val="20"/>
                <w:szCs w:val="20"/>
                <w:color w:val="auto"/>
              </w:rPr>
            </w:pPr>
            <w:r>
              <w:rPr>
                <w:rFonts w:ascii="Times New Roman" w:cs="Times New Roman" w:eastAsia="Times New Roman" w:hAnsi="Times New Roman"/>
                <w:sz w:val="12"/>
                <w:szCs w:val="12"/>
                <w:color w:val="0000FF"/>
              </w:rPr>
              <w:t>Supplemental Slide Presentation</w:t>
            </w:r>
          </w:p>
        </w:tc>
      </w:tr>
      <w:tr>
        <w:trPr>
          <w:trHeight w:val="155"/>
        </w:trPr>
        <w:tc>
          <w:tcPr>
            <w:tcW w:w="126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10040" w:type="dxa"/>
            <w:vAlign w:val="bottom"/>
          </w:tcPr>
          <w:p>
            <w:pPr>
              <w:ind w:left="400"/>
              <w:spacing w:after="0"/>
              <w:rPr>
                <w:sz w:val="20"/>
                <w:szCs w:val="20"/>
                <w:color w:val="auto"/>
              </w:rPr>
            </w:pPr>
            <w:r>
              <w:rPr>
                <w:rFonts w:ascii="Times New Roman" w:cs="Times New Roman" w:eastAsia="Times New Roman" w:hAnsi="Times New Roman"/>
                <w:sz w:val="12"/>
                <w:szCs w:val="12"/>
                <w:color w:val="auto"/>
              </w:rPr>
              <w:t>The cover page from this Current Report on Form 8-K, formatted in Inline XBRL</w:t>
            </w:r>
          </w:p>
        </w:tc>
      </w:tr>
    </w:tbl>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SIGNATURE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Dated: May 9, 2024</w:t>
      </w:r>
    </w:p>
    <w:p>
      <w:pPr>
        <w:spacing w:after="0" w:line="16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2"/>
          <w:szCs w:val="12"/>
          <w:color w:val="auto"/>
        </w:rPr>
        <w:t>PRIORITY TECHNOLOGY HOLDINGS, INC.</w:t>
      </w:r>
    </w:p>
    <w:p>
      <w:pPr>
        <w:spacing w:after="0" w:line="16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2"/>
          <w:szCs w:val="12"/>
          <w:u w:val="single" w:color="auto"/>
          <w:color w:val="auto"/>
        </w:rPr>
        <w:t>By: /s/ Timothy O'Leary</w:t>
      </w:r>
    </w:p>
    <w:p>
      <w:pPr>
        <w:spacing w:after="0" w:line="1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2"/>
          <w:szCs w:val="12"/>
          <w:color w:val="auto"/>
        </w:rPr>
        <w:t>Name: Timothy O'Leary</w:t>
      </w:r>
    </w:p>
    <w:p>
      <w:pPr>
        <w:spacing w:after="0" w:line="1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2"/>
          <w:szCs w:val="12"/>
          <w:color w:val="auto"/>
        </w:rPr>
        <w:t>Title: Chief Financial Officer</w:t>
      </w:r>
    </w:p>
    <w:p>
      <w:pPr>
        <w:sectPr>
          <w:pgSz w:w="11900" w:h="16838" w:orient="portrait"/>
          <w:cols w:equalWidth="0" w:num="1">
            <w:col w:w="11300"/>
          </w:cols>
          <w:pgMar w:left="300" w:top="638" w:right="299" w:bottom="1440" w:gutter="0" w:footer="0" w:header="0"/>
        </w:sectPr>
      </w:pPr>
    </w:p>
    <w:bookmarkStart w:id="3" w:name="page4"/>
    <w:bookmarkEnd w:id="3"/>
    <w:p>
      <w:pPr>
        <w:ind w:left="9860"/>
        <w:spacing w:after="0"/>
        <w:rPr>
          <w:sz w:val="20"/>
          <w:szCs w:val="20"/>
          <w:color w:val="auto"/>
        </w:rPr>
      </w:pPr>
      <w:r>
        <w:rPr>
          <w:rFonts w:ascii="Times New Roman" w:cs="Times New Roman" w:eastAsia="Times New Roman" w:hAnsi="Times New Roman"/>
          <w:sz w:val="12"/>
          <w:szCs w:val="12"/>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2995295</wp:posOffset>
            </wp:positionH>
            <wp:positionV relativeFrom="paragraph">
              <wp:posOffset>16510</wp:posOffset>
            </wp:positionV>
            <wp:extent cx="1177290" cy="4171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77290" cy="417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Priority Investor Inquiries: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Chris Kettmann</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chris.kettmann@dentonsglobaladvisors.com</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(773) 497-7575</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Priority Technology Holdings, Inc. Announces First Quarter Financial Results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 xml:space="preserve">Strong </w:t>
      </w:r>
      <w:r>
        <w:rPr>
          <w:rFonts w:ascii="Times New Roman" w:cs="Times New Roman" w:eastAsia="Times New Roman" w:hAnsi="Times New Roman"/>
          <w:sz w:val="15"/>
          <w:szCs w:val="15"/>
          <w:i w:val="1"/>
          <w:iCs w:val="1"/>
          <w:color w:val="auto"/>
        </w:rPr>
        <w:t>First Quarter</w:t>
      </w:r>
      <w:r>
        <w:rPr>
          <w:rFonts w:ascii="Times New Roman" w:cs="Times New Roman" w:eastAsia="Times New Roman" w:hAnsi="Times New Roman"/>
          <w:sz w:val="14"/>
          <w:szCs w:val="14"/>
          <w:i w:val="1"/>
          <w:iCs w:val="1"/>
          <w:color w:val="auto"/>
        </w:rPr>
        <w:t xml:space="preserve"> Growth Driven by Performance Across Unified Commerce Platform</w:t>
      </w:r>
    </w:p>
    <w:p>
      <w:pPr>
        <w:spacing w:after="0" w:line="179" w:lineRule="exact"/>
        <w:rPr>
          <w:sz w:val="20"/>
          <w:szCs w:val="20"/>
          <w:color w:val="auto"/>
        </w:rPr>
      </w:pPr>
    </w:p>
    <w:p>
      <w:pPr>
        <w:ind w:right="20"/>
        <w:spacing w:after="0" w:line="338" w:lineRule="auto"/>
        <w:rPr>
          <w:sz w:val="20"/>
          <w:szCs w:val="20"/>
          <w:color w:val="auto"/>
        </w:rPr>
      </w:pPr>
      <w:r>
        <w:rPr>
          <w:rFonts w:ascii="Times New Roman" w:cs="Times New Roman" w:eastAsia="Times New Roman" w:hAnsi="Times New Roman"/>
          <w:sz w:val="13"/>
          <w:szCs w:val="13"/>
          <w:color w:val="auto"/>
        </w:rPr>
        <w:t>ALPHARETTA, GA - May 9, 2024 -- Priority Technology Holdings, Inc. (NASDAQ: PRTH) ("Priority" or the "Company"), the platform for unified commerce that delivers integrated payments and banking services at scale, today announced its first quarter 2024 financial results including strong year-over-year diversified revenue growth.</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Highlights of Consolidated Results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First Quarter 2024 Compared with First Quarter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Financial highlights of the first quarter of 2024 compared with the first quarter of 2023, are as follows</w:t>
      </w:r>
      <w:r>
        <w:rPr>
          <w:rFonts w:ascii="Times New Roman" w:cs="Times New Roman" w:eastAsia="Times New Roman" w:hAnsi="Times New Roman"/>
          <w:sz w:val="17"/>
          <w:szCs w:val="17"/>
          <w:color w:val="auto"/>
          <w:vertAlign w:val="superscript"/>
        </w:rPr>
        <w:t>1</w:t>
      </w:r>
      <w:r>
        <w:rPr>
          <w:rFonts w:ascii="Times New Roman" w:cs="Times New Roman" w:eastAsia="Times New Roman" w:hAnsi="Times New Roman"/>
          <w:sz w:val="13"/>
          <w:szCs w:val="13"/>
          <w:color w:val="auto"/>
        </w:rPr>
        <w:t>:</w:t>
      </w:r>
    </w:p>
    <w:p>
      <w:pPr>
        <w:spacing w:after="0" w:line="129" w:lineRule="exact"/>
        <w:rPr>
          <w:sz w:val="20"/>
          <w:szCs w:val="20"/>
          <w:color w:val="auto"/>
        </w:rPr>
      </w:pPr>
    </w:p>
    <w:p>
      <w:pPr>
        <w:ind w:left="420" w:hanging="212"/>
        <w:spacing w:after="0"/>
        <w:tabs>
          <w:tab w:leader="none" w:pos="4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Revenue of $205.7 million increased 11.2% from $185.0 million</w:t>
      </w:r>
    </w:p>
    <w:p>
      <w:pPr>
        <w:spacing w:after="0" w:line="38"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Adjusted gross profit (a non-GAAP measure</w:t>
      </w:r>
      <w:r>
        <w:rPr>
          <w:rFonts w:ascii="Times New Roman" w:cs="Times New Roman" w:eastAsia="Times New Roman" w:hAnsi="Times New Roman"/>
          <w:sz w:val="17"/>
          <w:szCs w:val="17"/>
          <w:color w:val="auto"/>
          <w:vertAlign w:val="superscript"/>
        </w:rPr>
        <w:t>2</w:t>
      </w:r>
      <w:r>
        <w:rPr>
          <w:rFonts w:ascii="Times New Roman" w:cs="Times New Roman" w:eastAsia="Times New Roman" w:hAnsi="Times New Roman"/>
          <w:sz w:val="13"/>
          <w:szCs w:val="13"/>
          <w:color w:val="auto"/>
        </w:rPr>
        <w:t>) of $76.4 million increased 21.2% from $63.1 million</w:t>
      </w:r>
    </w:p>
    <w:p>
      <w:pPr>
        <w:ind w:left="420" w:hanging="212"/>
        <w:spacing w:after="0" w:line="220" w:lineRule="auto"/>
        <w:tabs>
          <w:tab w:leader="none" w:pos="4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Adjusted gross profit margin (a non-GAAP measure</w:t>
      </w:r>
      <w:r>
        <w:rPr>
          <w:rFonts w:ascii="Times New Roman" w:cs="Times New Roman" w:eastAsia="Times New Roman" w:hAnsi="Times New Roman"/>
          <w:sz w:val="17"/>
          <w:szCs w:val="17"/>
          <w:color w:val="auto"/>
          <w:vertAlign w:val="superscript"/>
        </w:rPr>
        <w:t>2</w:t>
      </w:r>
      <w:r>
        <w:rPr>
          <w:rFonts w:ascii="Times New Roman" w:cs="Times New Roman" w:eastAsia="Times New Roman" w:hAnsi="Times New Roman"/>
          <w:sz w:val="13"/>
          <w:szCs w:val="13"/>
          <w:color w:val="auto"/>
        </w:rPr>
        <w:t>) of 37.1% increased 300 basis points from 34.1%</w:t>
      </w:r>
    </w:p>
    <w:p>
      <w:pPr>
        <w:ind w:left="420" w:hanging="212"/>
        <w:spacing w:after="0"/>
        <w:tabs>
          <w:tab w:leader="none" w:pos="4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Operating income of $28.0 million increased 66.3% from $16.8 million</w:t>
      </w:r>
    </w:p>
    <w:p>
      <w:pPr>
        <w:spacing w:after="0" w:line="25"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Adjusted EBITDA (a non-GAAP measure</w:t>
      </w:r>
      <w:r>
        <w:rPr>
          <w:rFonts w:ascii="Times New Roman" w:cs="Times New Roman" w:eastAsia="Times New Roman" w:hAnsi="Times New Roman"/>
          <w:sz w:val="17"/>
          <w:szCs w:val="17"/>
          <w:color w:val="auto"/>
          <w:vertAlign w:val="superscript"/>
        </w:rPr>
        <w:t>2</w:t>
      </w:r>
      <w:r>
        <w:rPr>
          <w:rFonts w:ascii="Times New Roman" w:cs="Times New Roman" w:eastAsia="Times New Roman" w:hAnsi="Times New Roman"/>
          <w:sz w:val="13"/>
          <w:szCs w:val="13"/>
          <w:color w:val="auto"/>
        </w:rPr>
        <w:t>) of $46.3 million increased 23.1% from $37.6 million</w:t>
      </w:r>
    </w:p>
    <w:p>
      <w:pPr>
        <w:spacing w:after="0" w:line="105" w:lineRule="exact"/>
        <w:rPr>
          <w:sz w:val="20"/>
          <w:szCs w:val="20"/>
          <w:color w:val="auto"/>
        </w:rPr>
      </w:pPr>
    </w:p>
    <w:p>
      <w:pPr>
        <w:ind w:left="420" w:hanging="212"/>
        <w:spacing w:after="0"/>
        <w:tabs>
          <w:tab w:leader="none" w:pos="420" w:val="left"/>
        </w:tabs>
        <w:numPr>
          <w:ilvl w:val="0"/>
          <w:numId w:val="3"/>
        </w:numPr>
        <w:rPr>
          <w:rFonts w:ascii="Times New Roman" w:cs="Times New Roman" w:eastAsia="Times New Roman" w:hAnsi="Times New Roman"/>
          <w:sz w:val="17"/>
          <w:szCs w:val="17"/>
          <w:i w:val="1"/>
          <w:iCs w:val="1"/>
          <w:color w:val="auto"/>
          <w:vertAlign w:val="superscript"/>
        </w:rPr>
      </w:pPr>
      <w:r>
        <w:rPr>
          <w:rFonts w:ascii="Times New Roman" w:cs="Times New Roman" w:eastAsia="Times New Roman" w:hAnsi="Times New Roman"/>
          <w:sz w:val="13"/>
          <w:szCs w:val="13"/>
          <w:i w:val="1"/>
          <w:iCs w:val="1"/>
          <w:color w:val="auto"/>
        </w:rPr>
        <w:t>Certain amounts/percentages may not add mathematically due to rounding.</w:t>
      </w:r>
    </w:p>
    <w:p>
      <w:pPr>
        <w:spacing w:after="0" w:line="4" w:lineRule="exact"/>
        <w:rPr>
          <w:rFonts w:ascii="Times New Roman" w:cs="Times New Roman" w:eastAsia="Times New Roman" w:hAnsi="Times New Roman"/>
          <w:sz w:val="17"/>
          <w:szCs w:val="17"/>
          <w:i w:val="1"/>
          <w:iCs w:val="1"/>
          <w:color w:val="auto"/>
          <w:vertAlign w:val="superscript"/>
        </w:rPr>
      </w:pPr>
    </w:p>
    <w:p>
      <w:pPr>
        <w:ind w:left="420" w:hanging="212"/>
        <w:spacing w:after="0" w:line="184" w:lineRule="auto"/>
        <w:tabs>
          <w:tab w:leader="none" w:pos="412" w:val="left"/>
        </w:tabs>
        <w:numPr>
          <w:ilvl w:val="0"/>
          <w:numId w:val="3"/>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3"/>
          <w:szCs w:val="13"/>
          <w:i w:val="1"/>
          <w:iCs w:val="1"/>
          <w:color w:val="auto"/>
        </w:rPr>
        <w:t>See "Non-GAAP Financial Measures" and the reconciliations of Adjusted Gross Profit (non-GAAP), Adjusted Gross Profit Margin (non-GAAP), and Adjusted EBITDA, to their most comparable GAAP measures provided below for additional information.</w:t>
      </w:r>
    </w:p>
    <w:p>
      <w:pPr>
        <w:spacing w:after="0" w:line="298"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3"/>
          <w:szCs w:val="13"/>
          <w:color w:val="auto"/>
        </w:rPr>
        <w:t>"We delivered record results in the first quarter on strong performance in each business segment of our unified commerce platform," said Tom Priore, Chairman &amp; CEO of Priority. "Our growth in the quarter and ongoing consistency reinforces the unique attributes of our operating infrastructure, diversity of our business segments and robust demand for our products. We are laser focused on the continued innovation of our SaaS Payments and Banking suite of services and Accelerated Commerce Engine and are eager to meet the evolving needs of our growing portfolio of customers and enterprise partners."</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w:t>
      </w:r>
    </w:p>
    <w:p>
      <w:pPr>
        <w:sectPr>
          <w:pgSz w:w="11900" w:h="16838" w:orient="portrait"/>
          <w:cols w:equalWidth="0" w:num="1">
            <w:col w:w="11300"/>
          </w:cols>
          <w:pgMar w:left="300" w:top="651" w:right="2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3"/>
          <w:szCs w:val="13"/>
          <w:b w:val="1"/>
          <w:bCs w:val="1"/>
          <w:u w:val="single" w:color="auto"/>
          <w:color w:val="auto"/>
        </w:rPr>
        <w:t>Full Year 2024 Financial Guidance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Priority's outlook remains strong and we are reaffirming our full year 2024 guidance:</w:t>
      </w:r>
    </w:p>
    <w:p>
      <w:pPr>
        <w:spacing w:after="0" w:line="175" w:lineRule="exact"/>
        <w:rPr>
          <w:sz w:val="20"/>
          <w:szCs w:val="20"/>
          <w:color w:val="auto"/>
        </w:rPr>
      </w:pPr>
    </w:p>
    <w:p>
      <w:pPr>
        <w:ind w:left="420" w:hanging="212"/>
        <w:spacing w:after="0"/>
        <w:tabs>
          <w:tab w:leader="none" w:pos="4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Revenue forecast to range between $875 million to $890 million, a growth rate of 16% to 18%, compared to fiscal 2023 results</w:t>
      </w:r>
    </w:p>
    <w:p>
      <w:pPr>
        <w:spacing w:after="0" w:line="183"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Adjusted EBITDA (a non-GAAP measure) forecast to range between $193 million to $198 million, a growth rate of 15% to 18% compared to fiscal 2023 results</w:t>
      </w:r>
    </w:p>
    <w:p>
      <w:pPr>
        <w:spacing w:after="0" w:line="174"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Adjusted gross profit (a non-GAAP measure) forecast to range between $325 million and $335 million, a growth rate of 18% to 22% compared to fiscal 2023 results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Conference Call</w:t>
      </w:r>
    </w:p>
    <w:p>
      <w:pPr>
        <w:spacing w:after="0" w:line="177" w:lineRule="exact"/>
        <w:rPr>
          <w:sz w:val="20"/>
          <w:szCs w:val="20"/>
          <w:color w:val="auto"/>
        </w:rPr>
      </w:pPr>
    </w:p>
    <w:p>
      <w:pPr>
        <w:jc w:val="both"/>
        <w:ind w:right="20"/>
        <w:spacing w:after="0" w:line="324" w:lineRule="auto"/>
        <w:rPr>
          <w:sz w:val="20"/>
          <w:szCs w:val="20"/>
          <w:color w:val="auto"/>
        </w:rPr>
      </w:pPr>
      <w:r>
        <w:rPr>
          <w:rFonts w:ascii="Times New Roman" w:cs="Times New Roman" w:eastAsia="Times New Roman" w:hAnsi="Times New Roman"/>
          <w:sz w:val="13"/>
          <w:szCs w:val="13"/>
          <w:color w:val="070707"/>
        </w:rPr>
        <w:t>Priority's leadership will host a conference call on Thursday, May 9, 2024 at 11:00 a.m. EDT to discuss its first quarter financial results. Participants can access the call by p</w:t>
      </w:r>
      <w:r>
        <w:rPr>
          <w:rFonts w:ascii="Times New Roman" w:cs="Times New Roman" w:eastAsia="Times New Roman" w:hAnsi="Times New Roman"/>
          <w:sz w:val="13"/>
          <w:szCs w:val="13"/>
          <w:color w:val="000000"/>
        </w:rPr>
        <w:t>hone in the U.S. or Canada at (833) 636-1319 or internationally at (412) 902-4286.</w:t>
      </w:r>
    </w:p>
    <w:p>
      <w:pPr>
        <w:spacing w:after="0" w:line="107" w:lineRule="exact"/>
        <w:rPr>
          <w:sz w:val="20"/>
          <w:szCs w:val="20"/>
          <w:color w:val="auto"/>
        </w:rPr>
      </w:pPr>
    </w:p>
    <w:p>
      <w:pPr>
        <w:jc w:val="both"/>
        <w:ind w:right="20"/>
        <w:spacing w:after="0" w:line="327" w:lineRule="auto"/>
        <w:rPr>
          <w:sz w:val="20"/>
          <w:szCs w:val="20"/>
          <w:color w:val="auto"/>
        </w:rPr>
      </w:pPr>
      <w:r>
        <w:rPr>
          <w:rFonts w:ascii="Times New Roman" w:cs="Times New Roman" w:eastAsia="Times New Roman" w:hAnsi="Times New Roman"/>
          <w:sz w:val="13"/>
          <w:szCs w:val="13"/>
          <w:color w:val="auto"/>
        </w:rPr>
        <w:t xml:space="preserve">The Internet webcast link and accompanying slide presentation can be accessed at </w:t>
      </w:r>
      <w:r>
        <w:rPr>
          <w:rFonts w:ascii="Times New Roman" w:cs="Times New Roman" w:eastAsia="Times New Roman" w:hAnsi="Times New Roman"/>
          <w:sz w:val="13"/>
          <w:szCs w:val="13"/>
          <w:b w:val="1"/>
          <w:bCs w:val="1"/>
          <w:color w:val="auto"/>
        </w:rPr>
        <w:t>https://edge.media-server.com/mmc/p/ievzjr9d</w:t>
      </w:r>
      <w:r>
        <w:rPr>
          <w:rFonts w:ascii="Times New Roman" w:cs="Times New Roman" w:eastAsia="Times New Roman" w:hAnsi="Times New Roman"/>
          <w:sz w:val="13"/>
          <w:szCs w:val="13"/>
          <w:color w:val="auto"/>
        </w:rPr>
        <w:t xml:space="preserve"> and will also be posted in the "Investor Relations" section of the Company's website at www.prioritycommerce.com.</w:t>
      </w:r>
    </w:p>
    <w:p>
      <w:pPr>
        <w:spacing w:after="0" w:line="99" w:lineRule="exact"/>
        <w:rPr>
          <w:sz w:val="20"/>
          <w:szCs w:val="20"/>
          <w:color w:val="auto"/>
        </w:rPr>
      </w:pPr>
    </w:p>
    <w:p>
      <w:pPr>
        <w:jc w:val="both"/>
        <w:spacing w:after="0" w:line="338" w:lineRule="auto"/>
        <w:rPr>
          <w:sz w:val="20"/>
          <w:szCs w:val="20"/>
          <w:color w:val="auto"/>
        </w:rPr>
      </w:pPr>
      <w:r>
        <w:rPr>
          <w:rFonts w:ascii="Times New Roman" w:cs="Times New Roman" w:eastAsia="Times New Roman" w:hAnsi="Times New Roman"/>
          <w:sz w:val="13"/>
          <w:szCs w:val="13"/>
          <w:color w:val="auto"/>
        </w:rPr>
        <w:t xml:space="preserve">An audio replay of the call will be available shortly after the conference call until May 16, 2024 at 2:00 p.m. EDT. To listen to the audio replay, dial (877) 344-7529 or (412) 317-0088 and enter conference ID number </w:t>
      </w:r>
      <w:r>
        <w:rPr>
          <w:rFonts w:ascii="Times New Roman" w:cs="Times New Roman" w:eastAsia="Times New Roman" w:hAnsi="Times New Roman"/>
          <w:sz w:val="13"/>
          <w:szCs w:val="13"/>
          <w:b w:val="1"/>
          <w:bCs w:val="1"/>
          <w:color w:val="222222"/>
        </w:rPr>
        <w:t>4087946</w:t>
      </w:r>
      <w:r>
        <w:rPr>
          <w:rFonts w:ascii="Times New Roman" w:cs="Times New Roman" w:eastAsia="Times New Roman" w:hAnsi="Times New Roman"/>
          <w:sz w:val="13"/>
          <w:szCs w:val="13"/>
          <w:color w:val="auto"/>
        </w:rPr>
        <w:t>. Alternatively, you may access the webcast replay in the "Investor Relations" section of the Company's website at www.prioritycommerce.com.</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0A0A0A"/>
        </w:rPr>
        <w:t>Non-GAAP Financial Measures</w:t>
      </w:r>
    </w:p>
    <w:p>
      <w:pPr>
        <w:spacing w:after="0" w:line="186"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3"/>
          <w:szCs w:val="13"/>
          <w:color w:val="auto"/>
        </w:rPr>
        <w:t>This communication includes certain non-GAAP financial measures that we regularly review to evaluate our business and trends, measure our performance, prepare financial projections, allocate resources, and make strategic decisions. We believe these non-GAAP measures help to illustrate the underlying financial and business trends relating to our results of operations and comparability between current and prior periods. We also use these non-GAAP measures to establish and monitor operational goals. However, these non-GAAP measures are not superior to or a substitute for prominent measurements calculated in accordance with GAAP. Rather, the non-GAAP measures are meant to be a complement to understanding measures prepared in accordance with GAAP.</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ectPr>
          <w:pgSz w:w="11900" w:h="16838" w:orient="portrait"/>
          <w:cols w:equalWidth="0" w:num="1">
            <w:col w:w="11300"/>
          </w:cols>
          <w:pgMar w:left="300" w:top="654" w:right="2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3"/>
          <w:szCs w:val="13"/>
          <w:b w:val="1"/>
          <w:bCs w:val="1"/>
          <w:i w:val="1"/>
          <w:iCs w:val="1"/>
          <w:color w:val="auto"/>
        </w:rPr>
        <w:t>Adjusted Gross Profit and Adjusted Gross Profit Margin</w:t>
      </w:r>
    </w:p>
    <w:p>
      <w:pPr>
        <w:spacing w:after="0" w:line="179" w:lineRule="exact"/>
        <w:rPr>
          <w:sz w:val="20"/>
          <w:szCs w:val="20"/>
          <w:color w:val="auto"/>
        </w:rPr>
      </w:pPr>
    </w:p>
    <w:p>
      <w:pPr>
        <w:jc w:val="both"/>
        <w:ind w:right="20"/>
        <w:spacing w:after="0" w:line="324" w:lineRule="auto"/>
        <w:rPr>
          <w:sz w:val="20"/>
          <w:szCs w:val="20"/>
          <w:color w:val="auto"/>
        </w:rPr>
      </w:pPr>
      <w:r>
        <w:rPr>
          <w:rFonts w:ascii="Times New Roman" w:cs="Times New Roman" w:eastAsia="Times New Roman" w:hAnsi="Times New Roman"/>
          <w:sz w:val="13"/>
          <w:szCs w:val="13"/>
          <w:color w:val="auto"/>
        </w:rPr>
        <w:t>The Company's adjusted gross profit metric represents revenues less cost of revenue (excluding depreciation and amortization). Adjusted gross profit margin is adjusted gross profit divided by revenues. We review these non-GAAP measures to evaluate our underlying profit trends. The reconciliation of adjusted gross profit to its most comparable GAAP measure is provided below:</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52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440" w:type="dxa"/>
            <w:vAlign w:val="bottom"/>
            <w:tcBorders>
              <w:bottom w:val="single" w:sz="8" w:color="auto"/>
            </w:tcBorders>
          </w:tcPr>
          <w:p>
            <w:pPr>
              <w:spacing w:after="0"/>
              <w:rPr>
                <w:sz w:val="15"/>
                <w:szCs w:val="15"/>
                <w:color w:val="auto"/>
              </w:rPr>
            </w:pPr>
          </w:p>
        </w:tc>
        <w:tc>
          <w:tcPr>
            <w:tcW w:w="3320" w:type="dxa"/>
            <w:vAlign w:val="bottom"/>
            <w:tcBorders>
              <w:bottom w:val="single" w:sz="8" w:color="auto"/>
            </w:tcBorders>
            <w:gridSpan w:val="4"/>
          </w:tcPr>
          <w:p>
            <w:pPr>
              <w:jc w:val="right"/>
              <w:ind w:right="914"/>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0" w:type="dxa"/>
            <w:vAlign w:val="bottom"/>
          </w:tcPr>
          <w:p>
            <w:pPr>
              <w:spacing w:after="0"/>
              <w:rPr>
                <w:sz w:val="1"/>
                <w:szCs w:val="1"/>
                <w:color w:val="auto"/>
              </w:rPr>
            </w:pPr>
          </w:p>
        </w:tc>
      </w:tr>
      <w:tr>
        <w:trPr>
          <w:trHeight w:val="162"/>
        </w:trPr>
        <w:tc>
          <w:tcPr>
            <w:tcW w:w="75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714"/>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714"/>
              <w:spacing w:after="0"/>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154"/>
        </w:trPr>
        <w:tc>
          <w:tcPr>
            <w:tcW w:w="7520" w:type="dxa"/>
            <w:vAlign w:val="bottom"/>
          </w:tcPr>
          <w:p>
            <w:pPr>
              <w:spacing w:after="0"/>
              <w:rPr>
                <w:sz w:val="20"/>
                <w:szCs w:val="20"/>
                <w:color w:val="auto"/>
              </w:rPr>
            </w:pPr>
            <w:r>
              <w:rPr>
                <w:rFonts w:ascii="Times New Roman" w:cs="Times New Roman" w:eastAsia="Times New Roman" w:hAnsi="Times New Roman"/>
                <w:sz w:val="13"/>
                <w:szCs w:val="13"/>
                <w:color w:val="auto"/>
              </w:rPr>
              <w:t>Revenues</w:t>
            </w:r>
          </w:p>
        </w:tc>
        <w:tc>
          <w:tcPr>
            <w:tcW w:w="440" w:type="dxa"/>
            <w:vAlign w:val="bottom"/>
          </w:tcPr>
          <w:p>
            <w:pPr>
              <w:jc w:val="right"/>
              <w:ind w:right="294"/>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205,719</w:t>
            </w:r>
          </w:p>
        </w:tc>
        <w:tc>
          <w:tcPr>
            <w:tcW w:w="80" w:type="dxa"/>
            <w:vAlign w:val="bottom"/>
          </w:tcPr>
          <w:p>
            <w:pPr>
              <w:spacing w:after="0"/>
              <w:rPr>
                <w:sz w:val="13"/>
                <w:szCs w:val="13"/>
                <w:color w:val="auto"/>
              </w:rPr>
            </w:pPr>
          </w:p>
        </w:tc>
        <w:tc>
          <w:tcPr>
            <w:tcW w:w="420" w:type="dxa"/>
            <w:vAlign w:val="bottom"/>
          </w:tcPr>
          <w:p>
            <w:pPr>
              <w:jc w:val="right"/>
              <w:ind w:right="274"/>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185,028</w:t>
            </w:r>
          </w:p>
        </w:tc>
        <w:tc>
          <w:tcPr>
            <w:tcW w:w="0" w:type="dxa"/>
            <w:vAlign w:val="bottom"/>
          </w:tcPr>
          <w:p>
            <w:pPr>
              <w:spacing w:after="0"/>
              <w:rPr>
                <w:sz w:val="1"/>
                <w:szCs w:val="1"/>
                <w:color w:val="auto"/>
              </w:rPr>
            </w:pPr>
          </w:p>
        </w:tc>
      </w:tr>
      <w:tr>
        <w:trPr>
          <w:trHeight w:val="174"/>
        </w:trPr>
        <w:tc>
          <w:tcPr>
            <w:tcW w:w="7520" w:type="dxa"/>
            <w:vAlign w:val="bottom"/>
          </w:tcPr>
          <w:p>
            <w:pPr>
              <w:spacing w:after="0"/>
              <w:rPr>
                <w:sz w:val="20"/>
                <w:szCs w:val="20"/>
                <w:color w:val="auto"/>
              </w:rPr>
            </w:pPr>
            <w:r>
              <w:rPr>
                <w:rFonts w:ascii="Times New Roman" w:cs="Times New Roman" w:eastAsia="Times New Roman" w:hAnsi="Times New Roman"/>
                <w:sz w:val="13"/>
                <w:szCs w:val="13"/>
                <w:color w:val="auto"/>
              </w:rPr>
              <w:t>Cost of revenue (excluding depreciation and amortization)</w:t>
            </w:r>
          </w:p>
        </w:tc>
        <w:tc>
          <w:tcPr>
            <w:tcW w:w="4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(129,298)</w:t>
            </w:r>
          </w:p>
        </w:tc>
        <w:tc>
          <w:tcPr>
            <w:tcW w:w="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(121,966)</w:t>
            </w:r>
          </w:p>
        </w:tc>
        <w:tc>
          <w:tcPr>
            <w:tcW w:w="0" w:type="dxa"/>
            <w:vAlign w:val="bottom"/>
          </w:tcPr>
          <w:p>
            <w:pPr>
              <w:spacing w:after="0"/>
              <w:rPr>
                <w:sz w:val="1"/>
                <w:szCs w:val="1"/>
                <w:color w:val="auto"/>
              </w:rPr>
            </w:pPr>
          </w:p>
        </w:tc>
      </w:tr>
      <w:tr>
        <w:trPr>
          <w:trHeight w:val="163"/>
        </w:trPr>
        <w:tc>
          <w:tcPr>
            <w:tcW w:w="7520" w:type="dxa"/>
            <w:vAlign w:val="bottom"/>
          </w:tcPr>
          <w:p>
            <w:pPr>
              <w:spacing w:after="0"/>
              <w:rPr>
                <w:sz w:val="20"/>
                <w:szCs w:val="20"/>
                <w:color w:val="auto"/>
              </w:rPr>
            </w:pPr>
            <w:r>
              <w:rPr>
                <w:rFonts w:ascii="Times New Roman" w:cs="Times New Roman" w:eastAsia="Times New Roman" w:hAnsi="Times New Roman"/>
                <w:sz w:val="13"/>
                <w:szCs w:val="13"/>
                <w:color w:val="auto"/>
              </w:rPr>
              <w:t>Adjusted gross profit</w:t>
            </w:r>
          </w:p>
        </w:tc>
        <w:tc>
          <w:tcPr>
            <w:tcW w:w="44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4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76,421</w:t>
            </w:r>
          </w:p>
        </w:tc>
        <w:tc>
          <w:tcPr>
            <w:tcW w:w="80" w:type="dxa"/>
            <w:vAlign w:val="bottom"/>
          </w:tcPr>
          <w:p>
            <w:pPr>
              <w:spacing w:after="0"/>
              <w:rPr>
                <w:sz w:val="14"/>
                <w:szCs w:val="14"/>
                <w:color w:val="auto"/>
              </w:rPr>
            </w:pPr>
          </w:p>
        </w:tc>
        <w:tc>
          <w:tcPr>
            <w:tcW w:w="42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42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63,062</w:t>
            </w:r>
          </w:p>
        </w:tc>
        <w:tc>
          <w:tcPr>
            <w:tcW w:w="0" w:type="dxa"/>
            <w:vAlign w:val="bottom"/>
          </w:tcPr>
          <w:p>
            <w:pPr>
              <w:spacing w:after="0"/>
              <w:rPr>
                <w:sz w:val="1"/>
                <w:szCs w:val="1"/>
                <w:color w:val="auto"/>
              </w:rPr>
            </w:pPr>
          </w:p>
        </w:tc>
      </w:tr>
      <w:tr>
        <w:trPr>
          <w:trHeight w:val="20"/>
        </w:trPr>
        <w:tc>
          <w:tcPr>
            <w:tcW w:w="75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Adjusted gross profit margin</w:t>
            </w: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752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4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37.1 %</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34.1 %</w:t>
            </w:r>
          </w:p>
        </w:tc>
        <w:tc>
          <w:tcPr>
            <w:tcW w:w="0" w:type="dxa"/>
            <w:vAlign w:val="bottom"/>
          </w:tcPr>
          <w:p>
            <w:pPr>
              <w:spacing w:after="0"/>
              <w:rPr>
                <w:sz w:val="1"/>
                <w:szCs w:val="1"/>
                <w:color w:val="auto"/>
              </w:rPr>
            </w:pPr>
          </w:p>
        </w:tc>
      </w:tr>
      <w:tr>
        <w:trPr>
          <w:trHeight w:val="174"/>
        </w:trPr>
        <w:tc>
          <w:tcPr>
            <w:tcW w:w="7520" w:type="dxa"/>
            <w:vAlign w:val="bottom"/>
          </w:tcPr>
          <w:p>
            <w:pPr>
              <w:spacing w:after="0"/>
              <w:rPr>
                <w:sz w:val="20"/>
                <w:szCs w:val="20"/>
                <w:color w:val="auto"/>
              </w:rPr>
            </w:pPr>
            <w:r>
              <w:rPr>
                <w:rFonts w:ascii="Times New Roman" w:cs="Times New Roman" w:eastAsia="Times New Roman" w:hAnsi="Times New Roman"/>
                <w:sz w:val="13"/>
                <w:szCs w:val="13"/>
                <w:color w:val="auto"/>
              </w:rPr>
              <w:t>Depreciation and amortization of revenue generating assets</w:t>
            </w:r>
          </w:p>
        </w:tc>
        <w:tc>
          <w:tcPr>
            <w:tcW w:w="4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(3,900)</w:t>
            </w:r>
          </w:p>
        </w:tc>
        <w:tc>
          <w:tcPr>
            <w:tcW w:w="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(2,959)</w:t>
            </w:r>
          </w:p>
        </w:tc>
        <w:tc>
          <w:tcPr>
            <w:tcW w:w="0" w:type="dxa"/>
            <w:vAlign w:val="bottom"/>
          </w:tcPr>
          <w:p>
            <w:pPr>
              <w:spacing w:after="0"/>
              <w:rPr>
                <w:sz w:val="1"/>
                <w:szCs w:val="1"/>
                <w:color w:val="auto"/>
              </w:rPr>
            </w:pPr>
          </w:p>
        </w:tc>
      </w:tr>
      <w:tr>
        <w:trPr>
          <w:trHeight w:val="163"/>
        </w:trPr>
        <w:tc>
          <w:tcPr>
            <w:tcW w:w="7520" w:type="dxa"/>
            <w:vAlign w:val="bottom"/>
          </w:tcPr>
          <w:p>
            <w:pPr>
              <w:spacing w:after="0"/>
              <w:rPr>
                <w:sz w:val="20"/>
                <w:szCs w:val="20"/>
                <w:color w:val="auto"/>
              </w:rPr>
            </w:pPr>
            <w:r>
              <w:rPr>
                <w:rFonts w:ascii="Times New Roman" w:cs="Times New Roman" w:eastAsia="Times New Roman" w:hAnsi="Times New Roman"/>
                <w:sz w:val="13"/>
                <w:szCs w:val="13"/>
                <w:color w:val="auto"/>
              </w:rPr>
              <w:t>Gross profit</w:t>
            </w:r>
          </w:p>
        </w:tc>
        <w:tc>
          <w:tcPr>
            <w:tcW w:w="44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4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72,521</w:t>
            </w:r>
          </w:p>
        </w:tc>
        <w:tc>
          <w:tcPr>
            <w:tcW w:w="80" w:type="dxa"/>
            <w:vAlign w:val="bottom"/>
          </w:tcPr>
          <w:p>
            <w:pPr>
              <w:spacing w:after="0"/>
              <w:rPr>
                <w:sz w:val="14"/>
                <w:szCs w:val="14"/>
                <w:color w:val="auto"/>
              </w:rPr>
            </w:pPr>
          </w:p>
        </w:tc>
        <w:tc>
          <w:tcPr>
            <w:tcW w:w="42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42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60,103</w:t>
            </w:r>
          </w:p>
        </w:tc>
        <w:tc>
          <w:tcPr>
            <w:tcW w:w="0" w:type="dxa"/>
            <w:vAlign w:val="bottom"/>
          </w:tcPr>
          <w:p>
            <w:pPr>
              <w:spacing w:after="0"/>
              <w:rPr>
                <w:sz w:val="1"/>
                <w:szCs w:val="1"/>
                <w:color w:val="auto"/>
              </w:rPr>
            </w:pPr>
          </w:p>
        </w:tc>
      </w:tr>
      <w:tr>
        <w:trPr>
          <w:trHeight w:val="20"/>
        </w:trPr>
        <w:tc>
          <w:tcPr>
            <w:tcW w:w="75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Gross profit margin</w:t>
            </w: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752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4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35.3 %</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2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32.5 %</w:t>
            </w:r>
          </w:p>
        </w:tc>
        <w:tc>
          <w:tcPr>
            <w:tcW w:w="0" w:type="dxa"/>
            <w:vAlign w:val="bottom"/>
          </w:tcPr>
          <w:p>
            <w:pPr>
              <w:spacing w:after="0"/>
              <w:rPr>
                <w:sz w:val="1"/>
                <w:szCs w:val="1"/>
                <w:color w:val="auto"/>
              </w:rPr>
            </w:pPr>
          </w:p>
        </w:tc>
      </w:tr>
    </w:tbl>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EBITDA and Adjusted EBITDA</w:t>
      </w:r>
    </w:p>
    <w:p>
      <w:pPr>
        <w:spacing w:after="0" w:line="188"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3"/>
          <w:szCs w:val="13"/>
          <w:color w:val="auto"/>
        </w:rPr>
        <w:t>EBITDA and adjusted EBITDA are performance measures. EBITDA is earnings before interest, income tax, and depreciation and amortization expenses ("EBITDA"). Adjusted EBITDA begins with EBITDA but further excludes certain non-cash costs, such as stock-based compensation and the write-off of the carrying value of investments or other assets, as well as debt extinguishment and modification expenses and other expenses and income items considered non-recurring, such as acquisition integration expenses, certain professional fees, and litigation settlements. We review the non-GAAP adjusted EBITDA measure to evaluate our business and trends, measure our performance, prepare financial projections, allocate resources, and make strategic decisions.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400" w:type="dxa"/>
            <w:vAlign w:val="bottom"/>
          </w:tcPr>
          <w:p>
            <w:pPr>
              <w:spacing w:after="0"/>
              <w:rPr>
                <w:sz w:val="20"/>
                <w:szCs w:val="20"/>
                <w:color w:val="auto"/>
              </w:rPr>
            </w:pPr>
            <w:r>
              <w:rPr>
                <w:rFonts w:ascii="Times New Roman" w:cs="Times New Roman" w:eastAsia="Times New Roman" w:hAnsi="Times New Roman"/>
                <w:sz w:val="13"/>
                <w:szCs w:val="13"/>
                <w:color w:val="auto"/>
              </w:rPr>
              <w:t>The reconciliation of adjusted EBITDA to its most comparable GAAP measure is provided below:</w:t>
            </w:r>
          </w:p>
        </w:tc>
        <w:tc>
          <w:tcPr>
            <w:tcW w:w="2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3"/>
        </w:trPr>
        <w:tc>
          <w:tcPr>
            <w:tcW w:w="540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24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4"/>
          </w:tcPr>
          <w:p>
            <w:pPr>
              <w:jc w:val="right"/>
              <w:ind w:right="854"/>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0" w:type="dxa"/>
            <w:vAlign w:val="bottom"/>
          </w:tcPr>
          <w:p>
            <w:pPr>
              <w:spacing w:after="0"/>
              <w:rPr>
                <w:sz w:val="1"/>
                <w:szCs w:val="1"/>
                <w:color w:val="auto"/>
              </w:rPr>
            </w:pPr>
          </w:p>
        </w:tc>
      </w:tr>
      <w:tr>
        <w:trPr>
          <w:trHeight w:val="163"/>
        </w:trPr>
        <w:tc>
          <w:tcPr>
            <w:tcW w:w="54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154"/>
        </w:trPr>
        <w:tc>
          <w:tcPr>
            <w:tcW w:w="5400" w:type="dxa"/>
            <w:vAlign w:val="bottom"/>
          </w:tcPr>
          <w:p>
            <w:pPr>
              <w:spacing w:after="0"/>
              <w:rPr>
                <w:sz w:val="20"/>
                <w:szCs w:val="20"/>
                <w:color w:val="auto"/>
              </w:rPr>
            </w:pPr>
            <w:r>
              <w:rPr>
                <w:rFonts w:ascii="Times New Roman" w:cs="Times New Roman" w:eastAsia="Times New Roman" w:hAnsi="Times New Roman"/>
                <w:sz w:val="13"/>
                <w:szCs w:val="13"/>
                <w:color w:val="auto"/>
              </w:rPr>
              <w:t>Net income (loss)</w:t>
            </w:r>
          </w:p>
        </w:tc>
        <w:tc>
          <w:tcPr>
            <w:tcW w:w="2240" w:type="dxa"/>
            <w:vAlign w:val="bottom"/>
          </w:tcPr>
          <w:p>
            <w:pPr>
              <w:spacing w:after="0"/>
              <w:rPr>
                <w:sz w:val="13"/>
                <w:szCs w:val="13"/>
                <w:color w:val="auto"/>
              </w:rPr>
            </w:pPr>
          </w:p>
        </w:tc>
        <w:tc>
          <w:tcPr>
            <w:tcW w:w="420" w:type="dxa"/>
            <w:vAlign w:val="bottom"/>
          </w:tcPr>
          <w:p>
            <w:pPr>
              <w:jc w:val="right"/>
              <w:ind w:right="274"/>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5,193</w:t>
            </w:r>
          </w:p>
        </w:tc>
        <w:tc>
          <w:tcPr>
            <w:tcW w:w="80" w:type="dxa"/>
            <w:vAlign w:val="bottom"/>
          </w:tcPr>
          <w:p>
            <w:pPr>
              <w:spacing w:after="0"/>
              <w:rPr>
                <w:sz w:val="13"/>
                <w:szCs w:val="13"/>
                <w:color w:val="auto"/>
              </w:rPr>
            </w:pPr>
          </w:p>
        </w:tc>
        <w:tc>
          <w:tcPr>
            <w:tcW w:w="420" w:type="dxa"/>
            <w:vAlign w:val="bottom"/>
          </w:tcPr>
          <w:p>
            <w:pPr>
              <w:jc w:val="right"/>
              <w:ind w:right="274"/>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(506)</w:t>
            </w:r>
          </w:p>
        </w:tc>
        <w:tc>
          <w:tcPr>
            <w:tcW w:w="0" w:type="dxa"/>
            <w:vAlign w:val="bottom"/>
          </w:tcPr>
          <w:p>
            <w:pPr>
              <w:spacing w:after="0"/>
              <w:rPr>
                <w:sz w:val="1"/>
                <w:szCs w:val="1"/>
                <w:color w:val="auto"/>
              </w:rPr>
            </w:pPr>
          </w:p>
        </w:tc>
      </w:tr>
      <w:tr>
        <w:trPr>
          <w:trHeight w:val="171"/>
        </w:trPr>
        <w:tc>
          <w:tcPr>
            <w:tcW w:w="54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Interest expense</w:t>
            </w:r>
          </w:p>
        </w:tc>
        <w:tc>
          <w:tcPr>
            <w:tcW w:w="2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20,880</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17,699</w:t>
            </w:r>
          </w:p>
        </w:tc>
        <w:tc>
          <w:tcPr>
            <w:tcW w:w="0" w:type="dxa"/>
            <w:vAlign w:val="bottom"/>
          </w:tcPr>
          <w:p>
            <w:pPr>
              <w:spacing w:after="0"/>
              <w:rPr>
                <w:sz w:val="1"/>
                <w:szCs w:val="1"/>
                <w:color w:val="auto"/>
              </w:rPr>
            </w:pPr>
          </w:p>
        </w:tc>
      </w:tr>
      <w:tr>
        <w:trPr>
          <w:trHeight w:val="171"/>
        </w:trPr>
        <w:tc>
          <w:tcPr>
            <w:tcW w:w="54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Income tax expense (benefit)</w:t>
            </w:r>
          </w:p>
        </w:tc>
        <w:tc>
          <w:tcPr>
            <w:tcW w:w="2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2,582</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w:t>
            </w:r>
          </w:p>
        </w:tc>
        <w:tc>
          <w:tcPr>
            <w:tcW w:w="0" w:type="dxa"/>
            <w:vAlign w:val="bottom"/>
          </w:tcPr>
          <w:p>
            <w:pPr>
              <w:spacing w:after="0"/>
              <w:rPr>
                <w:sz w:val="1"/>
                <w:szCs w:val="1"/>
                <w:color w:val="auto"/>
              </w:rPr>
            </w:pPr>
          </w:p>
        </w:tc>
      </w:tr>
      <w:tr>
        <w:trPr>
          <w:trHeight w:val="172"/>
        </w:trPr>
        <w:tc>
          <w:tcPr>
            <w:tcW w:w="54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22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15,253</w:t>
            </w:r>
          </w:p>
        </w:tc>
        <w:tc>
          <w:tcPr>
            <w:tcW w:w="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18,048</w:t>
            </w:r>
          </w:p>
        </w:tc>
        <w:tc>
          <w:tcPr>
            <w:tcW w:w="0" w:type="dxa"/>
            <w:vAlign w:val="bottom"/>
          </w:tcPr>
          <w:p>
            <w:pPr>
              <w:spacing w:after="0"/>
              <w:rPr>
                <w:sz w:val="1"/>
                <w:szCs w:val="1"/>
                <w:color w:val="auto"/>
              </w:rPr>
            </w:pPr>
          </w:p>
        </w:tc>
      </w:tr>
      <w:tr>
        <w:trPr>
          <w:trHeight w:val="159"/>
        </w:trPr>
        <w:tc>
          <w:tcPr>
            <w:tcW w:w="5400" w:type="dxa"/>
            <w:vAlign w:val="bottom"/>
          </w:tcPr>
          <w:p>
            <w:pPr>
              <w:spacing w:after="0"/>
              <w:rPr>
                <w:sz w:val="20"/>
                <w:szCs w:val="20"/>
                <w:color w:val="auto"/>
              </w:rPr>
            </w:pPr>
            <w:r>
              <w:rPr>
                <w:rFonts w:ascii="Times New Roman" w:cs="Times New Roman" w:eastAsia="Times New Roman" w:hAnsi="Times New Roman"/>
                <w:sz w:val="13"/>
                <w:szCs w:val="13"/>
                <w:color w:val="auto"/>
              </w:rPr>
              <w:t>EBITDA</w:t>
            </w:r>
          </w:p>
        </w:tc>
        <w:tc>
          <w:tcPr>
            <w:tcW w:w="2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43,908</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35,108</w:t>
            </w:r>
          </w:p>
        </w:tc>
        <w:tc>
          <w:tcPr>
            <w:tcW w:w="0" w:type="dxa"/>
            <w:vAlign w:val="bottom"/>
          </w:tcPr>
          <w:p>
            <w:pPr>
              <w:spacing w:after="0"/>
              <w:rPr>
                <w:sz w:val="1"/>
                <w:szCs w:val="1"/>
                <w:color w:val="auto"/>
              </w:rPr>
            </w:pPr>
          </w:p>
        </w:tc>
      </w:tr>
      <w:tr>
        <w:trPr>
          <w:trHeight w:val="171"/>
        </w:trPr>
        <w:tc>
          <w:tcPr>
            <w:tcW w:w="54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Selling, general and administrative (non-recurring)</w:t>
            </w:r>
          </w:p>
        </w:tc>
        <w:tc>
          <w:tcPr>
            <w:tcW w:w="2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798</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437</w:t>
            </w:r>
          </w:p>
        </w:tc>
        <w:tc>
          <w:tcPr>
            <w:tcW w:w="0" w:type="dxa"/>
            <w:vAlign w:val="bottom"/>
          </w:tcPr>
          <w:p>
            <w:pPr>
              <w:spacing w:after="0"/>
              <w:rPr>
                <w:sz w:val="1"/>
                <w:szCs w:val="1"/>
                <w:color w:val="auto"/>
              </w:rPr>
            </w:pPr>
          </w:p>
        </w:tc>
      </w:tr>
      <w:tr>
        <w:trPr>
          <w:trHeight w:val="171"/>
        </w:trPr>
        <w:tc>
          <w:tcPr>
            <w:tcW w:w="54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Non-cash stock-based compensation</w:t>
            </w:r>
          </w:p>
        </w:tc>
        <w:tc>
          <w:tcPr>
            <w:tcW w:w="2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1,634</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1,936</w:t>
            </w:r>
          </w:p>
        </w:tc>
        <w:tc>
          <w:tcPr>
            <w:tcW w:w="0" w:type="dxa"/>
            <w:vAlign w:val="bottom"/>
          </w:tcPr>
          <w:p>
            <w:pPr>
              <w:spacing w:after="0"/>
              <w:rPr>
                <w:sz w:val="1"/>
                <w:szCs w:val="1"/>
                <w:color w:val="auto"/>
              </w:rPr>
            </w:pPr>
          </w:p>
        </w:tc>
      </w:tr>
      <w:tr>
        <w:trPr>
          <w:trHeight w:val="174"/>
        </w:trPr>
        <w:tc>
          <w:tcPr>
            <w:tcW w:w="54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Non-cash other losses</w:t>
            </w:r>
          </w:p>
        </w:tc>
        <w:tc>
          <w:tcPr>
            <w:tcW w:w="2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w:t>
            </w:r>
          </w:p>
        </w:tc>
        <w:tc>
          <w:tcPr>
            <w:tcW w:w="0" w:type="dxa"/>
            <w:vAlign w:val="bottom"/>
          </w:tcPr>
          <w:p>
            <w:pPr>
              <w:spacing w:after="0"/>
              <w:rPr>
                <w:sz w:val="1"/>
                <w:szCs w:val="1"/>
                <w:color w:val="auto"/>
              </w:rPr>
            </w:pPr>
          </w:p>
        </w:tc>
      </w:tr>
      <w:tr>
        <w:trPr>
          <w:trHeight w:val="163"/>
        </w:trPr>
        <w:tc>
          <w:tcPr>
            <w:tcW w:w="54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Adjusted EBITDA</w:t>
            </w:r>
          </w:p>
        </w:tc>
        <w:tc>
          <w:tcPr>
            <w:tcW w:w="2240" w:type="dxa"/>
            <w:vAlign w:val="bottom"/>
          </w:tcPr>
          <w:p>
            <w:pPr>
              <w:spacing w:after="0"/>
              <w:rPr>
                <w:sz w:val="14"/>
                <w:szCs w:val="14"/>
                <w:color w:val="auto"/>
              </w:rPr>
            </w:pPr>
          </w:p>
        </w:tc>
        <w:tc>
          <w:tcPr>
            <w:tcW w:w="42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46,340</w:t>
            </w:r>
          </w:p>
        </w:tc>
        <w:tc>
          <w:tcPr>
            <w:tcW w:w="80" w:type="dxa"/>
            <w:vAlign w:val="bottom"/>
          </w:tcPr>
          <w:p>
            <w:pPr>
              <w:spacing w:after="0"/>
              <w:rPr>
                <w:sz w:val="14"/>
                <w:szCs w:val="14"/>
                <w:color w:val="auto"/>
              </w:rPr>
            </w:pPr>
          </w:p>
        </w:tc>
        <w:tc>
          <w:tcPr>
            <w:tcW w:w="42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37,640</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240" w:type="dxa"/>
            <w:vAlign w:val="bottom"/>
            <w:vMerge w:val="restart"/>
          </w:tcPr>
          <w:p>
            <w:pPr>
              <w:jc w:val="right"/>
              <w:ind w:right="1900"/>
              <w:spacing w:after="0"/>
              <w:rPr>
                <w:sz w:val="20"/>
                <w:szCs w:val="20"/>
                <w:color w:val="auto"/>
              </w:rPr>
            </w:pPr>
            <w:r>
              <w:rPr>
                <w:rFonts w:ascii="Times New Roman" w:cs="Times New Roman" w:eastAsia="Times New Roman" w:hAnsi="Times New Roman"/>
                <w:sz w:val="12"/>
                <w:szCs w:val="12"/>
                <w:color w:val="auto"/>
              </w:rPr>
              <w:t>3</w:t>
            </w: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5"/>
        </w:trPr>
        <w:tc>
          <w:tcPr>
            <w:tcW w:w="5400" w:type="dxa"/>
            <w:vAlign w:val="bottom"/>
          </w:tcPr>
          <w:p>
            <w:pPr>
              <w:spacing w:after="0"/>
              <w:rPr>
                <w:sz w:val="24"/>
                <w:szCs w:val="24"/>
                <w:color w:val="auto"/>
              </w:rPr>
            </w:pPr>
          </w:p>
        </w:tc>
        <w:tc>
          <w:tcPr>
            <w:tcW w:w="224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958" w:right="29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Further detail of certain of these adjustments, and where these items are recorded in our consolidated statements of operations, is provided below:</w:t>
            </w: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3"/>
        </w:trPr>
        <w:tc>
          <w:tcPr>
            <w:tcW w:w="820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3080" w:type="dxa"/>
            <w:vAlign w:val="bottom"/>
            <w:gridSpan w:val="4"/>
          </w:tcPr>
          <w:p>
            <w:pPr>
              <w:jc w:val="right"/>
              <w:ind w:right="774"/>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0" w:type="dxa"/>
            <w:vAlign w:val="bottom"/>
          </w:tcPr>
          <w:p>
            <w:pPr>
              <w:spacing w:after="0"/>
              <w:rPr>
                <w:sz w:val="1"/>
                <w:szCs w:val="1"/>
                <w:color w:val="auto"/>
              </w:rPr>
            </w:pPr>
          </w:p>
        </w:tc>
      </w:tr>
      <w:tr>
        <w:trPr>
          <w:trHeight w:val="163"/>
        </w:trPr>
        <w:tc>
          <w:tcPr>
            <w:tcW w:w="78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Selling, general and administrative expenses (non-recurring):</w:t>
            </w:r>
          </w:p>
        </w:tc>
        <w:tc>
          <w:tcPr>
            <w:tcW w:w="40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654"/>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top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654"/>
              <w:spacing w:after="0"/>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145"/>
        </w:trPr>
        <w:tc>
          <w:tcPr>
            <w:tcW w:w="780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2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Certain legal fees</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450</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376</w:t>
            </w:r>
          </w:p>
        </w:tc>
        <w:tc>
          <w:tcPr>
            <w:tcW w:w="0" w:type="dxa"/>
            <w:vAlign w:val="bottom"/>
          </w:tcPr>
          <w:p>
            <w:pPr>
              <w:spacing w:after="0"/>
              <w:rPr>
                <w:sz w:val="1"/>
                <w:szCs w:val="1"/>
                <w:color w:val="auto"/>
              </w:rPr>
            </w:pPr>
          </w:p>
        </w:tc>
      </w:tr>
      <w:tr>
        <w:trPr>
          <w:trHeight w:val="171"/>
        </w:trPr>
        <w:tc>
          <w:tcPr>
            <w:tcW w:w="82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Professional, accounting and consulting fees</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0" w:type="dxa"/>
            <w:vAlign w:val="bottom"/>
          </w:tcPr>
          <w:p>
            <w:pPr>
              <w:spacing w:after="0"/>
              <w:rPr>
                <w:sz w:val="1"/>
                <w:szCs w:val="1"/>
                <w:color w:val="auto"/>
              </w:rPr>
            </w:pPr>
          </w:p>
        </w:tc>
      </w:tr>
      <w:tr>
        <w:trPr>
          <w:trHeight w:val="174"/>
        </w:trPr>
        <w:tc>
          <w:tcPr>
            <w:tcW w:w="82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Other expenses, net</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3"/>
        </w:trPr>
        <w:tc>
          <w:tcPr>
            <w:tcW w:w="780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ind w:right="25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798</w:t>
            </w:r>
          </w:p>
        </w:tc>
        <w:tc>
          <w:tcPr>
            <w:tcW w:w="8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ind w:right="25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437</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2"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3"/>
          <w:szCs w:val="13"/>
          <w:color w:val="auto"/>
        </w:rPr>
        <w:t>Priority does not provide a reconciliation of forward-looking non-GAAP financial measures to their comparable GAAP financial measures because it could not do so without unreasonable effort due to the unavailability of the information needed to calculate reconciling items and due to the variability, complexity and limited visibility of the adjusting items that would be excluded from the non-GAAP financial measures in future periods. When planning, forecasting and analyzing future periods, the Company does so primarily on a non-GAAP basis without preparing a GAAP analysis as that would require estimates for various cash and non-cash reconciling items that would be difficult to predict with reasonable accuracy. For example, stock-based compensation expense would be difficult to estimate because it depends on the Company's future hiring and retention needs, as well as the future fair market value of the Company's common stock, all of which are difficult to predict and subject to constant change. As a result, the Company does not believe that a GAAP reconciliation would provide meaningful supplemental information about the Company's outlook.</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ectPr>
          <w:pgSz w:w="11900" w:h="16838" w:orient="portrait"/>
          <w:cols w:equalWidth="0" w:num="1">
            <w:col w:w="11300"/>
          </w:cols>
          <w:pgMar w:left="300" w:top="980" w:right="29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t>About Priority Technology Holdings, Inc.</w:t>
      </w:r>
    </w:p>
    <w:p>
      <w:pPr>
        <w:spacing w:after="0" w:line="168"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3"/>
          <w:szCs w:val="13"/>
          <w:color w:val="auto"/>
        </w:rPr>
        <w:t>Priority is a solution provider in Payments and Banking as a Service operating at scale with over 1,000,000 active customers across its SMB, B2B and Enterprise channels processing $120 billion in annual transaction volume and providing administration for $980 million in deposits. Priority’s purpose-built technology enables clients to collect, store, lend and send money and provides customers the acceptance and AP payment applications and Passport financial tools that best optimize their cash flow and maximize working capital. Additional information can be found at www.prioritycommerce.com.</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0A0A0A"/>
        </w:rPr>
        <w:t>Forward-Looking Statements</w:t>
      </w:r>
    </w:p>
    <w:p>
      <w:pPr>
        <w:spacing w:after="0" w:line="177"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3"/>
          <w:szCs w:val="13"/>
          <w:color w:val="auto"/>
        </w:rPr>
        <w:t>This press release contains "forward-looking statements" within the meaning of the Private Securities Litigation Reform Act of 1995. Such statements include, but are not limited to, statements about future financial and operating results, our plans, objectives, expectations and intentions with respect to future operations, products and services, and other statements identified by words such as "may," "will," "should," "anticipates," "believes," "expects," "plans," "future," "intends," "could," "estimate," "predict," "projects," "targeting," "potential" or "contingent," "guidance," "outlook" or words of similar meaning. These forward-looking statements include, but are not limited to, our 2024 outlook and statements regarding our market and growth opportunities. Such forward-looking statements are based upon the current beliefs and expectations of our management and are inherently subject to significant business, economic and competitive risks, trends and uncertainties that could cause actual results to differ materially from those projected, expressed, or implied by such forward-looking statements. Our actual results could differ materially, and potentially adversely, from those discussed or implied herein.</w:t>
      </w:r>
    </w:p>
    <w:p>
      <w:pPr>
        <w:spacing w:after="0" w:line="117"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3"/>
          <w:szCs w:val="13"/>
          <w:color w:val="auto"/>
        </w:rPr>
        <w:t>We caution that it is very difficult to predict the impact of known factors, and it is impossible for us to anticipate all factors that could affect our actual results. All forward-looking statements are expressly qualified in their entirety by these cautionary statements. You should evaluate all forward-looking statements made in this press release in the context of the risks and uncertainties disclosed in our SEC filings, including our most recent Annual Report on Form 10-K filed with the SEC on March 12, 2024. These filings are available online at www.sec.gov or www.prioritycommerce.com.</w:t>
      </w:r>
    </w:p>
    <w:p>
      <w:pPr>
        <w:spacing w:after="0" w:line="108"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3"/>
          <w:szCs w:val="13"/>
          <w:color w:val="auto"/>
        </w:rPr>
        <w:t>We caution you that the important factors referenced above may not contain all of the factors that are important to you. In addition, we cannot assure you that we will realize the results or developments we expect or anticipate or, even if substantially realized, that they will result in the consequences we anticipate or affect us or our operations in the way we expect. You are cautioned not to place undue reliance on forward-looking statements as a predictor of future performance. The forward-looking statements included in this press release are made only as of the date hereof. We undertake no obligation to publicly update or revise any forward-looking statement as a result of new information, future events or otherwise, except as otherwise required by law. If we do update one or more forward-looking statements, no inference should be made that we will make additional updates with respect to those or other forward-looking statements. We qualify all of our forward-looking statements by these cautionary statements.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ectPr>
          <w:pgSz w:w="11900" w:h="16838" w:orient="portrait"/>
          <w:cols w:equalWidth="0" w:num="1">
            <w:col w:w="11300"/>
          </w:cols>
          <w:pgMar w:left="300" w:top="636" w:right="29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Priority Technology Holdings, Inc.</w:t>
      </w:r>
    </w:p>
    <w:p>
      <w:pPr>
        <w:spacing w:after="0" w:line="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Unaudited Consolidated Statements of Operations and Comprehensive Loss</w:t>
      </w:r>
    </w:p>
    <w:p>
      <w:pPr>
        <w:spacing w:after="0" w:line="2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i w:val="1"/>
          <w:iCs w:val="1"/>
          <w:color w:val="auto"/>
        </w:rPr>
        <w:t>(in thousands, except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66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80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tc>
        <w:tc>
          <w:tcPr>
            <w:tcW w:w="6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6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b w:val="1"/>
                <w:bCs w:val="1"/>
                <w:color w:val="242424"/>
              </w:rPr>
              <w:t>2024</w:t>
            </w:r>
          </w:p>
        </w:tc>
        <w:tc>
          <w:tcPr>
            <w:tcW w:w="6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2023</w:t>
            </w:r>
          </w:p>
        </w:tc>
        <w:tc>
          <w:tcPr>
            <w:tcW w:w="6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Revenues</w:t>
            </w:r>
          </w:p>
        </w:tc>
        <w:tc>
          <w:tcPr>
            <w:tcW w:w="2240" w:type="dxa"/>
            <w:vAlign w:val="bottom"/>
          </w:tcPr>
          <w:p>
            <w:pPr>
              <w:spacing w:after="0"/>
              <w:rPr>
                <w:sz w:val="12"/>
                <w:szCs w:val="12"/>
                <w:color w:val="auto"/>
              </w:rPr>
            </w:pPr>
          </w:p>
        </w:tc>
        <w:tc>
          <w:tcPr>
            <w:tcW w:w="1060" w:type="dxa"/>
            <w:vAlign w:val="bottom"/>
            <w:tcBorders>
              <w:bottom w:val="single" w:sz="8" w:color="auto"/>
            </w:tcBorders>
          </w:tcPr>
          <w:p>
            <w:pPr>
              <w:jc w:val="right"/>
              <w:ind w:right="92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205,719</w:t>
            </w:r>
          </w:p>
        </w:tc>
        <w:tc>
          <w:tcPr>
            <w:tcW w:w="80" w:type="dxa"/>
            <w:vAlign w:val="bottom"/>
          </w:tcPr>
          <w:p>
            <w:pPr>
              <w:spacing w:after="0"/>
              <w:rPr>
                <w:sz w:val="12"/>
                <w:szCs w:val="12"/>
                <w:color w:val="auto"/>
              </w:rPr>
            </w:pPr>
          </w:p>
        </w:tc>
        <w:tc>
          <w:tcPr>
            <w:tcW w:w="1060" w:type="dxa"/>
            <w:vAlign w:val="bottom"/>
            <w:tcBorders>
              <w:bottom w:val="single" w:sz="8" w:color="auto"/>
            </w:tcBorders>
          </w:tcPr>
          <w:p>
            <w:pPr>
              <w:jc w:val="right"/>
              <w:ind w:right="92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185,028</w:t>
            </w:r>
          </w:p>
        </w:tc>
        <w:tc>
          <w:tcPr>
            <w:tcW w:w="0" w:type="dxa"/>
            <w:vAlign w:val="bottom"/>
          </w:tcPr>
          <w:p>
            <w:pPr>
              <w:spacing w:after="0"/>
              <w:rPr>
                <w:sz w:val="1"/>
                <w:szCs w:val="1"/>
                <w:color w:val="auto"/>
              </w:rPr>
            </w:pPr>
          </w:p>
        </w:tc>
      </w:tr>
      <w:tr>
        <w:trPr>
          <w:trHeight w:val="131"/>
        </w:trPr>
        <w:tc>
          <w:tcPr>
            <w:tcW w:w="4660" w:type="dxa"/>
            <w:vAlign w:val="bottom"/>
          </w:tcPr>
          <w:p>
            <w:pPr>
              <w:spacing w:after="0" w:line="132" w:lineRule="exact"/>
              <w:rPr>
                <w:sz w:val="20"/>
                <w:szCs w:val="20"/>
                <w:color w:val="auto"/>
              </w:rPr>
            </w:pPr>
            <w:r>
              <w:rPr>
                <w:rFonts w:ascii="Times New Roman" w:cs="Times New Roman" w:eastAsia="Times New Roman" w:hAnsi="Times New Roman"/>
                <w:sz w:val="12"/>
                <w:szCs w:val="12"/>
                <w:b w:val="1"/>
                <w:bCs w:val="1"/>
                <w:color w:val="auto"/>
              </w:rPr>
              <w:t>Operating expenses</w:t>
            </w:r>
          </w:p>
        </w:tc>
        <w:tc>
          <w:tcPr>
            <w:tcW w:w="22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6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Cost of revenue (excludes depreciation and amortization)</w:t>
            </w:r>
          </w:p>
        </w:tc>
        <w:tc>
          <w:tcPr>
            <w:tcW w:w="2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129,298</w:t>
            </w: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121,966</w:t>
            </w:r>
          </w:p>
        </w:tc>
        <w:tc>
          <w:tcPr>
            <w:tcW w:w="0" w:type="dxa"/>
            <w:vAlign w:val="bottom"/>
          </w:tcPr>
          <w:p>
            <w:pPr>
              <w:spacing w:after="0"/>
              <w:rPr>
                <w:sz w:val="1"/>
                <w:szCs w:val="1"/>
                <w:color w:val="auto"/>
              </w:rPr>
            </w:pPr>
          </w:p>
        </w:tc>
      </w:tr>
      <w:tr>
        <w:trPr>
          <w:trHeight w:val="153"/>
        </w:trPr>
        <w:tc>
          <w:tcPr>
            <w:tcW w:w="46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Salary and employee benefits</w:t>
            </w:r>
          </w:p>
        </w:tc>
        <w:tc>
          <w:tcPr>
            <w:tcW w:w="2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22,150</w:t>
            </w: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19,048</w:t>
            </w:r>
          </w:p>
        </w:tc>
        <w:tc>
          <w:tcPr>
            <w:tcW w:w="0" w:type="dxa"/>
            <w:vAlign w:val="bottom"/>
          </w:tcPr>
          <w:p>
            <w:pPr>
              <w:spacing w:after="0"/>
              <w:rPr>
                <w:sz w:val="1"/>
                <w:szCs w:val="1"/>
                <w:color w:val="auto"/>
              </w:rPr>
            </w:pPr>
          </w:p>
        </w:tc>
      </w:tr>
      <w:tr>
        <w:trPr>
          <w:trHeight w:val="153"/>
        </w:trPr>
        <w:tc>
          <w:tcPr>
            <w:tcW w:w="46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2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15,253</w:t>
            </w: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18,048</w:t>
            </w:r>
          </w:p>
        </w:tc>
        <w:tc>
          <w:tcPr>
            <w:tcW w:w="0" w:type="dxa"/>
            <w:vAlign w:val="bottom"/>
          </w:tcPr>
          <w:p>
            <w:pPr>
              <w:spacing w:after="0"/>
              <w:rPr>
                <w:sz w:val="1"/>
                <w:szCs w:val="1"/>
                <w:color w:val="auto"/>
              </w:rPr>
            </w:pPr>
          </w:p>
        </w:tc>
      </w:tr>
      <w:tr>
        <w:trPr>
          <w:trHeight w:val="155"/>
        </w:trPr>
        <w:tc>
          <w:tcPr>
            <w:tcW w:w="46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Selling, general and administrative</w:t>
            </w:r>
          </w:p>
        </w:tc>
        <w:tc>
          <w:tcPr>
            <w:tcW w:w="2240" w:type="dxa"/>
            <w:vAlign w:val="bottom"/>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10,995</w:t>
            </w:r>
          </w:p>
        </w:tc>
        <w:tc>
          <w:tcPr>
            <w:tcW w:w="80" w:type="dxa"/>
            <w:vAlign w:val="bottom"/>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9,118</w:t>
            </w:r>
          </w:p>
        </w:tc>
        <w:tc>
          <w:tcPr>
            <w:tcW w:w="0" w:type="dxa"/>
            <w:vAlign w:val="bottom"/>
          </w:tcPr>
          <w:p>
            <w:pPr>
              <w:spacing w:after="0"/>
              <w:rPr>
                <w:sz w:val="1"/>
                <w:szCs w:val="1"/>
                <w:color w:val="auto"/>
              </w:rPr>
            </w:pPr>
          </w:p>
        </w:tc>
      </w:tr>
      <w:tr>
        <w:trPr>
          <w:trHeight w:val="142"/>
        </w:trPr>
        <w:tc>
          <w:tcPr>
            <w:tcW w:w="46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Total operating expenses</w:t>
            </w:r>
          </w:p>
        </w:tc>
        <w:tc>
          <w:tcPr>
            <w:tcW w:w="2240" w:type="dxa"/>
            <w:vAlign w:val="bottom"/>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177,696</w:t>
            </w:r>
          </w:p>
        </w:tc>
        <w:tc>
          <w:tcPr>
            <w:tcW w:w="80" w:type="dxa"/>
            <w:vAlign w:val="bottom"/>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168,180</w:t>
            </w:r>
          </w:p>
        </w:tc>
        <w:tc>
          <w:tcPr>
            <w:tcW w:w="0" w:type="dxa"/>
            <w:vAlign w:val="bottom"/>
          </w:tcPr>
          <w:p>
            <w:pPr>
              <w:spacing w:after="0"/>
              <w:rPr>
                <w:sz w:val="1"/>
                <w:szCs w:val="1"/>
                <w:color w:val="auto"/>
              </w:rPr>
            </w:pPr>
          </w:p>
        </w:tc>
      </w:tr>
      <w:tr>
        <w:trPr>
          <w:trHeight w:val="142"/>
        </w:trPr>
        <w:tc>
          <w:tcPr>
            <w:tcW w:w="46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Operating income</w:t>
            </w:r>
          </w:p>
        </w:tc>
        <w:tc>
          <w:tcPr>
            <w:tcW w:w="2240" w:type="dxa"/>
            <w:vAlign w:val="bottom"/>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28,023</w:t>
            </w:r>
          </w:p>
        </w:tc>
        <w:tc>
          <w:tcPr>
            <w:tcW w:w="80" w:type="dxa"/>
            <w:vAlign w:val="bottom"/>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16,848</w:t>
            </w:r>
          </w:p>
        </w:tc>
        <w:tc>
          <w:tcPr>
            <w:tcW w:w="0" w:type="dxa"/>
            <w:vAlign w:val="bottom"/>
          </w:tcPr>
          <w:p>
            <w:pPr>
              <w:spacing w:after="0"/>
              <w:rPr>
                <w:sz w:val="1"/>
                <w:szCs w:val="1"/>
                <w:color w:val="auto"/>
              </w:rPr>
            </w:pPr>
          </w:p>
        </w:tc>
      </w:tr>
      <w:tr>
        <w:trPr>
          <w:trHeight w:val="131"/>
        </w:trPr>
        <w:tc>
          <w:tcPr>
            <w:tcW w:w="4660" w:type="dxa"/>
            <w:vAlign w:val="bottom"/>
          </w:tcPr>
          <w:p>
            <w:pPr>
              <w:spacing w:after="0" w:line="132" w:lineRule="exact"/>
              <w:rPr>
                <w:sz w:val="20"/>
                <w:szCs w:val="20"/>
                <w:color w:val="auto"/>
              </w:rPr>
            </w:pPr>
            <w:r>
              <w:rPr>
                <w:rFonts w:ascii="Times New Roman" w:cs="Times New Roman" w:eastAsia="Times New Roman" w:hAnsi="Times New Roman"/>
                <w:sz w:val="12"/>
                <w:szCs w:val="12"/>
                <w:b w:val="1"/>
                <w:bCs w:val="1"/>
                <w:color w:val="auto"/>
              </w:rPr>
              <w:t>Other (expense) income</w:t>
            </w:r>
          </w:p>
        </w:tc>
        <w:tc>
          <w:tcPr>
            <w:tcW w:w="22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6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Interest expense</w:t>
            </w:r>
          </w:p>
        </w:tc>
        <w:tc>
          <w:tcPr>
            <w:tcW w:w="2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(20,880)</w:t>
            </w: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(17,699)</w:t>
            </w:r>
          </w:p>
        </w:tc>
        <w:tc>
          <w:tcPr>
            <w:tcW w:w="0" w:type="dxa"/>
            <w:vAlign w:val="bottom"/>
          </w:tcPr>
          <w:p>
            <w:pPr>
              <w:spacing w:after="0"/>
              <w:rPr>
                <w:sz w:val="1"/>
                <w:szCs w:val="1"/>
                <w:color w:val="auto"/>
              </w:rPr>
            </w:pPr>
          </w:p>
        </w:tc>
      </w:tr>
      <w:tr>
        <w:trPr>
          <w:trHeight w:val="155"/>
        </w:trPr>
        <w:tc>
          <w:tcPr>
            <w:tcW w:w="46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Other income, net</w:t>
            </w:r>
          </w:p>
        </w:tc>
        <w:tc>
          <w:tcPr>
            <w:tcW w:w="2240" w:type="dxa"/>
            <w:vAlign w:val="bottom"/>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632</w:t>
            </w:r>
          </w:p>
        </w:tc>
        <w:tc>
          <w:tcPr>
            <w:tcW w:w="80" w:type="dxa"/>
            <w:vAlign w:val="bottom"/>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212</w:t>
            </w:r>
          </w:p>
        </w:tc>
        <w:tc>
          <w:tcPr>
            <w:tcW w:w="0" w:type="dxa"/>
            <w:vAlign w:val="bottom"/>
          </w:tcPr>
          <w:p>
            <w:pPr>
              <w:spacing w:after="0"/>
              <w:rPr>
                <w:sz w:val="1"/>
                <w:szCs w:val="1"/>
                <w:color w:val="auto"/>
              </w:rPr>
            </w:pPr>
          </w:p>
        </w:tc>
      </w:tr>
      <w:tr>
        <w:trPr>
          <w:trHeight w:val="142"/>
        </w:trPr>
        <w:tc>
          <w:tcPr>
            <w:tcW w:w="46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Total other expense, net</w:t>
            </w:r>
          </w:p>
        </w:tc>
        <w:tc>
          <w:tcPr>
            <w:tcW w:w="2240" w:type="dxa"/>
            <w:vAlign w:val="bottom"/>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(20,248)</w:t>
            </w:r>
          </w:p>
        </w:tc>
        <w:tc>
          <w:tcPr>
            <w:tcW w:w="80" w:type="dxa"/>
            <w:vAlign w:val="bottom"/>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(17,487)</w:t>
            </w:r>
          </w:p>
        </w:tc>
        <w:tc>
          <w:tcPr>
            <w:tcW w:w="0" w:type="dxa"/>
            <w:vAlign w:val="bottom"/>
          </w:tcPr>
          <w:p>
            <w:pPr>
              <w:spacing w:after="0"/>
              <w:rPr>
                <w:sz w:val="1"/>
                <w:szCs w:val="1"/>
                <w:color w:val="auto"/>
              </w:rPr>
            </w:pPr>
          </w:p>
        </w:tc>
      </w:tr>
      <w:tr>
        <w:trPr>
          <w:trHeight w:val="140"/>
        </w:trPr>
        <w:tc>
          <w:tcPr>
            <w:tcW w:w="4660" w:type="dxa"/>
            <w:vAlign w:val="bottom"/>
          </w:tcPr>
          <w:p>
            <w:pPr>
              <w:spacing w:after="0"/>
              <w:rPr>
                <w:sz w:val="20"/>
                <w:szCs w:val="20"/>
                <w:color w:val="auto"/>
              </w:rPr>
            </w:pPr>
            <w:r>
              <w:rPr>
                <w:rFonts w:ascii="Times New Roman" w:cs="Times New Roman" w:eastAsia="Times New Roman" w:hAnsi="Times New Roman"/>
                <w:sz w:val="12"/>
                <w:szCs w:val="12"/>
                <w:color w:val="auto"/>
              </w:rPr>
              <w:t>Income (loss) before income taxes</w:t>
            </w:r>
          </w:p>
        </w:tc>
        <w:tc>
          <w:tcPr>
            <w:tcW w:w="2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7,775</w:t>
            </w: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(639)</w:t>
            </w:r>
          </w:p>
        </w:tc>
        <w:tc>
          <w:tcPr>
            <w:tcW w:w="0" w:type="dxa"/>
            <w:vAlign w:val="bottom"/>
          </w:tcPr>
          <w:p>
            <w:pPr>
              <w:spacing w:after="0"/>
              <w:rPr>
                <w:sz w:val="1"/>
                <w:szCs w:val="1"/>
                <w:color w:val="auto"/>
              </w:rPr>
            </w:pPr>
          </w:p>
        </w:tc>
      </w:tr>
      <w:tr>
        <w:trPr>
          <w:trHeight w:val="155"/>
        </w:trPr>
        <w:tc>
          <w:tcPr>
            <w:tcW w:w="4660" w:type="dxa"/>
            <w:vAlign w:val="bottom"/>
          </w:tcPr>
          <w:p>
            <w:pPr>
              <w:spacing w:after="0"/>
              <w:rPr>
                <w:sz w:val="20"/>
                <w:szCs w:val="20"/>
                <w:color w:val="auto"/>
              </w:rPr>
            </w:pPr>
            <w:r>
              <w:rPr>
                <w:rFonts w:ascii="Times New Roman" w:cs="Times New Roman" w:eastAsia="Times New Roman" w:hAnsi="Times New Roman"/>
                <w:sz w:val="12"/>
                <w:szCs w:val="12"/>
                <w:color w:val="auto"/>
              </w:rPr>
              <w:t>Income tax expense (benefit)</w:t>
            </w:r>
          </w:p>
        </w:tc>
        <w:tc>
          <w:tcPr>
            <w:tcW w:w="2240" w:type="dxa"/>
            <w:vAlign w:val="bottom"/>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2,582</w:t>
            </w:r>
          </w:p>
        </w:tc>
        <w:tc>
          <w:tcPr>
            <w:tcW w:w="80" w:type="dxa"/>
            <w:vAlign w:val="bottom"/>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(133)</w:t>
            </w:r>
          </w:p>
        </w:tc>
        <w:tc>
          <w:tcPr>
            <w:tcW w:w="0" w:type="dxa"/>
            <w:vAlign w:val="bottom"/>
          </w:tcPr>
          <w:p>
            <w:pPr>
              <w:spacing w:after="0"/>
              <w:rPr>
                <w:sz w:val="1"/>
                <w:szCs w:val="1"/>
                <w:color w:val="auto"/>
              </w:rPr>
            </w:pPr>
          </w:p>
        </w:tc>
      </w:tr>
      <w:tr>
        <w:trPr>
          <w:trHeight w:val="140"/>
        </w:trPr>
        <w:tc>
          <w:tcPr>
            <w:tcW w:w="46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income (loss)</w:t>
            </w:r>
          </w:p>
        </w:tc>
        <w:tc>
          <w:tcPr>
            <w:tcW w:w="2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5,193</w:t>
            </w: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(506)</w:t>
            </w:r>
          </w:p>
        </w:tc>
        <w:tc>
          <w:tcPr>
            <w:tcW w:w="0" w:type="dxa"/>
            <w:vAlign w:val="bottom"/>
          </w:tcPr>
          <w:p>
            <w:pPr>
              <w:spacing w:after="0"/>
              <w:rPr>
                <w:sz w:val="1"/>
                <w:szCs w:val="1"/>
                <w:color w:val="auto"/>
              </w:rPr>
            </w:pPr>
          </w:p>
        </w:tc>
      </w:tr>
      <w:tr>
        <w:trPr>
          <w:trHeight w:val="153"/>
        </w:trPr>
        <w:tc>
          <w:tcPr>
            <w:tcW w:w="46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Less: Dividends and accretion attributable to redeemable senior preferred stockholders</w:t>
            </w:r>
          </w:p>
        </w:tc>
        <w:tc>
          <w:tcPr>
            <w:tcW w:w="2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(12,662)</w:t>
            </w: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(11,295)</w:t>
            </w:r>
          </w:p>
        </w:tc>
        <w:tc>
          <w:tcPr>
            <w:tcW w:w="0" w:type="dxa"/>
            <w:vAlign w:val="bottom"/>
          </w:tcPr>
          <w:p>
            <w:pPr>
              <w:spacing w:after="0"/>
              <w:rPr>
                <w:sz w:val="1"/>
                <w:szCs w:val="1"/>
                <w:color w:val="auto"/>
              </w:rPr>
            </w:pPr>
          </w:p>
        </w:tc>
      </w:tr>
      <w:tr>
        <w:trPr>
          <w:trHeight w:val="155"/>
        </w:trPr>
        <w:tc>
          <w:tcPr>
            <w:tcW w:w="46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Less: Return on redeemable NCI in consolidated subsidiary</w:t>
            </w:r>
          </w:p>
        </w:tc>
        <w:tc>
          <w:tcPr>
            <w:tcW w:w="2240" w:type="dxa"/>
            <w:vAlign w:val="bottom"/>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(581)</w:t>
            </w:r>
          </w:p>
        </w:tc>
        <w:tc>
          <w:tcPr>
            <w:tcW w:w="80" w:type="dxa"/>
            <w:vAlign w:val="bottom"/>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6"/>
        </w:trPr>
        <w:tc>
          <w:tcPr>
            <w:tcW w:w="4660" w:type="dxa"/>
            <w:vAlign w:val="bottom"/>
          </w:tcPr>
          <w:p>
            <w:pPr>
              <w:spacing w:after="0" w:line="136" w:lineRule="exact"/>
              <w:rPr>
                <w:sz w:val="20"/>
                <w:szCs w:val="20"/>
                <w:color w:val="auto"/>
              </w:rPr>
            </w:pPr>
            <w:r>
              <w:rPr>
                <w:rFonts w:ascii="Times New Roman" w:cs="Times New Roman" w:eastAsia="Times New Roman" w:hAnsi="Times New Roman"/>
                <w:sz w:val="12"/>
                <w:szCs w:val="12"/>
                <w:b w:val="1"/>
                <w:bCs w:val="1"/>
                <w:color w:val="auto"/>
              </w:rPr>
              <w:t>Net loss attributable to common stockholders</w:t>
            </w:r>
          </w:p>
        </w:tc>
        <w:tc>
          <w:tcPr>
            <w:tcW w:w="22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jc w:val="right"/>
              <w:ind w:right="20"/>
              <w:spacing w:after="0" w:line="136" w:lineRule="exact"/>
              <w:rPr>
                <w:sz w:val="20"/>
                <w:szCs w:val="20"/>
                <w:color w:val="auto"/>
              </w:rPr>
            </w:pPr>
            <w:r>
              <w:rPr>
                <w:rFonts w:ascii="Times New Roman" w:cs="Times New Roman" w:eastAsia="Times New Roman" w:hAnsi="Times New Roman"/>
                <w:sz w:val="12"/>
                <w:szCs w:val="12"/>
                <w:color w:val="auto"/>
              </w:rPr>
              <w:t>(8,050)</w:t>
            </w: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jc w:val="right"/>
              <w:ind w:right="20"/>
              <w:spacing w:after="0" w:line="136" w:lineRule="exact"/>
              <w:rPr>
                <w:sz w:val="20"/>
                <w:szCs w:val="20"/>
                <w:color w:val="auto"/>
              </w:rPr>
            </w:pPr>
            <w:r>
              <w:rPr>
                <w:rFonts w:ascii="Times New Roman" w:cs="Times New Roman" w:eastAsia="Times New Roman" w:hAnsi="Times New Roman"/>
                <w:sz w:val="12"/>
                <w:szCs w:val="12"/>
                <w:color w:val="auto"/>
              </w:rPr>
              <w:t>(11,801)</w:t>
            </w:r>
          </w:p>
        </w:tc>
        <w:tc>
          <w:tcPr>
            <w:tcW w:w="0" w:type="dxa"/>
            <w:vAlign w:val="bottom"/>
          </w:tcPr>
          <w:p>
            <w:pPr>
              <w:spacing w:after="0"/>
              <w:rPr>
                <w:sz w:val="1"/>
                <w:szCs w:val="1"/>
                <w:color w:val="auto"/>
              </w:rPr>
            </w:pPr>
          </w:p>
        </w:tc>
      </w:tr>
      <w:tr>
        <w:trPr>
          <w:trHeight w:val="157"/>
        </w:trPr>
        <w:tc>
          <w:tcPr>
            <w:tcW w:w="46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Other comprehensive loss</w:t>
            </w:r>
          </w:p>
        </w:tc>
        <w:tc>
          <w:tcPr>
            <w:tcW w:w="2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6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Foreign currency translation adjustments</w:t>
            </w:r>
          </w:p>
        </w:tc>
        <w:tc>
          <w:tcPr>
            <w:tcW w:w="2240" w:type="dxa"/>
            <w:vAlign w:val="bottom"/>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80" w:type="dxa"/>
            <w:vAlign w:val="bottom"/>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0" w:type="dxa"/>
            <w:vAlign w:val="bottom"/>
          </w:tcPr>
          <w:p>
            <w:pPr>
              <w:spacing w:after="0"/>
              <w:rPr>
                <w:sz w:val="1"/>
                <w:szCs w:val="1"/>
                <w:color w:val="auto"/>
              </w:rPr>
            </w:pPr>
          </w:p>
        </w:tc>
      </w:tr>
      <w:tr>
        <w:trPr>
          <w:trHeight w:val="142"/>
        </w:trPr>
        <w:tc>
          <w:tcPr>
            <w:tcW w:w="46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Comprehensive loss</w:t>
            </w:r>
          </w:p>
        </w:tc>
        <w:tc>
          <w:tcPr>
            <w:tcW w:w="2240" w:type="dxa"/>
            <w:vAlign w:val="bottom"/>
          </w:tcPr>
          <w:p>
            <w:pPr>
              <w:spacing w:after="0"/>
              <w:rPr>
                <w:sz w:val="12"/>
                <w:szCs w:val="12"/>
                <w:color w:val="auto"/>
              </w:rPr>
            </w:pPr>
          </w:p>
        </w:tc>
        <w:tc>
          <w:tcPr>
            <w:tcW w:w="1060" w:type="dxa"/>
            <w:vAlign w:val="bottom"/>
            <w:tcBorders>
              <w:bottom w:val="single" w:sz="8" w:color="auto"/>
            </w:tcBorders>
          </w:tcPr>
          <w:p>
            <w:pPr>
              <w:jc w:val="right"/>
              <w:ind w:right="9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(8,063)</w:t>
            </w:r>
          </w:p>
        </w:tc>
        <w:tc>
          <w:tcPr>
            <w:tcW w:w="80" w:type="dxa"/>
            <w:vAlign w:val="bottom"/>
          </w:tcPr>
          <w:p>
            <w:pPr>
              <w:spacing w:after="0"/>
              <w:rPr>
                <w:sz w:val="12"/>
                <w:szCs w:val="12"/>
                <w:color w:val="auto"/>
              </w:rPr>
            </w:pPr>
          </w:p>
        </w:tc>
        <w:tc>
          <w:tcPr>
            <w:tcW w:w="1060" w:type="dxa"/>
            <w:vAlign w:val="bottom"/>
            <w:tcBorders>
              <w:bottom w:val="single" w:sz="8" w:color="auto"/>
            </w:tcBorders>
          </w:tcPr>
          <w:p>
            <w:pPr>
              <w:jc w:val="right"/>
              <w:ind w:right="9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(11,777)</w:t>
            </w: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Loss per common share:</w:t>
            </w:r>
          </w:p>
        </w:tc>
        <w:tc>
          <w:tcPr>
            <w:tcW w:w="22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4660" w:type="dxa"/>
            <w:vAlign w:val="bottom"/>
            <w:vMerge w:val="continue"/>
          </w:tcPr>
          <w:p>
            <w:pPr>
              <w:spacing w:after="0"/>
              <w:rPr>
                <w:sz w:val="24"/>
                <w:szCs w:val="24"/>
                <w:color w:val="auto"/>
              </w:rPr>
            </w:pPr>
          </w:p>
        </w:tc>
        <w:tc>
          <w:tcPr>
            <w:tcW w:w="2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46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Basic and diluted</w:t>
            </w:r>
          </w:p>
        </w:tc>
        <w:tc>
          <w:tcPr>
            <w:tcW w:w="3300" w:type="dxa"/>
            <w:vAlign w:val="bottom"/>
            <w:gridSpan w:val="2"/>
          </w:tcPr>
          <w:p>
            <w:pPr>
              <w:jc w:val="right"/>
              <w:ind w:right="92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(0.10)</w:t>
            </w:r>
          </w:p>
        </w:tc>
        <w:tc>
          <w:tcPr>
            <w:tcW w:w="80" w:type="dxa"/>
            <w:vAlign w:val="bottom"/>
          </w:tcPr>
          <w:p>
            <w:pPr>
              <w:spacing w:after="0"/>
              <w:rPr>
                <w:sz w:val="13"/>
                <w:szCs w:val="13"/>
                <w:color w:val="auto"/>
              </w:rPr>
            </w:pPr>
          </w:p>
        </w:tc>
        <w:tc>
          <w:tcPr>
            <w:tcW w:w="1060" w:type="dxa"/>
            <w:vAlign w:val="bottom"/>
          </w:tcPr>
          <w:p>
            <w:pPr>
              <w:jc w:val="right"/>
              <w:ind w:right="92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(0.15)</w:t>
            </w:r>
          </w:p>
        </w:tc>
        <w:tc>
          <w:tcPr>
            <w:tcW w:w="0" w:type="dxa"/>
            <w:vAlign w:val="bottom"/>
          </w:tcPr>
          <w:p>
            <w:pPr>
              <w:spacing w:after="0"/>
              <w:rPr>
                <w:sz w:val="1"/>
                <w:szCs w:val="1"/>
                <w:color w:val="auto"/>
              </w:rPr>
            </w:pPr>
          </w:p>
        </w:tc>
      </w:tr>
      <w:tr>
        <w:trPr>
          <w:trHeight w:val="331"/>
        </w:trPr>
        <w:tc>
          <w:tcPr>
            <w:tcW w:w="46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Weighted-average common shares outstanding:</w:t>
            </w:r>
          </w:p>
        </w:tc>
        <w:tc>
          <w:tcPr>
            <w:tcW w:w="2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46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Basic and diluted</w:t>
            </w:r>
          </w:p>
        </w:tc>
        <w:tc>
          <w:tcPr>
            <w:tcW w:w="2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78,021</w:t>
            </w: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78,133</w:t>
            </w:r>
          </w:p>
        </w:tc>
        <w:tc>
          <w:tcPr>
            <w:tcW w:w="0" w:type="dxa"/>
            <w:vAlign w:val="bottom"/>
          </w:tcPr>
          <w:p>
            <w:pPr>
              <w:spacing w:after="0"/>
              <w:rPr>
                <w:sz w:val="1"/>
                <w:szCs w:val="1"/>
                <w:color w:val="auto"/>
              </w:rPr>
            </w:pPr>
          </w:p>
        </w:tc>
      </w:tr>
      <w:tr>
        <w:trPr>
          <w:trHeight w:val="882"/>
        </w:trPr>
        <w:tc>
          <w:tcPr>
            <w:tcW w:w="4660" w:type="dxa"/>
            <w:vAlign w:val="bottom"/>
          </w:tcPr>
          <w:p>
            <w:pPr>
              <w:spacing w:after="0"/>
              <w:rPr>
                <w:sz w:val="24"/>
                <w:szCs w:val="24"/>
                <w:color w:val="auto"/>
              </w:rPr>
            </w:pPr>
          </w:p>
        </w:tc>
        <w:tc>
          <w:tcPr>
            <w:tcW w:w="2240" w:type="dxa"/>
            <w:vAlign w:val="bottom"/>
          </w:tcPr>
          <w:p>
            <w:pPr>
              <w:jc w:val="right"/>
              <w:ind w:right="1660"/>
              <w:spacing w:after="0"/>
              <w:rPr>
                <w:sz w:val="20"/>
                <w:szCs w:val="20"/>
                <w:color w:val="auto"/>
              </w:rPr>
            </w:pPr>
            <w:r>
              <w:rPr>
                <w:rFonts w:ascii="Times New Roman" w:cs="Times New Roman" w:eastAsia="Times New Roman" w:hAnsi="Times New Roman"/>
                <w:sz w:val="12"/>
                <w:szCs w:val="12"/>
                <w:color w:val="auto"/>
              </w:rPr>
              <w:t>6</w:t>
            </w: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300"/>
          </w:cols>
          <w:pgMar w:left="800" w:top="285" w:right="79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3"/>
          <w:szCs w:val="13"/>
          <w:b w:val="1"/>
          <w:bCs w:val="1"/>
          <w:color w:val="auto"/>
        </w:rPr>
        <w:t>Priority Technology Holdings,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Unaudited Consolidated Balance Sheets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18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2000" w:type="dxa"/>
            <w:vAlign w:val="bottom"/>
          </w:tcPr>
          <w:p>
            <w:pPr>
              <w:spacing w:after="0"/>
              <w:rPr>
                <w:sz w:val="13"/>
                <w:szCs w:val="13"/>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March 31, 2024</w:t>
            </w:r>
          </w:p>
        </w:tc>
        <w:tc>
          <w:tcPr>
            <w:tcW w:w="5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December 31, 2023</w:t>
            </w:r>
          </w:p>
        </w:tc>
        <w:tc>
          <w:tcPr>
            <w:tcW w:w="0" w:type="dxa"/>
            <w:vAlign w:val="bottom"/>
          </w:tcPr>
          <w:p>
            <w:pPr>
              <w:spacing w:after="0"/>
              <w:rPr>
                <w:sz w:val="1"/>
                <w:szCs w:val="1"/>
                <w:color w:val="auto"/>
              </w:rPr>
            </w:pPr>
          </w:p>
        </w:tc>
      </w:tr>
      <w:tr>
        <w:trPr>
          <w:trHeight w:val="131"/>
        </w:trPr>
        <w:tc>
          <w:tcPr>
            <w:tcW w:w="5180" w:type="dxa"/>
            <w:vAlign w:val="bottom"/>
            <w:vMerge w:val="continue"/>
          </w:tcPr>
          <w:p>
            <w:pPr>
              <w:spacing w:after="0"/>
              <w:rPr>
                <w:sz w:val="11"/>
                <w:szCs w:val="11"/>
                <w:color w:val="auto"/>
              </w:rPr>
            </w:pPr>
          </w:p>
        </w:tc>
        <w:tc>
          <w:tcPr>
            <w:tcW w:w="20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180" w:type="dxa"/>
            <w:vAlign w:val="bottom"/>
          </w:tcPr>
          <w:p>
            <w:pPr>
              <w:spacing w:after="0"/>
              <w:rPr>
                <w:sz w:val="20"/>
                <w:szCs w:val="20"/>
                <w:color w:val="auto"/>
              </w:rPr>
            </w:pPr>
            <w:r>
              <w:rPr>
                <w:rFonts w:ascii="Times New Roman" w:cs="Times New Roman" w:eastAsia="Times New Roman" w:hAnsi="Times New Roman"/>
                <w:sz w:val="12"/>
                <w:szCs w:val="12"/>
                <w:color w:val="auto"/>
              </w:rPr>
              <w:t>Current assets:</w:t>
            </w:r>
          </w:p>
        </w:tc>
        <w:tc>
          <w:tcPr>
            <w:tcW w:w="20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1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3460" w:type="dxa"/>
            <w:vAlign w:val="bottom"/>
            <w:gridSpan w:val="2"/>
          </w:tcPr>
          <w:p>
            <w:pPr>
              <w:jc w:val="right"/>
              <w:ind w:right="132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34,290</w:t>
            </w:r>
          </w:p>
        </w:tc>
        <w:tc>
          <w:tcPr>
            <w:tcW w:w="80" w:type="dxa"/>
            <w:vAlign w:val="bottom"/>
          </w:tcPr>
          <w:p>
            <w:pPr>
              <w:spacing w:after="0"/>
              <w:rPr>
                <w:sz w:val="13"/>
                <w:szCs w:val="13"/>
                <w:color w:val="auto"/>
              </w:rPr>
            </w:pP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39,604</w:t>
            </w:r>
          </w:p>
        </w:tc>
        <w:tc>
          <w:tcPr>
            <w:tcW w:w="0" w:type="dxa"/>
            <w:vAlign w:val="bottom"/>
          </w:tcPr>
          <w:p>
            <w:pPr>
              <w:spacing w:after="0"/>
              <w:rPr>
                <w:sz w:val="1"/>
                <w:szCs w:val="1"/>
                <w:color w:val="auto"/>
              </w:rPr>
            </w:pPr>
          </w:p>
        </w:tc>
      </w:tr>
      <w:tr>
        <w:trPr>
          <w:trHeight w:val="153"/>
        </w:trPr>
        <w:tc>
          <w:tcPr>
            <w:tcW w:w="51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Restricted cash</w:t>
            </w:r>
          </w:p>
        </w:tc>
        <w:tc>
          <w:tcPr>
            <w:tcW w:w="20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12,658</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11,923</w:t>
            </w:r>
          </w:p>
        </w:tc>
        <w:tc>
          <w:tcPr>
            <w:tcW w:w="0" w:type="dxa"/>
            <w:vAlign w:val="bottom"/>
          </w:tcPr>
          <w:p>
            <w:pPr>
              <w:spacing w:after="0"/>
              <w:rPr>
                <w:sz w:val="1"/>
                <w:szCs w:val="1"/>
                <w:color w:val="auto"/>
              </w:rPr>
            </w:pPr>
          </w:p>
        </w:tc>
      </w:tr>
      <w:tr>
        <w:trPr>
          <w:trHeight w:val="153"/>
        </w:trPr>
        <w:tc>
          <w:tcPr>
            <w:tcW w:w="51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Accounts receivable, net of allowances</w:t>
            </w:r>
          </w:p>
        </w:tc>
        <w:tc>
          <w:tcPr>
            <w:tcW w:w="20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67,137</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58,551</w:t>
            </w:r>
          </w:p>
        </w:tc>
        <w:tc>
          <w:tcPr>
            <w:tcW w:w="0" w:type="dxa"/>
            <w:vAlign w:val="bottom"/>
          </w:tcPr>
          <w:p>
            <w:pPr>
              <w:spacing w:after="0"/>
              <w:rPr>
                <w:sz w:val="1"/>
                <w:szCs w:val="1"/>
                <w:color w:val="auto"/>
              </w:rPr>
            </w:pPr>
          </w:p>
        </w:tc>
      </w:tr>
      <w:tr>
        <w:trPr>
          <w:trHeight w:val="153"/>
        </w:trPr>
        <w:tc>
          <w:tcPr>
            <w:tcW w:w="51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Prepaid expenses and other current assets</w:t>
            </w:r>
          </w:p>
        </w:tc>
        <w:tc>
          <w:tcPr>
            <w:tcW w:w="20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13,699</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13,273</w:t>
            </w:r>
          </w:p>
        </w:tc>
        <w:tc>
          <w:tcPr>
            <w:tcW w:w="0" w:type="dxa"/>
            <w:vAlign w:val="bottom"/>
          </w:tcPr>
          <w:p>
            <w:pPr>
              <w:spacing w:after="0"/>
              <w:rPr>
                <w:sz w:val="1"/>
                <w:szCs w:val="1"/>
                <w:color w:val="auto"/>
              </w:rPr>
            </w:pPr>
          </w:p>
        </w:tc>
      </w:tr>
      <w:tr>
        <w:trPr>
          <w:trHeight w:val="153"/>
        </w:trPr>
        <w:tc>
          <w:tcPr>
            <w:tcW w:w="51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Current portion of notes receivable, net of allowance</w:t>
            </w:r>
          </w:p>
        </w:tc>
        <w:tc>
          <w:tcPr>
            <w:tcW w:w="20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1,972</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1,468</w:t>
            </w:r>
          </w:p>
        </w:tc>
        <w:tc>
          <w:tcPr>
            <w:tcW w:w="0" w:type="dxa"/>
            <w:vAlign w:val="bottom"/>
          </w:tcPr>
          <w:p>
            <w:pPr>
              <w:spacing w:after="0"/>
              <w:rPr>
                <w:sz w:val="1"/>
                <w:szCs w:val="1"/>
                <w:color w:val="auto"/>
              </w:rPr>
            </w:pPr>
          </w:p>
        </w:tc>
      </w:tr>
      <w:tr>
        <w:trPr>
          <w:trHeight w:val="155"/>
        </w:trPr>
        <w:tc>
          <w:tcPr>
            <w:tcW w:w="51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Settlement assets and customer/subscriber account balances</w:t>
            </w:r>
          </w:p>
        </w:tc>
        <w:tc>
          <w:tcPr>
            <w:tcW w:w="2000" w:type="dxa"/>
            <w:vAlign w:val="bottom"/>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752,590</w:t>
            </w: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756,475</w:t>
            </w:r>
          </w:p>
        </w:tc>
        <w:tc>
          <w:tcPr>
            <w:tcW w:w="0" w:type="dxa"/>
            <w:vAlign w:val="bottom"/>
          </w:tcPr>
          <w:p>
            <w:pPr>
              <w:spacing w:after="0"/>
              <w:rPr>
                <w:sz w:val="1"/>
                <w:szCs w:val="1"/>
                <w:color w:val="auto"/>
              </w:rPr>
            </w:pPr>
          </w:p>
        </w:tc>
      </w:tr>
      <w:tr>
        <w:trPr>
          <w:trHeight w:val="140"/>
        </w:trPr>
        <w:tc>
          <w:tcPr>
            <w:tcW w:w="518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Total current assets</w:t>
            </w:r>
          </w:p>
        </w:tc>
        <w:tc>
          <w:tcPr>
            <w:tcW w:w="20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882,346</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881,294</w:t>
            </w:r>
          </w:p>
        </w:tc>
        <w:tc>
          <w:tcPr>
            <w:tcW w:w="0" w:type="dxa"/>
            <w:vAlign w:val="bottom"/>
          </w:tcPr>
          <w:p>
            <w:pPr>
              <w:spacing w:after="0"/>
              <w:rPr>
                <w:sz w:val="1"/>
                <w:szCs w:val="1"/>
                <w:color w:val="auto"/>
              </w:rPr>
            </w:pPr>
          </w:p>
        </w:tc>
      </w:tr>
      <w:tr>
        <w:trPr>
          <w:trHeight w:val="153"/>
        </w:trPr>
        <w:tc>
          <w:tcPr>
            <w:tcW w:w="5180" w:type="dxa"/>
            <w:vAlign w:val="bottom"/>
          </w:tcPr>
          <w:p>
            <w:pPr>
              <w:spacing w:after="0"/>
              <w:rPr>
                <w:sz w:val="20"/>
                <w:szCs w:val="20"/>
                <w:color w:val="auto"/>
              </w:rPr>
            </w:pPr>
            <w:r>
              <w:rPr>
                <w:rFonts w:ascii="Times New Roman" w:cs="Times New Roman" w:eastAsia="Times New Roman" w:hAnsi="Times New Roman"/>
                <w:sz w:val="12"/>
                <w:szCs w:val="12"/>
                <w:color w:val="auto"/>
              </w:rPr>
              <w:t>Notes receivable, less current portion</w:t>
            </w:r>
          </w:p>
        </w:tc>
        <w:tc>
          <w:tcPr>
            <w:tcW w:w="20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4,549</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3,728</w:t>
            </w:r>
          </w:p>
        </w:tc>
        <w:tc>
          <w:tcPr>
            <w:tcW w:w="0" w:type="dxa"/>
            <w:vAlign w:val="bottom"/>
          </w:tcPr>
          <w:p>
            <w:pPr>
              <w:spacing w:after="0"/>
              <w:rPr>
                <w:sz w:val="1"/>
                <w:szCs w:val="1"/>
                <w:color w:val="auto"/>
              </w:rPr>
            </w:pPr>
          </w:p>
        </w:tc>
      </w:tr>
      <w:tr>
        <w:trPr>
          <w:trHeight w:val="153"/>
        </w:trPr>
        <w:tc>
          <w:tcPr>
            <w:tcW w:w="5180" w:type="dxa"/>
            <w:vAlign w:val="bottom"/>
          </w:tcPr>
          <w:p>
            <w:pPr>
              <w:spacing w:after="0"/>
              <w:rPr>
                <w:sz w:val="20"/>
                <w:szCs w:val="20"/>
                <w:color w:val="auto"/>
              </w:rPr>
            </w:pPr>
            <w:r>
              <w:rPr>
                <w:rFonts w:ascii="Times New Roman" w:cs="Times New Roman" w:eastAsia="Times New Roman" w:hAnsi="Times New Roman"/>
                <w:sz w:val="12"/>
                <w:szCs w:val="12"/>
                <w:color w:val="auto"/>
              </w:rPr>
              <w:t>Property, equipment and software, net</w:t>
            </w:r>
          </w:p>
        </w:tc>
        <w:tc>
          <w:tcPr>
            <w:tcW w:w="20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48,120</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44,680</w:t>
            </w:r>
          </w:p>
        </w:tc>
        <w:tc>
          <w:tcPr>
            <w:tcW w:w="0" w:type="dxa"/>
            <w:vAlign w:val="bottom"/>
          </w:tcPr>
          <w:p>
            <w:pPr>
              <w:spacing w:after="0"/>
              <w:rPr>
                <w:sz w:val="1"/>
                <w:szCs w:val="1"/>
                <w:color w:val="auto"/>
              </w:rPr>
            </w:pPr>
          </w:p>
        </w:tc>
      </w:tr>
      <w:tr>
        <w:trPr>
          <w:trHeight w:val="153"/>
        </w:trPr>
        <w:tc>
          <w:tcPr>
            <w:tcW w:w="5180" w:type="dxa"/>
            <w:vAlign w:val="bottom"/>
          </w:tcPr>
          <w:p>
            <w:pPr>
              <w:spacing w:after="0"/>
              <w:rPr>
                <w:sz w:val="20"/>
                <w:szCs w:val="20"/>
                <w:color w:val="auto"/>
              </w:rPr>
            </w:pPr>
            <w:r>
              <w:rPr>
                <w:rFonts w:ascii="Times New Roman" w:cs="Times New Roman" w:eastAsia="Times New Roman" w:hAnsi="Times New Roman"/>
                <w:sz w:val="12"/>
                <w:szCs w:val="12"/>
                <w:color w:val="auto"/>
              </w:rPr>
              <w:t>Goodwill</w:t>
            </w:r>
          </w:p>
        </w:tc>
        <w:tc>
          <w:tcPr>
            <w:tcW w:w="20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376,112</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376,103</w:t>
            </w:r>
          </w:p>
        </w:tc>
        <w:tc>
          <w:tcPr>
            <w:tcW w:w="0" w:type="dxa"/>
            <w:vAlign w:val="bottom"/>
          </w:tcPr>
          <w:p>
            <w:pPr>
              <w:spacing w:after="0"/>
              <w:rPr>
                <w:sz w:val="1"/>
                <w:szCs w:val="1"/>
                <w:color w:val="auto"/>
              </w:rPr>
            </w:pPr>
          </w:p>
        </w:tc>
      </w:tr>
      <w:tr>
        <w:trPr>
          <w:trHeight w:val="153"/>
        </w:trPr>
        <w:tc>
          <w:tcPr>
            <w:tcW w:w="5180" w:type="dxa"/>
            <w:vAlign w:val="bottom"/>
          </w:tcPr>
          <w:p>
            <w:pPr>
              <w:spacing w:after="0"/>
              <w:rPr>
                <w:sz w:val="20"/>
                <w:szCs w:val="20"/>
                <w:color w:val="auto"/>
              </w:rPr>
            </w:pPr>
            <w:r>
              <w:rPr>
                <w:rFonts w:ascii="Times New Roman" w:cs="Times New Roman" w:eastAsia="Times New Roman" w:hAnsi="Times New Roman"/>
                <w:sz w:val="12"/>
                <w:szCs w:val="12"/>
                <w:color w:val="auto"/>
              </w:rPr>
              <w:t>Intangible assets, net</w:t>
            </w:r>
          </w:p>
        </w:tc>
        <w:tc>
          <w:tcPr>
            <w:tcW w:w="20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261,658</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273,350</w:t>
            </w:r>
          </w:p>
        </w:tc>
        <w:tc>
          <w:tcPr>
            <w:tcW w:w="0" w:type="dxa"/>
            <w:vAlign w:val="bottom"/>
          </w:tcPr>
          <w:p>
            <w:pPr>
              <w:spacing w:after="0"/>
              <w:rPr>
                <w:sz w:val="1"/>
                <w:szCs w:val="1"/>
                <w:color w:val="auto"/>
              </w:rPr>
            </w:pPr>
          </w:p>
        </w:tc>
      </w:tr>
      <w:tr>
        <w:trPr>
          <w:trHeight w:val="153"/>
        </w:trPr>
        <w:tc>
          <w:tcPr>
            <w:tcW w:w="5180" w:type="dxa"/>
            <w:vAlign w:val="bottom"/>
          </w:tcPr>
          <w:p>
            <w:pPr>
              <w:spacing w:after="0"/>
              <w:rPr>
                <w:sz w:val="20"/>
                <w:szCs w:val="20"/>
                <w:color w:val="auto"/>
              </w:rPr>
            </w:pPr>
            <w:r>
              <w:rPr>
                <w:rFonts w:ascii="Times New Roman" w:cs="Times New Roman" w:eastAsia="Times New Roman" w:hAnsi="Times New Roman"/>
                <w:sz w:val="12"/>
                <w:szCs w:val="12"/>
                <w:color w:val="auto"/>
              </w:rPr>
              <w:t>Deferred income taxes, net</w:t>
            </w:r>
          </w:p>
        </w:tc>
        <w:tc>
          <w:tcPr>
            <w:tcW w:w="20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24,405</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22,533</w:t>
            </w:r>
          </w:p>
        </w:tc>
        <w:tc>
          <w:tcPr>
            <w:tcW w:w="0" w:type="dxa"/>
            <w:vAlign w:val="bottom"/>
          </w:tcPr>
          <w:p>
            <w:pPr>
              <w:spacing w:after="0"/>
              <w:rPr>
                <w:sz w:val="1"/>
                <w:szCs w:val="1"/>
                <w:color w:val="auto"/>
              </w:rPr>
            </w:pPr>
          </w:p>
        </w:tc>
      </w:tr>
      <w:tr>
        <w:trPr>
          <w:trHeight w:val="155"/>
        </w:trPr>
        <w:tc>
          <w:tcPr>
            <w:tcW w:w="5180" w:type="dxa"/>
            <w:vAlign w:val="bottom"/>
          </w:tcPr>
          <w:p>
            <w:pPr>
              <w:spacing w:after="0"/>
              <w:rPr>
                <w:sz w:val="20"/>
                <w:szCs w:val="20"/>
                <w:color w:val="auto"/>
              </w:rPr>
            </w:pPr>
            <w:r>
              <w:rPr>
                <w:rFonts w:ascii="Times New Roman" w:cs="Times New Roman" w:eastAsia="Times New Roman" w:hAnsi="Times New Roman"/>
                <w:sz w:val="12"/>
                <w:szCs w:val="12"/>
                <w:color w:val="auto"/>
              </w:rPr>
              <w:t>Other noncurrent assets</w:t>
            </w:r>
          </w:p>
        </w:tc>
        <w:tc>
          <w:tcPr>
            <w:tcW w:w="2000" w:type="dxa"/>
            <w:vAlign w:val="bottom"/>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12,767</w:t>
            </w: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13,649</w:t>
            </w:r>
          </w:p>
        </w:tc>
        <w:tc>
          <w:tcPr>
            <w:tcW w:w="0" w:type="dxa"/>
            <w:vAlign w:val="bottom"/>
          </w:tcPr>
          <w:p>
            <w:pPr>
              <w:spacing w:after="0"/>
              <w:rPr>
                <w:sz w:val="1"/>
                <w:szCs w:val="1"/>
                <w:color w:val="auto"/>
              </w:rPr>
            </w:pPr>
          </w:p>
        </w:tc>
      </w:tr>
      <w:tr>
        <w:trPr>
          <w:trHeight w:val="142"/>
        </w:trPr>
        <w:tc>
          <w:tcPr>
            <w:tcW w:w="5180" w:type="dxa"/>
            <w:vAlign w:val="bottom"/>
          </w:tcPr>
          <w:p>
            <w:pPr>
              <w:ind w:left="440"/>
              <w:spacing w:after="0"/>
              <w:rPr>
                <w:sz w:val="20"/>
                <w:szCs w:val="20"/>
                <w:color w:val="auto"/>
              </w:rPr>
            </w:pPr>
            <w:r>
              <w:rPr>
                <w:rFonts w:ascii="Times New Roman" w:cs="Times New Roman" w:eastAsia="Times New Roman" w:hAnsi="Times New Roman"/>
                <w:sz w:val="12"/>
                <w:szCs w:val="12"/>
                <w:b w:val="1"/>
                <w:bCs w:val="1"/>
                <w:color w:val="auto"/>
              </w:rPr>
              <w:t>Total assets</w:t>
            </w:r>
          </w:p>
        </w:tc>
        <w:tc>
          <w:tcPr>
            <w:tcW w:w="2000" w:type="dxa"/>
            <w:vAlign w:val="bottom"/>
          </w:tcPr>
          <w:p>
            <w:pPr>
              <w:spacing w:after="0"/>
              <w:rPr>
                <w:sz w:val="12"/>
                <w:szCs w:val="12"/>
                <w:color w:val="auto"/>
              </w:rPr>
            </w:pPr>
          </w:p>
        </w:tc>
        <w:tc>
          <w:tcPr>
            <w:tcW w:w="1460" w:type="dxa"/>
            <w:vAlign w:val="bottom"/>
            <w:tcBorders>
              <w:bottom w:val="single" w:sz="8" w:color="auto"/>
            </w:tcBorders>
          </w:tcPr>
          <w:p>
            <w:pPr>
              <w:jc w:val="right"/>
              <w:ind w:right="13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1,609,957</w:t>
            </w:r>
          </w:p>
        </w:tc>
        <w:tc>
          <w:tcPr>
            <w:tcW w:w="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1,615,337</w:t>
            </w:r>
          </w:p>
        </w:tc>
        <w:tc>
          <w:tcPr>
            <w:tcW w:w="0" w:type="dxa"/>
            <w:vAlign w:val="bottom"/>
          </w:tcPr>
          <w:p>
            <w:pPr>
              <w:spacing w:after="0"/>
              <w:rPr>
                <w:sz w:val="1"/>
                <w:szCs w:val="1"/>
                <w:color w:val="auto"/>
              </w:rPr>
            </w:pPr>
          </w:p>
        </w:tc>
      </w:tr>
      <w:tr>
        <w:trPr>
          <w:trHeight w:val="20"/>
        </w:trPr>
        <w:tc>
          <w:tcPr>
            <w:tcW w:w="518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Liabilities, Redeemable Senior Preferred Stock, Redeemable NCI, and Stockholders' Deficit</w:t>
            </w:r>
          </w:p>
        </w:tc>
        <w:tc>
          <w:tcPr>
            <w:tcW w:w="20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5180" w:type="dxa"/>
            <w:vAlign w:val="bottom"/>
            <w:vMerge w:val="continue"/>
          </w:tcPr>
          <w:p>
            <w:pPr>
              <w:spacing w:after="0"/>
              <w:rPr>
                <w:sz w:val="9"/>
                <w:szCs w:val="9"/>
                <w:color w:val="auto"/>
              </w:rPr>
            </w:pPr>
          </w:p>
        </w:tc>
        <w:tc>
          <w:tcPr>
            <w:tcW w:w="20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5180" w:type="dxa"/>
            <w:vAlign w:val="bottom"/>
          </w:tcPr>
          <w:p>
            <w:pPr>
              <w:spacing w:after="0"/>
              <w:rPr>
                <w:sz w:val="20"/>
                <w:szCs w:val="20"/>
                <w:color w:val="auto"/>
              </w:rPr>
            </w:pPr>
            <w:r>
              <w:rPr>
                <w:rFonts w:ascii="Times New Roman" w:cs="Times New Roman" w:eastAsia="Times New Roman" w:hAnsi="Times New Roman"/>
                <w:sz w:val="12"/>
                <w:szCs w:val="12"/>
                <w:color w:val="auto"/>
              </w:rPr>
              <w:t>Current liabilities:</w:t>
            </w:r>
          </w:p>
        </w:tc>
        <w:tc>
          <w:tcPr>
            <w:tcW w:w="20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1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Accounts payable and accrued expenses</w:t>
            </w:r>
          </w:p>
        </w:tc>
        <w:tc>
          <w:tcPr>
            <w:tcW w:w="3460" w:type="dxa"/>
            <w:vAlign w:val="bottom"/>
            <w:gridSpan w:val="2"/>
          </w:tcPr>
          <w:p>
            <w:pPr>
              <w:jc w:val="right"/>
              <w:ind w:right="132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49,329</w:t>
            </w:r>
          </w:p>
        </w:tc>
        <w:tc>
          <w:tcPr>
            <w:tcW w:w="80" w:type="dxa"/>
            <w:vAlign w:val="bottom"/>
          </w:tcPr>
          <w:p>
            <w:pPr>
              <w:spacing w:after="0"/>
              <w:rPr>
                <w:sz w:val="13"/>
                <w:szCs w:val="13"/>
                <w:color w:val="auto"/>
              </w:rPr>
            </w:pP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52,643</w:t>
            </w:r>
          </w:p>
        </w:tc>
        <w:tc>
          <w:tcPr>
            <w:tcW w:w="0" w:type="dxa"/>
            <w:vAlign w:val="bottom"/>
          </w:tcPr>
          <w:p>
            <w:pPr>
              <w:spacing w:after="0"/>
              <w:rPr>
                <w:sz w:val="1"/>
                <w:szCs w:val="1"/>
                <w:color w:val="auto"/>
              </w:rPr>
            </w:pPr>
          </w:p>
        </w:tc>
      </w:tr>
      <w:tr>
        <w:trPr>
          <w:trHeight w:val="153"/>
        </w:trPr>
        <w:tc>
          <w:tcPr>
            <w:tcW w:w="51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Accrued residual commissions</w:t>
            </w:r>
          </w:p>
        </w:tc>
        <w:tc>
          <w:tcPr>
            <w:tcW w:w="20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35,965</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33,025</w:t>
            </w:r>
          </w:p>
        </w:tc>
        <w:tc>
          <w:tcPr>
            <w:tcW w:w="0" w:type="dxa"/>
            <w:vAlign w:val="bottom"/>
          </w:tcPr>
          <w:p>
            <w:pPr>
              <w:spacing w:after="0"/>
              <w:rPr>
                <w:sz w:val="1"/>
                <w:szCs w:val="1"/>
                <w:color w:val="auto"/>
              </w:rPr>
            </w:pPr>
          </w:p>
        </w:tc>
      </w:tr>
      <w:tr>
        <w:trPr>
          <w:trHeight w:val="153"/>
        </w:trPr>
        <w:tc>
          <w:tcPr>
            <w:tcW w:w="51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Customer deposits and advance payments</w:t>
            </w:r>
          </w:p>
        </w:tc>
        <w:tc>
          <w:tcPr>
            <w:tcW w:w="20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4,090</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3,934</w:t>
            </w:r>
          </w:p>
        </w:tc>
        <w:tc>
          <w:tcPr>
            <w:tcW w:w="0" w:type="dxa"/>
            <w:vAlign w:val="bottom"/>
          </w:tcPr>
          <w:p>
            <w:pPr>
              <w:spacing w:after="0"/>
              <w:rPr>
                <w:sz w:val="1"/>
                <w:szCs w:val="1"/>
                <w:color w:val="auto"/>
              </w:rPr>
            </w:pPr>
          </w:p>
        </w:tc>
      </w:tr>
      <w:tr>
        <w:trPr>
          <w:trHeight w:val="153"/>
        </w:trPr>
        <w:tc>
          <w:tcPr>
            <w:tcW w:w="51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Current portion of long-term debt</w:t>
            </w:r>
          </w:p>
        </w:tc>
        <w:tc>
          <w:tcPr>
            <w:tcW w:w="20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6,712</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6,712</w:t>
            </w:r>
          </w:p>
        </w:tc>
        <w:tc>
          <w:tcPr>
            <w:tcW w:w="0" w:type="dxa"/>
            <w:vAlign w:val="bottom"/>
          </w:tcPr>
          <w:p>
            <w:pPr>
              <w:spacing w:after="0"/>
              <w:rPr>
                <w:sz w:val="1"/>
                <w:szCs w:val="1"/>
                <w:color w:val="auto"/>
              </w:rPr>
            </w:pPr>
          </w:p>
        </w:tc>
      </w:tr>
      <w:tr>
        <w:trPr>
          <w:trHeight w:val="155"/>
        </w:trPr>
        <w:tc>
          <w:tcPr>
            <w:tcW w:w="51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Settlement and customer/subscriber account obligations</w:t>
            </w:r>
          </w:p>
        </w:tc>
        <w:tc>
          <w:tcPr>
            <w:tcW w:w="2000" w:type="dxa"/>
            <w:vAlign w:val="bottom"/>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753,850</w:t>
            </w: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755,754</w:t>
            </w:r>
          </w:p>
        </w:tc>
        <w:tc>
          <w:tcPr>
            <w:tcW w:w="0" w:type="dxa"/>
            <w:vAlign w:val="bottom"/>
          </w:tcPr>
          <w:p>
            <w:pPr>
              <w:spacing w:after="0"/>
              <w:rPr>
                <w:sz w:val="1"/>
                <w:szCs w:val="1"/>
                <w:color w:val="auto"/>
              </w:rPr>
            </w:pPr>
          </w:p>
        </w:tc>
      </w:tr>
      <w:tr>
        <w:trPr>
          <w:trHeight w:val="140"/>
        </w:trPr>
        <w:tc>
          <w:tcPr>
            <w:tcW w:w="518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Total current liabilities</w:t>
            </w:r>
          </w:p>
        </w:tc>
        <w:tc>
          <w:tcPr>
            <w:tcW w:w="20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849,946</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852,068</w:t>
            </w:r>
          </w:p>
        </w:tc>
        <w:tc>
          <w:tcPr>
            <w:tcW w:w="0" w:type="dxa"/>
            <w:vAlign w:val="bottom"/>
          </w:tcPr>
          <w:p>
            <w:pPr>
              <w:spacing w:after="0"/>
              <w:rPr>
                <w:sz w:val="1"/>
                <w:szCs w:val="1"/>
                <w:color w:val="auto"/>
              </w:rPr>
            </w:pPr>
          </w:p>
        </w:tc>
      </w:tr>
      <w:tr>
        <w:trPr>
          <w:trHeight w:val="153"/>
        </w:trPr>
        <w:tc>
          <w:tcPr>
            <w:tcW w:w="5180" w:type="dxa"/>
            <w:vAlign w:val="bottom"/>
          </w:tcPr>
          <w:p>
            <w:pPr>
              <w:spacing w:after="0"/>
              <w:rPr>
                <w:sz w:val="20"/>
                <w:szCs w:val="20"/>
                <w:color w:val="auto"/>
              </w:rPr>
            </w:pPr>
            <w:r>
              <w:rPr>
                <w:rFonts w:ascii="Times New Roman" w:cs="Times New Roman" w:eastAsia="Times New Roman" w:hAnsi="Times New Roman"/>
                <w:sz w:val="12"/>
                <w:szCs w:val="12"/>
                <w:color w:val="auto"/>
              </w:rPr>
              <w:t>Long-term debt, net of current portion, discounts and debt issuance costs</w:t>
            </w:r>
          </w:p>
        </w:tc>
        <w:tc>
          <w:tcPr>
            <w:tcW w:w="20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631,352</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631,965</w:t>
            </w:r>
          </w:p>
        </w:tc>
        <w:tc>
          <w:tcPr>
            <w:tcW w:w="0" w:type="dxa"/>
            <w:vAlign w:val="bottom"/>
          </w:tcPr>
          <w:p>
            <w:pPr>
              <w:spacing w:after="0"/>
              <w:rPr>
                <w:sz w:val="1"/>
                <w:szCs w:val="1"/>
                <w:color w:val="auto"/>
              </w:rPr>
            </w:pPr>
          </w:p>
        </w:tc>
      </w:tr>
      <w:tr>
        <w:trPr>
          <w:trHeight w:val="155"/>
        </w:trPr>
        <w:tc>
          <w:tcPr>
            <w:tcW w:w="5180" w:type="dxa"/>
            <w:vAlign w:val="bottom"/>
          </w:tcPr>
          <w:p>
            <w:pPr>
              <w:spacing w:after="0"/>
              <w:rPr>
                <w:sz w:val="20"/>
                <w:szCs w:val="20"/>
                <w:color w:val="auto"/>
              </w:rPr>
            </w:pPr>
            <w:r>
              <w:rPr>
                <w:rFonts w:ascii="Times New Roman" w:cs="Times New Roman" w:eastAsia="Times New Roman" w:hAnsi="Times New Roman"/>
                <w:sz w:val="12"/>
                <w:szCs w:val="12"/>
                <w:color w:val="auto"/>
              </w:rPr>
              <w:t>Other noncurrent liabilities</w:t>
            </w:r>
          </w:p>
        </w:tc>
        <w:tc>
          <w:tcPr>
            <w:tcW w:w="2000" w:type="dxa"/>
            <w:vAlign w:val="bottom"/>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16,704</w:t>
            </w: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18,763</w:t>
            </w:r>
          </w:p>
        </w:tc>
        <w:tc>
          <w:tcPr>
            <w:tcW w:w="0" w:type="dxa"/>
            <w:vAlign w:val="bottom"/>
          </w:tcPr>
          <w:p>
            <w:pPr>
              <w:spacing w:after="0"/>
              <w:rPr>
                <w:sz w:val="1"/>
                <w:szCs w:val="1"/>
                <w:color w:val="auto"/>
              </w:rPr>
            </w:pPr>
          </w:p>
        </w:tc>
      </w:tr>
      <w:tr>
        <w:trPr>
          <w:trHeight w:val="142"/>
        </w:trPr>
        <w:tc>
          <w:tcPr>
            <w:tcW w:w="5180" w:type="dxa"/>
            <w:vAlign w:val="bottom"/>
          </w:tcPr>
          <w:p>
            <w:pPr>
              <w:ind w:left="440"/>
              <w:spacing w:after="0"/>
              <w:rPr>
                <w:sz w:val="20"/>
                <w:szCs w:val="20"/>
                <w:color w:val="auto"/>
              </w:rPr>
            </w:pPr>
            <w:r>
              <w:rPr>
                <w:rFonts w:ascii="Times New Roman" w:cs="Times New Roman" w:eastAsia="Times New Roman" w:hAnsi="Times New Roman"/>
                <w:sz w:val="12"/>
                <w:szCs w:val="12"/>
                <w:b w:val="1"/>
                <w:bCs w:val="1"/>
                <w:color w:val="auto"/>
              </w:rPr>
              <w:t>Total liabilities</w:t>
            </w:r>
          </w:p>
        </w:tc>
        <w:tc>
          <w:tcPr>
            <w:tcW w:w="2000" w:type="dxa"/>
            <w:vAlign w:val="bottom"/>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1,498,002</w:t>
            </w:r>
          </w:p>
        </w:tc>
        <w:tc>
          <w:tcPr>
            <w:tcW w:w="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1,502,796</w:t>
            </w:r>
          </w:p>
        </w:tc>
        <w:tc>
          <w:tcPr>
            <w:tcW w:w="0" w:type="dxa"/>
            <w:vAlign w:val="bottom"/>
          </w:tcPr>
          <w:p>
            <w:pPr>
              <w:spacing w:after="0"/>
              <w:rPr>
                <w:sz w:val="1"/>
                <w:szCs w:val="1"/>
                <w:color w:val="auto"/>
              </w:rPr>
            </w:pPr>
          </w:p>
        </w:tc>
      </w:tr>
      <w:tr>
        <w:trPr>
          <w:trHeight w:val="140"/>
        </w:trPr>
        <w:tc>
          <w:tcPr>
            <w:tcW w:w="51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Redeemable senior preferred stock, net of discounts and issuance costs</w:t>
            </w:r>
          </w:p>
        </w:tc>
        <w:tc>
          <w:tcPr>
            <w:tcW w:w="20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264,240</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258,605</w:t>
            </w:r>
          </w:p>
        </w:tc>
        <w:tc>
          <w:tcPr>
            <w:tcW w:w="0" w:type="dxa"/>
            <w:vAlign w:val="bottom"/>
          </w:tcPr>
          <w:p>
            <w:pPr>
              <w:spacing w:after="0"/>
              <w:rPr>
                <w:sz w:val="1"/>
                <w:szCs w:val="1"/>
                <w:color w:val="auto"/>
              </w:rPr>
            </w:pPr>
          </w:p>
        </w:tc>
      </w:tr>
      <w:tr>
        <w:trPr>
          <w:trHeight w:val="153"/>
        </w:trPr>
        <w:tc>
          <w:tcPr>
            <w:tcW w:w="5180" w:type="dxa"/>
            <w:vAlign w:val="bottom"/>
          </w:tcPr>
          <w:p>
            <w:pPr>
              <w:spacing w:after="0"/>
              <w:rPr>
                <w:sz w:val="20"/>
                <w:szCs w:val="20"/>
                <w:color w:val="auto"/>
              </w:rPr>
            </w:pPr>
            <w:r>
              <w:rPr>
                <w:rFonts w:ascii="Times New Roman" w:cs="Times New Roman" w:eastAsia="Times New Roman" w:hAnsi="Times New Roman"/>
                <w:sz w:val="12"/>
                <w:szCs w:val="12"/>
                <w:color w:val="auto"/>
              </w:rPr>
              <w:t>Redeemable non-controlling interests in consolidated subsidiary</w:t>
            </w:r>
          </w:p>
        </w:tc>
        <w:tc>
          <w:tcPr>
            <w:tcW w:w="20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5,837</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5180" w:type="dxa"/>
            <w:vAlign w:val="bottom"/>
          </w:tcPr>
          <w:p>
            <w:pPr>
              <w:spacing w:after="0"/>
              <w:rPr>
                <w:sz w:val="20"/>
                <w:szCs w:val="20"/>
                <w:color w:val="auto"/>
              </w:rPr>
            </w:pPr>
            <w:r>
              <w:rPr>
                <w:rFonts w:ascii="Times New Roman" w:cs="Times New Roman" w:eastAsia="Times New Roman" w:hAnsi="Times New Roman"/>
                <w:sz w:val="12"/>
                <w:szCs w:val="12"/>
                <w:color w:val="auto"/>
              </w:rPr>
              <w:t>Stockholders' deficit:</w:t>
            </w:r>
          </w:p>
        </w:tc>
        <w:tc>
          <w:tcPr>
            <w:tcW w:w="20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1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Preferred stock</w:t>
            </w:r>
          </w:p>
        </w:tc>
        <w:tc>
          <w:tcPr>
            <w:tcW w:w="20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51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Common stock</w:t>
            </w:r>
          </w:p>
        </w:tc>
        <w:tc>
          <w:tcPr>
            <w:tcW w:w="20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w:t>
            </w:r>
          </w:p>
        </w:tc>
        <w:tc>
          <w:tcPr>
            <w:tcW w:w="0" w:type="dxa"/>
            <w:vAlign w:val="bottom"/>
          </w:tcPr>
          <w:p>
            <w:pPr>
              <w:spacing w:after="0"/>
              <w:rPr>
                <w:sz w:val="1"/>
                <w:szCs w:val="1"/>
                <w:color w:val="auto"/>
              </w:rPr>
            </w:pPr>
          </w:p>
        </w:tc>
      </w:tr>
      <w:tr>
        <w:trPr>
          <w:trHeight w:val="153"/>
        </w:trPr>
        <w:tc>
          <w:tcPr>
            <w:tcW w:w="51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Treasury stock, at cost</w:t>
            </w:r>
          </w:p>
        </w:tc>
        <w:tc>
          <w:tcPr>
            <w:tcW w:w="20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(18,491)</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(12,815)</w:t>
            </w:r>
          </w:p>
        </w:tc>
        <w:tc>
          <w:tcPr>
            <w:tcW w:w="0" w:type="dxa"/>
            <w:vAlign w:val="bottom"/>
          </w:tcPr>
          <w:p>
            <w:pPr>
              <w:spacing w:after="0"/>
              <w:rPr>
                <w:sz w:val="1"/>
                <w:szCs w:val="1"/>
                <w:color w:val="auto"/>
              </w:rPr>
            </w:pPr>
          </w:p>
        </w:tc>
      </w:tr>
      <w:tr>
        <w:trPr>
          <w:trHeight w:val="153"/>
        </w:trPr>
        <w:tc>
          <w:tcPr>
            <w:tcW w:w="51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Additional paid-in capital</w:t>
            </w:r>
          </w:p>
        </w:tc>
        <w:tc>
          <w:tcPr>
            <w:tcW w:w="20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51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Accumulated other comprehensive loss</w:t>
            </w:r>
          </w:p>
        </w:tc>
        <w:tc>
          <w:tcPr>
            <w:tcW w:w="20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0" w:type="dxa"/>
            <w:vAlign w:val="bottom"/>
          </w:tcPr>
          <w:p>
            <w:pPr>
              <w:spacing w:after="0"/>
              <w:rPr>
                <w:sz w:val="1"/>
                <w:szCs w:val="1"/>
                <w:color w:val="auto"/>
              </w:rPr>
            </w:pPr>
          </w:p>
        </w:tc>
      </w:tr>
      <w:tr>
        <w:trPr>
          <w:trHeight w:val="155"/>
        </w:trPr>
        <w:tc>
          <w:tcPr>
            <w:tcW w:w="51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Accumulated deficit</w:t>
            </w:r>
          </w:p>
        </w:tc>
        <w:tc>
          <w:tcPr>
            <w:tcW w:w="2000" w:type="dxa"/>
            <w:vAlign w:val="bottom"/>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(141,412)</w:t>
            </w: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(134,951)</w:t>
            </w:r>
          </w:p>
        </w:tc>
        <w:tc>
          <w:tcPr>
            <w:tcW w:w="0" w:type="dxa"/>
            <w:vAlign w:val="bottom"/>
          </w:tcPr>
          <w:p>
            <w:pPr>
              <w:spacing w:after="0"/>
              <w:rPr>
                <w:sz w:val="1"/>
                <w:szCs w:val="1"/>
                <w:color w:val="auto"/>
              </w:rPr>
            </w:pPr>
          </w:p>
        </w:tc>
      </w:tr>
      <w:tr>
        <w:trPr>
          <w:trHeight w:val="140"/>
        </w:trPr>
        <w:tc>
          <w:tcPr>
            <w:tcW w:w="5180" w:type="dxa"/>
            <w:vAlign w:val="bottom"/>
          </w:tcPr>
          <w:p>
            <w:pPr>
              <w:ind w:left="360"/>
              <w:spacing w:after="0"/>
              <w:rPr>
                <w:sz w:val="20"/>
                <w:szCs w:val="20"/>
                <w:color w:val="auto"/>
              </w:rPr>
            </w:pPr>
            <w:r>
              <w:rPr>
                <w:rFonts w:ascii="Times New Roman" w:cs="Times New Roman" w:eastAsia="Times New Roman" w:hAnsi="Times New Roman"/>
                <w:sz w:val="12"/>
                <w:szCs w:val="12"/>
                <w:b w:val="1"/>
                <w:bCs w:val="1"/>
                <w:color w:val="auto"/>
              </w:rPr>
              <w:t>Total stockholders' deficit attributable to stockholders of PRTH</w:t>
            </w:r>
          </w:p>
        </w:tc>
        <w:tc>
          <w:tcPr>
            <w:tcW w:w="20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(159,869)</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(147,718)</w:t>
            </w:r>
          </w:p>
        </w:tc>
        <w:tc>
          <w:tcPr>
            <w:tcW w:w="0" w:type="dxa"/>
            <w:vAlign w:val="bottom"/>
          </w:tcPr>
          <w:p>
            <w:pPr>
              <w:spacing w:after="0"/>
              <w:rPr>
                <w:sz w:val="1"/>
                <w:szCs w:val="1"/>
                <w:color w:val="auto"/>
              </w:rPr>
            </w:pPr>
          </w:p>
        </w:tc>
      </w:tr>
      <w:tr>
        <w:trPr>
          <w:trHeight w:val="155"/>
        </w:trPr>
        <w:tc>
          <w:tcPr>
            <w:tcW w:w="51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Non-controlling interest</w:t>
            </w:r>
          </w:p>
        </w:tc>
        <w:tc>
          <w:tcPr>
            <w:tcW w:w="2000" w:type="dxa"/>
            <w:vAlign w:val="bottom"/>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1,747</w:t>
            </w: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1,654</w:t>
            </w:r>
          </w:p>
        </w:tc>
        <w:tc>
          <w:tcPr>
            <w:tcW w:w="0" w:type="dxa"/>
            <w:vAlign w:val="bottom"/>
          </w:tcPr>
          <w:p>
            <w:pPr>
              <w:spacing w:after="0"/>
              <w:rPr>
                <w:sz w:val="1"/>
                <w:szCs w:val="1"/>
                <w:color w:val="auto"/>
              </w:rPr>
            </w:pPr>
          </w:p>
        </w:tc>
      </w:tr>
      <w:tr>
        <w:trPr>
          <w:trHeight w:val="142"/>
        </w:trPr>
        <w:tc>
          <w:tcPr>
            <w:tcW w:w="51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Total stockholders' deficit</w:t>
            </w:r>
          </w:p>
        </w:tc>
        <w:tc>
          <w:tcPr>
            <w:tcW w:w="2000" w:type="dxa"/>
            <w:vAlign w:val="bottom"/>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(158,122)</w:t>
            </w:r>
          </w:p>
        </w:tc>
        <w:tc>
          <w:tcPr>
            <w:tcW w:w="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(146,064)</w:t>
            </w:r>
          </w:p>
        </w:tc>
        <w:tc>
          <w:tcPr>
            <w:tcW w:w="0" w:type="dxa"/>
            <w:vAlign w:val="bottom"/>
          </w:tcPr>
          <w:p>
            <w:pPr>
              <w:spacing w:after="0"/>
              <w:rPr>
                <w:sz w:val="1"/>
                <w:szCs w:val="1"/>
                <w:color w:val="auto"/>
              </w:rPr>
            </w:pPr>
          </w:p>
        </w:tc>
      </w:tr>
      <w:tr>
        <w:trPr>
          <w:trHeight w:val="142"/>
        </w:trPr>
        <w:tc>
          <w:tcPr>
            <w:tcW w:w="51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Total liabilities, redeemable senior preferred stock, redeemable NCI and stockholders' deficit</w:t>
            </w:r>
          </w:p>
        </w:tc>
        <w:tc>
          <w:tcPr>
            <w:tcW w:w="2000" w:type="dxa"/>
            <w:vAlign w:val="bottom"/>
          </w:tcPr>
          <w:p>
            <w:pPr>
              <w:spacing w:after="0"/>
              <w:rPr>
                <w:sz w:val="12"/>
                <w:szCs w:val="12"/>
                <w:color w:val="auto"/>
              </w:rPr>
            </w:pPr>
          </w:p>
        </w:tc>
        <w:tc>
          <w:tcPr>
            <w:tcW w:w="1460" w:type="dxa"/>
            <w:vAlign w:val="bottom"/>
            <w:tcBorders>
              <w:bottom w:val="single" w:sz="8" w:color="auto"/>
            </w:tcBorders>
          </w:tcPr>
          <w:p>
            <w:pPr>
              <w:jc w:val="right"/>
              <w:ind w:right="13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1,609,957</w:t>
            </w:r>
          </w:p>
        </w:tc>
        <w:tc>
          <w:tcPr>
            <w:tcW w:w="80" w:type="dxa"/>
            <w:vAlign w:val="bottom"/>
          </w:tcPr>
          <w:p>
            <w:pPr>
              <w:spacing w:after="0"/>
              <w:rPr>
                <w:sz w:val="12"/>
                <w:szCs w:val="12"/>
                <w:color w:val="auto"/>
              </w:rPr>
            </w:pPr>
          </w:p>
        </w:tc>
        <w:tc>
          <w:tcPr>
            <w:tcW w:w="3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1,615,337</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000" w:type="dxa"/>
            <w:vAlign w:val="bottom"/>
            <w:vMerge w:val="restart"/>
          </w:tcPr>
          <w:p>
            <w:pPr>
              <w:jc w:val="right"/>
              <w:ind w:right="1440"/>
              <w:spacing w:after="0"/>
              <w:rPr>
                <w:sz w:val="20"/>
                <w:szCs w:val="20"/>
                <w:color w:val="auto"/>
              </w:rPr>
            </w:pPr>
            <w:r>
              <w:rPr>
                <w:rFonts w:ascii="Times New Roman" w:cs="Times New Roman" w:eastAsia="Times New Roman" w:hAnsi="Times New Roman"/>
                <w:sz w:val="12"/>
                <w:szCs w:val="12"/>
                <w:color w:val="auto"/>
              </w:rPr>
              <w:t>7</w:t>
            </w:r>
          </w:p>
        </w:tc>
        <w:tc>
          <w:tcPr>
            <w:tcW w:w="14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5180" w:type="dxa"/>
            <w:vAlign w:val="bottom"/>
          </w:tcPr>
          <w:p>
            <w:pPr>
              <w:spacing w:after="0"/>
              <w:rPr>
                <w:sz w:val="24"/>
                <w:szCs w:val="24"/>
                <w:color w:val="auto"/>
              </w:rPr>
            </w:pPr>
          </w:p>
        </w:tc>
        <w:tc>
          <w:tcPr>
            <w:tcW w:w="2000" w:type="dxa"/>
            <w:vAlign w:val="bottom"/>
            <w:vMerge w:val="continue"/>
          </w:tcPr>
          <w:p>
            <w:pPr>
              <w:spacing w:after="0"/>
              <w:rPr>
                <w:sz w:val="24"/>
                <w:szCs w:val="24"/>
                <w:color w:val="auto"/>
              </w:rPr>
            </w:pPr>
          </w:p>
        </w:tc>
        <w:tc>
          <w:tcPr>
            <w:tcW w:w="1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285" w:right="31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3"/>
          <w:szCs w:val="13"/>
          <w:b w:val="1"/>
          <w:bCs w:val="1"/>
          <w:color w:val="auto"/>
        </w:rPr>
        <w:t>Priority Technology Holdings, Inc</w:t>
      </w:r>
      <w:r>
        <w:rPr>
          <w:rFonts w:ascii="Times New Roman" w:cs="Times New Roman" w:eastAsia="Times New Roman" w:hAnsi="Times New Roman"/>
          <w:sz w:val="13"/>
          <w:szCs w:val="13"/>
          <w:color w:val="auto"/>
        </w:rPr>
        <w:t>.</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Unaudited Consolidated Statements of Cash Flows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20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270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tc>
        <w:tc>
          <w:tcPr>
            <w:tcW w:w="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20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Cash flows from operating activities:</w:t>
            </w:r>
          </w:p>
        </w:tc>
        <w:tc>
          <w:tcPr>
            <w:tcW w:w="2840" w:type="dxa"/>
            <w:vAlign w:val="bottom"/>
          </w:tcPr>
          <w:p>
            <w:pPr>
              <w:spacing w:after="0"/>
              <w:rPr>
                <w:sz w:val="12"/>
                <w:szCs w:val="12"/>
                <w:color w:val="auto"/>
              </w:rPr>
            </w:pPr>
          </w:p>
        </w:tc>
        <w:tc>
          <w:tcPr>
            <w:tcW w:w="10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2024</w:t>
            </w:r>
          </w:p>
        </w:tc>
        <w:tc>
          <w:tcPr>
            <w:tcW w:w="56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2023</w:t>
            </w:r>
          </w:p>
        </w:tc>
        <w:tc>
          <w:tcPr>
            <w:tcW w:w="5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5200" w:type="dxa"/>
            <w:vAlign w:val="bottom"/>
            <w:vMerge w:val="continue"/>
          </w:tcPr>
          <w:p>
            <w:pPr>
              <w:spacing w:after="0"/>
              <w:rPr>
                <w:sz w:val="11"/>
                <w:szCs w:val="11"/>
                <w:color w:val="auto"/>
              </w:rPr>
            </w:pPr>
          </w:p>
        </w:tc>
        <w:tc>
          <w:tcPr>
            <w:tcW w:w="28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2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Net income (loss)</w:t>
            </w:r>
          </w:p>
        </w:tc>
        <w:tc>
          <w:tcPr>
            <w:tcW w:w="3880" w:type="dxa"/>
            <w:vAlign w:val="bottom"/>
            <w:gridSpan w:val="2"/>
          </w:tcPr>
          <w:p>
            <w:pPr>
              <w:jc w:val="right"/>
              <w:ind w:right="90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5,193</w:t>
            </w:r>
          </w:p>
        </w:tc>
        <w:tc>
          <w:tcPr>
            <w:tcW w:w="60" w:type="dxa"/>
            <w:vAlign w:val="bottom"/>
          </w:tcPr>
          <w:p>
            <w:pPr>
              <w:spacing w:after="0"/>
              <w:rPr>
                <w:sz w:val="13"/>
                <w:szCs w:val="13"/>
                <w:color w:val="auto"/>
              </w:rPr>
            </w:pPr>
          </w:p>
        </w:tc>
        <w:tc>
          <w:tcPr>
            <w:tcW w:w="1040" w:type="dxa"/>
            <w:vAlign w:val="bottom"/>
          </w:tcPr>
          <w:p>
            <w:pPr>
              <w:jc w:val="right"/>
              <w:ind w:right="900"/>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(506)</w:t>
            </w:r>
          </w:p>
        </w:tc>
        <w:tc>
          <w:tcPr>
            <w:tcW w:w="0" w:type="dxa"/>
            <w:vAlign w:val="bottom"/>
          </w:tcPr>
          <w:p>
            <w:pPr>
              <w:spacing w:after="0"/>
              <w:rPr>
                <w:sz w:val="1"/>
                <w:szCs w:val="1"/>
                <w:color w:val="auto"/>
              </w:rPr>
            </w:pPr>
          </w:p>
        </w:tc>
      </w:tr>
      <w:tr>
        <w:trPr>
          <w:trHeight w:val="153"/>
        </w:trPr>
        <w:tc>
          <w:tcPr>
            <w:tcW w:w="52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Adjustments to reconcile net loss to net cash provided by operating activities:</w:t>
            </w:r>
          </w:p>
        </w:tc>
        <w:tc>
          <w:tcPr>
            <w:tcW w:w="28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2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Depreciation and amortization of assets</w:t>
            </w:r>
          </w:p>
        </w:tc>
        <w:tc>
          <w:tcPr>
            <w:tcW w:w="28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15,253</w:t>
            </w:r>
          </w:p>
        </w:tc>
        <w:tc>
          <w:tcPr>
            <w:tcW w:w="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18,048</w:t>
            </w:r>
          </w:p>
        </w:tc>
        <w:tc>
          <w:tcPr>
            <w:tcW w:w="0" w:type="dxa"/>
            <w:vAlign w:val="bottom"/>
          </w:tcPr>
          <w:p>
            <w:pPr>
              <w:spacing w:after="0"/>
              <w:rPr>
                <w:sz w:val="1"/>
                <w:szCs w:val="1"/>
                <w:color w:val="auto"/>
              </w:rPr>
            </w:pPr>
          </w:p>
        </w:tc>
      </w:tr>
      <w:tr>
        <w:trPr>
          <w:trHeight w:val="153"/>
        </w:trPr>
        <w:tc>
          <w:tcPr>
            <w:tcW w:w="52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Stock-based, ESPP and incentive units compensation</w:t>
            </w:r>
          </w:p>
        </w:tc>
        <w:tc>
          <w:tcPr>
            <w:tcW w:w="28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1,633</w:t>
            </w:r>
          </w:p>
        </w:tc>
        <w:tc>
          <w:tcPr>
            <w:tcW w:w="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1,936</w:t>
            </w:r>
          </w:p>
        </w:tc>
        <w:tc>
          <w:tcPr>
            <w:tcW w:w="0" w:type="dxa"/>
            <w:vAlign w:val="bottom"/>
          </w:tcPr>
          <w:p>
            <w:pPr>
              <w:spacing w:after="0"/>
              <w:rPr>
                <w:sz w:val="1"/>
                <w:szCs w:val="1"/>
                <w:color w:val="auto"/>
              </w:rPr>
            </w:pPr>
          </w:p>
        </w:tc>
      </w:tr>
      <w:tr>
        <w:trPr>
          <w:trHeight w:val="153"/>
        </w:trPr>
        <w:tc>
          <w:tcPr>
            <w:tcW w:w="52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Amortization of debt issuance costs and discounts</w:t>
            </w:r>
          </w:p>
        </w:tc>
        <w:tc>
          <w:tcPr>
            <w:tcW w:w="28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1,065</w:t>
            </w:r>
          </w:p>
        </w:tc>
        <w:tc>
          <w:tcPr>
            <w:tcW w:w="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903</w:t>
            </w:r>
          </w:p>
        </w:tc>
        <w:tc>
          <w:tcPr>
            <w:tcW w:w="0" w:type="dxa"/>
            <w:vAlign w:val="bottom"/>
          </w:tcPr>
          <w:p>
            <w:pPr>
              <w:spacing w:after="0"/>
              <w:rPr>
                <w:sz w:val="1"/>
                <w:szCs w:val="1"/>
                <w:color w:val="auto"/>
              </w:rPr>
            </w:pPr>
          </w:p>
        </w:tc>
      </w:tr>
      <w:tr>
        <w:trPr>
          <w:trHeight w:val="153"/>
        </w:trPr>
        <w:tc>
          <w:tcPr>
            <w:tcW w:w="52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Deferred income tax</w:t>
            </w:r>
          </w:p>
        </w:tc>
        <w:tc>
          <w:tcPr>
            <w:tcW w:w="28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(1,872)</w:t>
            </w:r>
          </w:p>
        </w:tc>
        <w:tc>
          <w:tcPr>
            <w:tcW w:w="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(5,716)</w:t>
            </w:r>
          </w:p>
        </w:tc>
        <w:tc>
          <w:tcPr>
            <w:tcW w:w="0" w:type="dxa"/>
            <w:vAlign w:val="bottom"/>
          </w:tcPr>
          <w:p>
            <w:pPr>
              <w:spacing w:after="0"/>
              <w:rPr>
                <w:sz w:val="1"/>
                <w:szCs w:val="1"/>
                <w:color w:val="auto"/>
              </w:rPr>
            </w:pPr>
          </w:p>
        </w:tc>
      </w:tr>
      <w:tr>
        <w:trPr>
          <w:trHeight w:val="153"/>
        </w:trPr>
        <w:tc>
          <w:tcPr>
            <w:tcW w:w="52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Change in contingent consideration</w:t>
            </w:r>
          </w:p>
        </w:tc>
        <w:tc>
          <w:tcPr>
            <w:tcW w:w="28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972</w:t>
            </w:r>
          </w:p>
        </w:tc>
        <w:tc>
          <w:tcPr>
            <w:tcW w:w="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229</w:t>
            </w:r>
          </w:p>
        </w:tc>
        <w:tc>
          <w:tcPr>
            <w:tcW w:w="0" w:type="dxa"/>
            <w:vAlign w:val="bottom"/>
          </w:tcPr>
          <w:p>
            <w:pPr>
              <w:spacing w:after="0"/>
              <w:rPr>
                <w:sz w:val="1"/>
                <w:szCs w:val="1"/>
                <w:color w:val="auto"/>
              </w:rPr>
            </w:pPr>
          </w:p>
        </w:tc>
      </w:tr>
      <w:tr>
        <w:trPr>
          <w:trHeight w:val="153"/>
        </w:trPr>
        <w:tc>
          <w:tcPr>
            <w:tcW w:w="52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Other non-cash items, net</w:t>
            </w:r>
          </w:p>
        </w:tc>
        <w:tc>
          <w:tcPr>
            <w:tcW w:w="28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(259)</w:t>
            </w:r>
          </w:p>
        </w:tc>
        <w:tc>
          <w:tcPr>
            <w:tcW w:w="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0" w:type="dxa"/>
            <w:vAlign w:val="bottom"/>
          </w:tcPr>
          <w:p>
            <w:pPr>
              <w:spacing w:after="0"/>
              <w:rPr>
                <w:sz w:val="1"/>
                <w:szCs w:val="1"/>
                <w:color w:val="auto"/>
              </w:rPr>
            </w:pPr>
          </w:p>
        </w:tc>
      </w:tr>
      <w:tr>
        <w:trPr>
          <w:trHeight w:val="153"/>
        </w:trPr>
        <w:tc>
          <w:tcPr>
            <w:tcW w:w="52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Change in operating assets and liabilities:</w:t>
            </w:r>
          </w:p>
        </w:tc>
        <w:tc>
          <w:tcPr>
            <w:tcW w:w="28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2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Accounts receivable</w:t>
            </w:r>
          </w:p>
        </w:tc>
        <w:tc>
          <w:tcPr>
            <w:tcW w:w="28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(8,339)</w:t>
            </w:r>
          </w:p>
        </w:tc>
        <w:tc>
          <w:tcPr>
            <w:tcW w:w="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w:t>
            </w:r>
          </w:p>
        </w:tc>
        <w:tc>
          <w:tcPr>
            <w:tcW w:w="0" w:type="dxa"/>
            <w:vAlign w:val="bottom"/>
          </w:tcPr>
          <w:p>
            <w:pPr>
              <w:spacing w:after="0"/>
              <w:rPr>
                <w:sz w:val="1"/>
                <w:szCs w:val="1"/>
                <w:color w:val="auto"/>
              </w:rPr>
            </w:pPr>
          </w:p>
        </w:tc>
      </w:tr>
      <w:tr>
        <w:trPr>
          <w:trHeight w:val="153"/>
        </w:trPr>
        <w:tc>
          <w:tcPr>
            <w:tcW w:w="52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Prepaid expenses and other current assets</w:t>
            </w:r>
          </w:p>
        </w:tc>
        <w:tc>
          <w:tcPr>
            <w:tcW w:w="28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(425)</w:t>
            </w:r>
          </w:p>
        </w:tc>
        <w:tc>
          <w:tcPr>
            <w:tcW w:w="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481</w:t>
            </w:r>
          </w:p>
        </w:tc>
        <w:tc>
          <w:tcPr>
            <w:tcW w:w="0" w:type="dxa"/>
            <w:vAlign w:val="bottom"/>
          </w:tcPr>
          <w:p>
            <w:pPr>
              <w:spacing w:after="0"/>
              <w:rPr>
                <w:sz w:val="1"/>
                <w:szCs w:val="1"/>
                <w:color w:val="auto"/>
              </w:rPr>
            </w:pPr>
          </w:p>
        </w:tc>
      </w:tr>
      <w:tr>
        <w:trPr>
          <w:trHeight w:val="153"/>
        </w:trPr>
        <w:tc>
          <w:tcPr>
            <w:tcW w:w="52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Income taxes (receivable) payable</w:t>
            </w:r>
          </w:p>
        </w:tc>
        <w:tc>
          <w:tcPr>
            <w:tcW w:w="28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8,666</w:t>
            </w:r>
          </w:p>
        </w:tc>
        <w:tc>
          <w:tcPr>
            <w:tcW w:w="0" w:type="dxa"/>
            <w:vAlign w:val="bottom"/>
          </w:tcPr>
          <w:p>
            <w:pPr>
              <w:spacing w:after="0"/>
              <w:rPr>
                <w:sz w:val="1"/>
                <w:szCs w:val="1"/>
                <w:color w:val="auto"/>
              </w:rPr>
            </w:pPr>
          </w:p>
        </w:tc>
      </w:tr>
      <w:tr>
        <w:trPr>
          <w:trHeight w:val="153"/>
        </w:trPr>
        <w:tc>
          <w:tcPr>
            <w:tcW w:w="52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Notes receivable</w:t>
            </w:r>
          </w:p>
        </w:tc>
        <w:tc>
          <w:tcPr>
            <w:tcW w:w="28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(266)</w:t>
            </w:r>
          </w:p>
        </w:tc>
        <w:tc>
          <w:tcPr>
            <w:tcW w:w="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(163)</w:t>
            </w:r>
          </w:p>
        </w:tc>
        <w:tc>
          <w:tcPr>
            <w:tcW w:w="0" w:type="dxa"/>
            <w:vAlign w:val="bottom"/>
          </w:tcPr>
          <w:p>
            <w:pPr>
              <w:spacing w:after="0"/>
              <w:rPr>
                <w:sz w:val="1"/>
                <w:szCs w:val="1"/>
                <w:color w:val="auto"/>
              </w:rPr>
            </w:pPr>
          </w:p>
        </w:tc>
      </w:tr>
      <w:tr>
        <w:trPr>
          <w:trHeight w:val="153"/>
        </w:trPr>
        <w:tc>
          <w:tcPr>
            <w:tcW w:w="52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Accounts payable and other accrued liabilities</w:t>
            </w:r>
          </w:p>
        </w:tc>
        <w:tc>
          <w:tcPr>
            <w:tcW w:w="28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1,590</w:t>
            </w:r>
          </w:p>
        </w:tc>
        <w:tc>
          <w:tcPr>
            <w:tcW w:w="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3,916</w:t>
            </w:r>
          </w:p>
        </w:tc>
        <w:tc>
          <w:tcPr>
            <w:tcW w:w="0" w:type="dxa"/>
            <w:vAlign w:val="bottom"/>
          </w:tcPr>
          <w:p>
            <w:pPr>
              <w:spacing w:after="0"/>
              <w:rPr>
                <w:sz w:val="1"/>
                <w:szCs w:val="1"/>
                <w:color w:val="auto"/>
              </w:rPr>
            </w:pPr>
          </w:p>
        </w:tc>
      </w:tr>
      <w:tr>
        <w:trPr>
          <w:trHeight w:val="153"/>
        </w:trPr>
        <w:tc>
          <w:tcPr>
            <w:tcW w:w="52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Customer deposits and advance payments</w:t>
            </w:r>
          </w:p>
        </w:tc>
        <w:tc>
          <w:tcPr>
            <w:tcW w:w="28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157</w:t>
            </w:r>
          </w:p>
        </w:tc>
        <w:tc>
          <w:tcPr>
            <w:tcW w:w="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250</w:t>
            </w:r>
          </w:p>
        </w:tc>
        <w:tc>
          <w:tcPr>
            <w:tcW w:w="0" w:type="dxa"/>
            <w:vAlign w:val="bottom"/>
          </w:tcPr>
          <w:p>
            <w:pPr>
              <w:spacing w:after="0"/>
              <w:rPr>
                <w:sz w:val="1"/>
                <w:szCs w:val="1"/>
                <w:color w:val="auto"/>
              </w:rPr>
            </w:pPr>
          </w:p>
        </w:tc>
      </w:tr>
      <w:tr>
        <w:trPr>
          <w:trHeight w:val="155"/>
        </w:trPr>
        <w:tc>
          <w:tcPr>
            <w:tcW w:w="52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Other assets and liabilities, net</w:t>
            </w:r>
          </w:p>
        </w:tc>
        <w:tc>
          <w:tcPr>
            <w:tcW w:w="284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(1,395)</w:t>
            </w:r>
          </w:p>
        </w:tc>
        <w:tc>
          <w:tcPr>
            <w:tcW w:w="6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(462)</w:t>
            </w:r>
          </w:p>
        </w:tc>
        <w:tc>
          <w:tcPr>
            <w:tcW w:w="0" w:type="dxa"/>
            <w:vAlign w:val="bottom"/>
          </w:tcPr>
          <w:p>
            <w:pPr>
              <w:spacing w:after="0"/>
              <w:rPr>
                <w:sz w:val="1"/>
                <w:szCs w:val="1"/>
                <w:color w:val="auto"/>
              </w:rPr>
            </w:pPr>
          </w:p>
        </w:tc>
      </w:tr>
      <w:tr>
        <w:trPr>
          <w:trHeight w:val="142"/>
        </w:trPr>
        <w:tc>
          <w:tcPr>
            <w:tcW w:w="520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Net cash provided by operating activities</w:t>
            </w:r>
          </w:p>
        </w:tc>
        <w:tc>
          <w:tcPr>
            <w:tcW w:w="2840" w:type="dxa"/>
            <w:vAlign w:val="bottom"/>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13,307</w:t>
            </w:r>
          </w:p>
        </w:tc>
        <w:tc>
          <w:tcPr>
            <w:tcW w:w="60" w:type="dxa"/>
            <w:vAlign w:val="bottom"/>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27,677</w:t>
            </w:r>
          </w:p>
        </w:tc>
        <w:tc>
          <w:tcPr>
            <w:tcW w:w="0" w:type="dxa"/>
            <w:vAlign w:val="bottom"/>
          </w:tcPr>
          <w:p>
            <w:pPr>
              <w:spacing w:after="0"/>
              <w:rPr>
                <w:sz w:val="1"/>
                <w:szCs w:val="1"/>
                <w:color w:val="auto"/>
              </w:rPr>
            </w:pPr>
          </w:p>
        </w:tc>
      </w:tr>
      <w:tr>
        <w:trPr>
          <w:trHeight w:val="131"/>
        </w:trPr>
        <w:tc>
          <w:tcPr>
            <w:tcW w:w="5200" w:type="dxa"/>
            <w:vAlign w:val="bottom"/>
          </w:tcPr>
          <w:p>
            <w:pPr>
              <w:spacing w:after="0" w:line="132" w:lineRule="exact"/>
              <w:rPr>
                <w:sz w:val="20"/>
                <w:szCs w:val="20"/>
                <w:color w:val="auto"/>
              </w:rPr>
            </w:pPr>
            <w:r>
              <w:rPr>
                <w:rFonts w:ascii="Times New Roman" w:cs="Times New Roman" w:eastAsia="Times New Roman" w:hAnsi="Times New Roman"/>
                <w:sz w:val="12"/>
                <w:szCs w:val="12"/>
                <w:b w:val="1"/>
                <w:bCs w:val="1"/>
                <w:color w:val="auto"/>
              </w:rPr>
              <w:t>Cash flows from investing activities:</w:t>
            </w:r>
          </w:p>
        </w:tc>
        <w:tc>
          <w:tcPr>
            <w:tcW w:w="28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2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Additions to property, equipment and software</w:t>
            </w:r>
          </w:p>
        </w:tc>
        <w:tc>
          <w:tcPr>
            <w:tcW w:w="28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(6,610)</w:t>
            </w:r>
          </w:p>
        </w:tc>
        <w:tc>
          <w:tcPr>
            <w:tcW w:w="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(5,046)</w:t>
            </w:r>
          </w:p>
        </w:tc>
        <w:tc>
          <w:tcPr>
            <w:tcW w:w="0" w:type="dxa"/>
            <w:vAlign w:val="bottom"/>
          </w:tcPr>
          <w:p>
            <w:pPr>
              <w:spacing w:after="0"/>
              <w:rPr>
                <w:sz w:val="1"/>
                <w:szCs w:val="1"/>
                <w:color w:val="auto"/>
              </w:rPr>
            </w:pPr>
          </w:p>
        </w:tc>
      </w:tr>
      <w:tr>
        <w:trPr>
          <w:trHeight w:val="153"/>
        </w:trPr>
        <w:tc>
          <w:tcPr>
            <w:tcW w:w="52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Notes receivable, net</w:t>
            </w:r>
          </w:p>
        </w:tc>
        <w:tc>
          <w:tcPr>
            <w:tcW w:w="28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(1,059)</w:t>
            </w:r>
          </w:p>
        </w:tc>
        <w:tc>
          <w:tcPr>
            <w:tcW w:w="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178</w:t>
            </w:r>
          </w:p>
        </w:tc>
        <w:tc>
          <w:tcPr>
            <w:tcW w:w="0" w:type="dxa"/>
            <w:vAlign w:val="bottom"/>
          </w:tcPr>
          <w:p>
            <w:pPr>
              <w:spacing w:after="0"/>
              <w:rPr>
                <w:sz w:val="1"/>
                <w:szCs w:val="1"/>
                <w:color w:val="auto"/>
              </w:rPr>
            </w:pPr>
          </w:p>
        </w:tc>
      </w:tr>
      <w:tr>
        <w:trPr>
          <w:trHeight w:val="155"/>
        </w:trPr>
        <w:tc>
          <w:tcPr>
            <w:tcW w:w="52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Acquisitions of assets and other investing activities</w:t>
            </w:r>
          </w:p>
        </w:tc>
        <w:tc>
          <w:tcPr>
            <w:tcW w:w="28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(2,715)</w:t>
            </w:r>
          </w:p>
        </w:tc>
        <w:tc>
          <w:tcPr>
            <w:tcW w:w="0" w:type="dxa"/>
            <w:vAlign w:val="bottom"/>
          </w:tcPr>
          <w:p>
            <w:pPr>
              <w:spacing w:after="0"/>
              <w:rPr>
                <w:sz w:val="1"/>
                <w:szCs w:val="1"/>
                <w:color w:val="auto"/>
              </w:rPr>
            </w:pPr>
          </w:p>
        </w:tc>
      </w:tr>
      <w:tr>
        <w:trPr>
          <w:trHeight w:val="142"/>
        </w:trPr>
        <w:tc>
          <w:tcPr>
            <w:tcW w:w="520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Net cash used in investing activities</w:t>
            </w:r>
          </w:p>
        </w:tc>
        <w:tc>
          <w:tcPr>
            <w:tcW w:w="2840" w:type="dxa"/>
            <w:vAlign w:val="bottom"/>
          </w:tcPr>
          <w:p>
            <w:pPr>
              <w:spacing w:after="0"/>
              <w:rPr>
                <w:sz w:val="12"/>
                <w:szCs w:val="12"/>
                <w:color w:val="auto"/>
              </w:rPr>
            </w:pPr>
          </w:p>
        </w:tc>
        <w:tc>
          <w:tcPr>
            <w:tcW w:w="10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(7,669)</w:t>
            </w:r>
          </w:p>
        </w:tc>
        <w:tc>
          <w:tcPr>
            <w:tcW w:w="60" w:type="dxa"/>
            <w:vAlign w:val="bottom"/>
          </w:tcPr>
          <w:p>
            <w:pPr>
              <w:spacing w:after="0"/>
              <w:rPr>
                <w:sz w:val="12"/>
                <w:szCs w:val="12"/>
                <w:color w:val="auto"/>
              </w:rPr>
            </w:pPr>
          </w:p>
        </w:tc>
        <w:tc>
          <w:tcPr>
            <w:tcW w:w="10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(7,583)</w:t>
            </w:r>
          </w:p>
        </w:tc>
        <w:tc>
          <w:tcPr>
            <w:tcW w:w="0" w:type="dxa"/>
            <w:vAlign w:val="bottom"/>
          </w:tcPr>
          <w:p>
            <w:pPr>
              <w:spacing w:after="0"/>
              <w:rPr>
                <w:sz w:val="1"/>
                <w:szCs w:val="1"/>
                <w:color w:val="auto"/>
              </w:rPr>
            </w:pPr>
          </w:p>
        </w:tc>
      </w:tr>
      <w:tr>
        <w:trPr>
          <w:trHeight w:val="131"/>
        </w:trPr>
        <w:tc>
          <w:tcPr>
            <w:tcW w:w="5200" w:type="dxa"/>
            <w:vAlign w:val="bottom"/>
          </w:tcPr>
          <w:p>
            <w:pPr>
              <w:ind w:left="20"/>
              <w:spacing w:after="0" w:line="132" w:lineRule="exact"/>
              <w:rPr>
                <w:sz w:val="20"/>
                <w:szCs w:val="20"/>
                <w:color w:val="auto"/>
              </w:rPr>
            </w:pPr>
            <w:r>
              <w:rPr>
                <w:rFonts w:ascii="Times New Roman" w:cs="Times New Roman" w:eastAsia="Times New Roman" w:hAnsi="Times New Roman"/>
                <w:sz w:val="12"/>
                <w:szCs w:val="12"/>
                <w:b w:val="1"/>
                <w:bCs w:val="1"/>
                <w:color w:val="auto"/>
              </w:rPr>
              <w:t>Cash flows from financing activities:</w:t>
            </w:r>
          </w:p>
        </w:tc>
        <w:tc>
          <w:tcPr>
            <w:tcW w:w="28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2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Repayments of long-term debt</w:t>
            </w:r>
          </w:p>
        </w:tc>
        <w:tc>
          <w:tcPr>
            <w:tcW w:w="28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(1,678)</w:t>
            </w:r>
          </w:p>
        </w:tc>
        <w:tc>
          <w:tcPr>
            <w:tcW w:w="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(1,550)</w:t>
            </w:r>
          </w:p>
        </w:tc>
        <w:tc>
          <w:tcPr>
            <w:tcW w:w="0" w:type="dxa"/>
            <w:vAlign w:val="bottom"/>
          </w:tcPr>
          <w:p>
            <w:pPr>
              <w:spacing w:after="0"/>
              <w:rPr>
                <w:sz w:val="1"/>
                <w:szCs w:val="1"/>
                <w:color w:val="auto"/>
              </w:rPr>
            </w:pPr>
          </w:p>
        </w:tc>
      </w:tr>
      <w:tr>
        <w:trPr>
          <w:trHeight w:val="153"/>
        </w:trPr>
        <w:tc>
          <w:tcPr>
            <w:tcW w:w="52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Repayments of borrowings under revolving credit facility</w:t>
            </w:r>
          </w:p>
        </w:tc>
        <w:tc>
          <w:tcPr>
            <w:tcW w:w="28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(6,000)</w:t>
            </w:r>
          </w:p>
        </w:tc>
        <w:tc>
          <w:tcPr>
            <w:tcW w:w="0" w:type="dxa"/>
            <w:vAlign w:val="bottom"/>
          </w:tcPr>
          <w:p>
            <w:pPr>
              <w:spacing w:after="0"/>
              <w:rPr>
                <w:sz w:val="1"/>
                <w:szCs w:val="1"/>
                <w:color w:val="auto"/>
              </w:rPr>
            </w:pPr>
          </w:p>
        </w:tc>
      </w:tr>
      <w:tr>
        <w:trPr>
          <w:trHeight w:val="153"/>
        </w:trPr>
        <w:tc>
          <w:tcPr>
            <w:tcW w:w="52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Repurchases of Common Stock and shares withheld for taxes</w:t>
            </w:r>
          </w:p>
        </w:tc>
        <w:tc>
          <w:tcPr>
            <w:tcW w:w="28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(421)</w:t>
            </w:r>
          </w:p>
        </w:tc>
        <w:tc>
          <w:tcPr>
            <w:tcW w:w="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(777)</w:t>
            </w:r>
          </w:p>
        </w:tc>
        <w:tc>
          <w:tcPr>
            <w:tcW w:w="0" w:type="dxa"/>
            <w:vAlign w:val="bottom"/>
          </w:tcPr>
          <w:p>
            <w:pPr>
              <w:spacing w:after="0"/>
              <w:rPr>
                <w:sz w:val="1"/>
                <w:szCs w:val="1"/>
                <w:color w:val="auto"/>
              </w:rPr>
            </w:pPr>
          </w:p>
        </w:tc>
      </w:tr>
      <w:tr>
        <w:trPr>
          <w:trHeight w:val="153"/>
        </w:trPr>
        <w:tc>
          <w:tcPr>
            <w:tcW w:w="52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Dividends paid to redeemable senior preferred stockholders</w:t>
            </w:r>
          </w:p>
        </w:tc>
        <w:tc>
          <w:tcPr>
            <w:tcW w:w="28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(7,027)</w:t>
            </w:r>
          </w:p>
        </w:tc>
        <w:tc>
          <w:tcPr>
            <w:tcW w:w="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(11,435)</w:t>
            </w:r>
          </w:p>
        </w:tc>
        <w:tc>
          <w:tcPr>
            <w:tcW w:w="0" w:type="dxa"/>
            <w:vAlign w:val="bottom"/>
          </w:tcPr>
          <w:p>
            <w:pPr>
              <w:spacing w:after="0"/>
              <w:rPr>
                <w:sz w:val="1"/>
                <w:szCs w:val="1"/>
                <w:color w:val="auto"/>
              </w:rPr>
            </w:pPr>
          </w:p>
        </w:tc>
      </w:tr>
      <w:tr>
        <w:trPr>
          <w:trHeight w:val="153"/>
        </w:trPr>
        <w:tc>
          <w:tcPr>
            <w:tcW w:w="52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Settlement and customer/subscriber accounts obligations, net</w:t>
            </w:r>
          </w:p>
        </w:tc>
        <w:tc>
          <w:tcPr>
            <w:tcW w:w="28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1,918</w:t>
            </w:r>
          </w:p>
        </w:tc>
        <w:tc>
          <w:tcPr>
            <w:tcW w:w="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79,258</w:t>
            </w:r>
          </w:p>
        </w:tc>
        <w:tc>
          <w:tcPr>
            <w:tcW w:w="0" w:type="dxa"/>
            <w:vAlign w:val="bottom"/>
          </w:tcPr>
          <w:p>
            <w:pPr>
              <w:spacing w:after="0"/>
              <w:rPr>
                <w:sz w:val="1"/>
                <w:szCs w:val="1"/>
                <w:color w:val="auto"/>
              </w:rPr>
            </w:pPr>
          </w:p>
        </w:tc>
      </w:tr>
      <w:tr>
        <w:trPr>
          <w:trHeight w:val="155"/>
        </w:trPr>
        <w:tc>
          <w:tcPr>
            <w:tcW w:w="52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Payment of contingent consideration related to business combination</w:t>
            </w:r>
          </w:p>
        </w:tc>
        <w:tc>
          <w:tcPr>
            <w:tcW w:w="284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(3,071)</w:t>
            </w:r>
          </w:p>
        </w:tc>
        <w:tc>
          <w:tcPr>
            <w:tcW w:w="6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(1,959)</w:t>
            </w:r>
          </w:p>
        </w:tc>
        <w:tc>
          <w:tcPr>
            <w:tcW w:w="0" w:type="dxa"/>
            <w:vAlign w:val="bottom"/>
          </w:tcPr>
          <w:p>
            <w:pPr>
              <w:spacing w:after="0"/>
              <w:rPr>
                <w:sz w:val="1"/>
                <w:szCs w:val="1"/>
                <w:color w:val="auto"/>
              </w:rPr>
            </w:pPr>
          </w:p>
        </w:tc>
      </w:tr>
      <w:tr>
        <w:trPr>
          <w:trHeight w:val="136"/>
        </w:trPr>
        <w:tc>
          <w:tcPr>
            <w:tcW w:w="5200" w:type="dxa"/>
            <w:vAlign w:val="bottom"/>
          </w:tcPr>
          <w:p>
            <w:pPr>
              <w:ind w:left="80"/>
              <w:spacing w:after="0" w:line="136" w:lineRule="exact"/>
              <w:rPr>
                <w:sz w:val="20"/>
                <w:szCs w:val="20"/>
                <w:color w:val="auto"/>
              </w:rPr>
            </w:pPr>
            <w:r>
              <w:rPr>
                <w:rFonts w:ascii="Times New Roman" w:cs="Times New Roman" w:eastAsia="Times New Roman" w:hAnsi="Times New Roman"/>
                <w:sz w:val="12"/>
                <w:szCs w:val="12"/>
                <w:b w:val="1"/>
                <w:bCs w:val="1"/>
                <w:color w:val="auto"/>
              </w:rPr>
              <w:t>Net cash (used in) provided by financing activities</w:t>
            </w:r>
          </w:p>
        </w:tc>
        <w:tc>
          <w:tcPr>
            <w:tcW w:w="28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jc w:val="right"/>
              <w:spacing w:after="0" w:line="136" w:lineRule="exact"/>
              <w:rPr>
                <w:sz w:val="20"/>
                <w:szCs w:val="20"/>
                <w:color w:val="auto"/>
              </w:rPr>
            </w:pPr>
            <w:r>
              <w:rPr>
                <w:rFonts w:ascii="Times New Roman" w:cs="Times New Roman" w:eastAsia="Times New Roman" w:hAnsi="Times New Roman"/>
                <w:sz w:val="12"/>
                <w:szCs w:val="12"/>
                <w:b w:val="1"/>
                <w:bCs w:val="1"/>
                <w:color w:val="auto"/>
              </w:rPr>
              <w:t>(10,279)</w:t>
            </w: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40" w:type="dxa"/>
            <w:vAlign w:val="bottom"/>
          </w:tcPr>
          <w:p>
            <w:pPr>
              <w:jc w:val="right"/>
              <w:spacing w:after="0" w:line="136" w:lineRule="exact"/>
              <w:rPr>
                <w:sz w:val="20"/>
                <w:szCs w:val="20"/>
                <w:color w:val="auto"/>
              </w:rPr>
            </w:pPr>
            <w:r>
              <w:rPr>
                <w:rFonts w:ascii="Times New Roman" w:cs="Times New Roman" w:eastAsia="Times New Roman" w:hAnsi="Times New Roman"/>
                <w:sz w:val="12"/>
                <w:szCs w:val="12"/>
                <w:b w:val="1"/>
                <w:bCs w:val="1"/>
                <w:color w:val="auto"/>
              </w:rPr>
              <w:t>57,537</w:t>
            </w:r>
          </w:p>
        </w:tc>
        <w:tc>
          <w:tcPr>
            <w:tcW w:w="0" w:type="dxa"/>
            <w:vAlign w:val="bottom"/>
          </w:tcPr>
          <w:p>
            <w:pPr>
              <w:spacing w:after="0"/>
              <w:rPr>
                <w:sz w:val="1"/>
                <w:szCs w:val="1"/>
                <w:color w:val="auto"/>
              </w:rPr>
            </w:pPr>
          </w:p>
        </w:tc>
      </w:tr>
      <w:tr>
        <w:trPr>
          <w:trHeight w:val="157"/>
        </w:trPr>
        <w:tc>
          <w:tcPr>
            <w:tcW w:w="52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Net change in cash and cash equivalents and restricted cash:</w:t>
            </w:r>
          </w:p>
        </w:tc>
        <w:tc>
          <w:tcPr>
            <w:tcW w:w="28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2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Net (decrease) increase in cash and cash equivalents, and restricted cash</w:t>
            </w:r>
          </w:p>
        </w:tc>
        <w:tc>
          <w:tcPr>
            <w:tcW w:w="28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(4,641)</w:t>
            </w:r>
          </w:p>
        </w:tc>
        <w:tc>
          <w:tcPr>
            <w:tcW w:w="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77,631</w:t>
            </w:r>
          </w:p>
        </w:tc>
        <w:tc>
          <w:tcPr>
            <w:tcW w:w="0" w:type="dxa"/>
            <w:vAlign w:val="bottom"/>
          </w:tcPr>
          <w:p>
            <w:pPr>
              <w:spacing w:after="0"/>
              <w:rPr>
                <w:sz w:val="1"/>
                <w:szCs w:val="1"/>
                <w:color w:val="auto"/>
              </w:rPr>
            </w:pPr>
          </w:p>
        </w:tc>
      </w:tr>
      <w:tr>
        <w:trPr>
          <w:trHeight w:val="155"/>
        </w:trPr>
        <w:tc>
          <w:tcPr>
            <w:tcW w:w="52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Cash and cash equivalents and restricted cash at beginning of period</w:t>
            </w:r>
          </w:p>
        </w:tc>
        <w:tc>
          <w:tcPr>
            <w:tcW w:w="284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796,223</w:t>
            </w:r>
          </w:p>
        </w:tc>
        <w:tc>
          <w:tcPr>
            <w:tcW w:w="6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560,610</w:t>
            </w:r>
          </w:p>
        </w:tc>
        <w:tc>
          <w:tcPr>
            <w:tcW w:w="0" w:type="dxa"/>
            <w:vAlign w:val="bottom"/>
          </w:tcPr>
          <w:p>
            <w:pPr>
              <w:spacing w:after="0"/>
              <w:rPr>
                <w:sz w:val="1"/>
                <w:szCs w:val="1"/>
                <w:color w:val="auto"/>
              </w:rPr>
            </w:pPr>
          </w:p>
        </w:tc>
      </w:tr>
      <w:tr>
        <w:trPr>
          <w:trHeight w:val="142"/>
        </w:trPr>
        <w:tc>
          <w:tcPr>
            <w:tcW w:w="52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Cash and cash equivalents and restricted cash at end of period</w:t>
            </w:r>
          </w:p>
        </w:tc>
        <w:tc>
          <w:tcPr>
            <w:tcW w:w="2840" w:type="dxa"/>
            <w:vAlign w:val="bottom"/>
          </w:tcPr>
          <w:p>
            <w:pPr>
              <w:spacing w:after="0"/>
              <w:rPr>
                <w:sz w:val="12"/>
                <w:szCs w:val="12"/>
                <w:color w:val="auto"/>
              </w:rPr>
            </w:pPr>
          </w:p>
        </w:tc>
        <w:tc>
          <w:tcPr>
            <w:tcW w:w="1040" w:type="dxa"/>
            <w:vAlign w:val="bottom"/>
            <w:tcBorders>
              <w:bottom w:val="single" w:sz="8" w:color="auto"/>
            </w:tcBorders>
          </w:tcPr>
          <w:p>
            <w:pPr>
              <w:jc w:val="right"/>
              <w:ind w:right="9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791,582</w:t>
            </w:r>
          </w:p>
        </w:tc>
        <w:tc>
          <w:tcPr>
            <w:tcW w:w="60" w:type="dxa"/>
            <w:vAlign w:val="bottom"/>
          </w:tcPr>
          <w:p>
            <w:pPr>
              <w:spacing w:after="0"/>
              <w:rPr>
                <w:sz w:val="12"/>
                <w:szCs w:val="12"/>
                <w:color w:val="auto"/>
              </w:rPr>
            </w:pPr>
          </w:p>
        </w:tc>
        <w:tc>
          <w:tcPr>
            <w:tcW w:w="1040" w:type="dxa"/>
            <w:vAlign w:val="bottom"/>
            <w:tcBorders>
              <w:bottom w:val="single" w:sz="8" w:color="auto"/>
            </w:tcBorders>
          </w:tcPr>
          <w:p>
            <w:pPr>
              <w:jc w:val="right"/>
              <w:ind w:right="9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638,241</w:t>
            </w: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Reconciliation of cash and cash equivalents, and restricted cash:</w:t>
            </w:r>
          </w:p>
        </w:tc>
        <w:tc>
          <w:tcPr>
            <w:tcW w:w="28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200" w:type="dxa"/>
            <w:vAlign w:val="bottom"/>
            <w:vMerge w:val="continue"/>
          </w:tcPr>
          <w:p>
            <w:pPr>
              <w:spacing w:after="0"/>
              <w:rPr>
                <w:sz w:val="18"/>
                <w:szCs w:val="18"/>
                <w:color w:val="auto"/>
              </w:rPr>
            </w:pPr>
          </w:p>
        </w:tc>
        <w:tc>
          <w:tcPr>
            <w:tcW w:w="2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52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3880" w:type="dxa"/>
            <w:vAlign w:val="bottom"/>
            <w:gridSpan w:val="2"/>
          </w:tcPr>
          <w:p>
            <w:pPr>
              <w:jc w:val="right"/>
              <w:ind w:right="90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34,290</w:t>
            </w:r>
          </w:p>
        </w:tc>
        <w:tc>
          <w:tcPr>
            <w:tcW w:w="60" w:type="dxa"/>
            <w:vAlign w:val="bottom"/>
          </w:tcPr>
          <w:p>
            <w:pPr>
              <w:spacing w:after="0"/>
              <w:rPr>
                <w:sz w:val="13"/>
                <w:szCs w:val="13"/>
                <w:color w:val="auto"/>
              </w:rPr>
            </w:pPr>
          </w:p>
        </w:tc>
        <w:tc>
          <w:tcPr>
            <w:tcW w:w="1040" w:type="dxa"/>
            <w:vAlign w:val="bottom"/>
          </w:tcPr>
          <w:p>
            <w:pPr>
              <w:jc w:val="right"/>
              <w:ind w:right="900"/>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15,882</w:t>
            </w:r>
          </w:p>
        </w:tc>
        <w:tc>
          <w:tcPr>
            <w:tcW w:w="0" w:type="dxa"/>
            <w:vAlign w:val="bottom"/>
          </w:tcPr>
          <w:p>
            <w:pPr>
              <w:spacing w:after="0"/>
              <w:rPr>
                <w:sz w:val="1"/>
                <w:szCs w:val="1"/>
                <w:color w:val="auto"/>
              </w:rPr>
            </w:pPr>
          </w:p>
        </w:tc>
      </w:tr>
      <w:tr>
        <w:trPr>
          <w:trHeight w:val="153"/>
        </w:trPr>
        <w:tc>
          <w:tcPr>
            <w:tcW w:w="52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Restricted cash</w:t>
            </w:r>
          </w:p>
        </w:tc>
        <w:tc>
          <w:tcPr>
            <w:tcW w:w="28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12,658</w:t>
            </w:r>
          </w:p>
        </w:tc>
        <w:tc>
          <w:tcPr>
            <w:tcW w:w="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11,012</w:t>
            </w:r>
          </w:p>
        </w:tc>
        <w:tc>
          <w:tcPr>
            <w:tcW w:w="0" w:type="dxa"/>
            <w:vAlign w:val="bottom"/>
          </w:tcPr>
          <w:p>
            <w:pPr>
              <w:spacing w:after="0"/>
              <w:rPr>
                <w:sz w:val="1"/>
                <w:szCs w:val="1"/>
                <w:color w:val="auto"/>
              </w:rPr>
            </w:pPr>
          </w:p>
        </w:tc>
      </w:tr>
      <w:tr>
        <w:trPr>
          <w:trHeight w:val="155"/>
        </w:trPr>
        <w:tc>
          <w:tcPr>
            <w:tcW w:w="52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Cash and cash equivalents included in settlement assets and customer/subscriber account balances</w:t>
            </w:r>
          </w:p>
        </w:tc>
        <w:tc>
          <w:tcPr>
            <w:tcW w:w="284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744,634</w:t>
            </w:r>
          </w:p>
        </w:tc>
        <w:tc>
          <w:tcPr>
            <w:tcW w:w="6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611,347</w:t>
            </w:r>
          </w:p>
        </w:tc>
        <w:tc>
          <w:tcPr>
            <w:tcW w:w="0" w:type="dxa"/>
            <w:vAlign w:val="bottom"/>
          </w:tcPr>
          <w:p>
            <w:pPr>
              <w:spacing w:after="0"/>
              <w:rPr>
                <w:sz w:val="1"/>
                <w:szCs w:val="1"/>
                <w:color w:val="auto"/>
              </w:rPr>
            </w:pPr>
          </w:p>
        </w:tc>
      </w:tr>
      <w:tr>
        <w:trPr>
          <w:trHeight w:val="142"/>
        </w:trPr>
        <w:tc>
          <w:tcPr>
            <w:tcW w:w="52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cash and cash equivalents, and restricted cash</w:t>
            </w:r>
          </w:p>
        </w:tc>
        <w:tc>
          <w:tcPr>
            <w:tcW w:w="2840" w:type="dxa"/>
            <w:vAlign w:val="bottom"/>
          </w:tcPr>
          <w:p>
            <w:pPr>
              <w:spacing w:after="0"/>
              <w:rPr>
                <w:sz w:val="12"/>
                <w:szCs w:val="12"/>
                <w:color w:val="auto"/>
              </w:rPr>
            </w:pPr>
          </w:p>
        </w:tc>
        <w:tc>
          <w:tcPr>
            <w:tcW w:w="1040" w:type="dxa"/>
            <w:vAlign w:val="bottom"/>
            <w:tcBorders>
              <w:bottom w:val="single" w:sz="8" w:color="auto"/>
            </w:tcBorders>
          </w:tcPr>
          <w:p>
            <w:pPr>
              <w:jc w:val="right"/>
              <w:ind w:right="9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791,582</w:t>
            </w:r>
          </w:p>
        </w:tc>
        <w:tc>
          <w:tcPr>
            <w:tcW w:w="60" w:type="dxa"/>
            <w:vAlign w:val="bottom"/>
          </w:tcPr>
          <w:p>
            <w:pPr>
              <w:spacing w:after="0"/>
              <w:rPr>
                <w:sz w:val="12"/>
                <w:szCs w:val="12"/>
                <w:color w:val="auto"/>
              </w:rPr>
            </w:pPr>
          </w:p>
        </w:tc>
        <w:tc>
          <w:tcPr>
            <w:tcW w:w="1040" w:type="dxa"/>
            <w:vAlign w:val="bottom"/>
            <w:tcBorders>
              <w:bottom w:val="single" w:sz="8" w:color="auto"/>
            </w:tcBorders>
          </w:tcPr>
          <w:p>
            <w:pPr>
              <w:jc w:val="right"/>
              <w:ind w:right="9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638,241</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840" w:type="dxa"/>
            <w:vAlign w:val="bottom"/>
            <w:vMerge w:val="restart"/>
          </w:tcPr>
          <w:p>
            <w:pPr>
              <w:jc w:val="right"/>
              <w:ind w:right="2300"/>
              <w:spacing w:after="0"/>
              <w:rPr>
                <w:sz w:val="20"/>
                <w:szCs w:val="20"/>
                <w:color w:val="auto"/>
              </w:rPr>
            </w:pPr>
            <w:r>
              <w:rPr>
                <w:rFonts w:ascii="Times New Roman" w:cs="Times New Roman" w:eastAsia="Times New Roman" w:hAnsi="Times New Roman"/>
                <w:sz w:val="12"/>
                <w:szCs w:val="12"/>
                <w:color w:val="auto"/>
              </w:rPr>
              <w:t>8</w:t>
            </w: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5200" w:type="dxa"/>
            <w:vAlign w:val="bottom"/>
          </w:tcPr>
          <w:p>
            <w:pPr>
              <w:spacing w:after="0"/>
              <w:rPr>
                <w:sz w:val="24"/>
                <w:szCs w:val="24"/>
                <w:color w:val="auto"/>
              </w:rPr>
            </w:pPr>
          </w:p>
        </w:tc>
        <w:tc>
          <w:tcPr>
            <w:tcW w:w="284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285" w:right="31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2"/>
          <w:szCs w:val="12"/>
          <w:b w:val="1"/>
          <w:bCs w:val="1"/>
          <w:color w:val="auto"/>
        </w:rPr>
        <w:t>Priority Technology Holdings,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 Reportable Segments' Results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88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266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tc>
        <w:tc>
          <w:tcPr>
            <w:tcW w:w="6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88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2024</w:t>
            </w:r>
          </w:p>
        </w:tc>
        <w:tc>
          <w:tcPr>
            <w:tcW w:w="7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2023</w:t>
            </w:r>
          </w:p>
        </w:tc>
        <w:tc>
          <w:tcPr>
            <w:tcW w:w="6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8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SMB Payments:</w:t>
            </w:r>
          </w:p>
        </w:tc>
        <w:tc>
          <w:tcPr>
            <w:tcW w:w="40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8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Revenue</w:t>
            </w:r>
          </w:p>
        </w:tc>
        <w:tc>
          <w:tcPr>
            <w:tcW w:w="5020" w:type="dxa"/>
            <w:vAlign w:val="bottom"/>
            <w:gridSpan w:val="2"/>
          </w:tcPr>
          <w:p>
            <w:pPr>
              <w:jc w:val="right"/>
              <w:ind w:right="82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143,751</w:t>
            </w:r>
          </w:p>
        </w:tc>
        <w:tc>
          <w:tcPr>
            <w:tcW w:w="60" w:type="dxa"/>
            <w:vAlign w:val="bottom"/>
          </w:tcPr>
          <w:p>
            <w:pPr>
              <w:spacing w:after="0"/>
              <w:rPr>
                <w:sz w:val="13"/>
                <w:szCs w:val="13"/>
                <w:color w:val="auto"/>
              </w:rPr>
            </w:pPr>
          </w:p>
        </w:tc>
        <w:tc>
          <w:tcPr>
            <w:tcW w:w="940" w:type="dxa"/>
            <w:vAlign w:val="bottom"/>
          </w:tcPr>
          <w:p>
            <w:pPr>
              <w:jc w:val="right"/>
              <w:ind w:right="800"/>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154,933</w:t>
            </w:r>
          </w:p>
        </w:tc>
        <w:tc>
          <w:tcPr>
            <w:tcW w:w="0" w:type="dxa"/>
            <w:vAlign w:val="bottom"/>
          </w:tcPr>
          <w:p>
            <w:pPr>
              <w:spacing w:after="0"/>
              <w:rPr>
                <w:sz w:val="1"/>
                <w:szCs w:val="1"/>
                <w:color w:val="auto"/>
              </w:rPr>
            </w:pPr>
          </w:p>
        </w:tc>
      </w:tr>
      <w:tr>
        <w:trPr>
          <w:trHeight w:val="155"/>
        </w:trPr>
        <w:tc>
          <w:tcPr>
            <w:tcW w:w="38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Operating expenses</w:t>
            </w:r>
          </w:p>
        </w:tc>
        <w:tc>
          <w:tcPr>
            <w:tcW w:w="406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131,368</w:t>
            </w:r>
          </w:p>
        </w:tc>
        <w:tc>
          <w:tcPr>
            <w:tcW w:w="6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142,922</w:t>
            </w:r>
          </w:p>
        </w:tc>
        <w:tc>
          <w:tcPr>
            <w:tcW w:w="0" w:type="dxa"/>
            <w:vAlign w:val="bottom"/>
          </w:tcPr>
          <w:p>
            <w:pPr>
              <w:spacing w:after="0"/>
              <w:rPr>
                <w:sz w:val="1"/>
                <w:szCs w:val="1"/>
                <w:color w:val="auto"/>
              </w:rPr>
            </w:pPr>
          </w:p>
        </w:tc>
      </w:tr>
      <w:tr>
        <w:trPr>
          <w:trHeight w:val="142"/>
        </w:trPr>
        <w:tc>
          <w:tcPr>
            <w:tcW w:w="388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Operating income</w:t>
            </w:r>
          </w:p>
        </w:tc>
        <w:tc>
          <w:tcPr>
            <w:tcW w:w="4060" w:type="dxa"/>
            <w:vAlign w:val="bottom"/>
          </w:tcPr>
          <w:p>
            <w:pPr>
              <w:spacing w:after="0"/>
              <w:rPr>
                <w:sz w:val="12"/>
                <w:szCs w:val="12"/>
                <w:color w:val="auto"/>
              </w:rPr>
            </w:pPr>
          </w:p>
        </w:tc>
        <w:tc>
          <w:tcPr>
            <w:tcW w:w="960" w:type="dxa"/>
            <w:vAlign w:val="bottom"/>
            <w:tcBorders>
              <w:bottom w:val="single" w:sz="8" w:color="auto"/>
            </w:tcBorders>
          </w:tcPr>
          <w:p>
            <w:pPr>
              <w:jc w:val="right"/>
              <w:ind w:right="8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12,383</w:t>
            </w:r>
          </w:p>
        </w:tc>
        <w:tc>
          <w:tcPr>
            <w:tcW w:w="60" w:type="dxa"/>
            <w:vAlign w:val="bottom"/>
          </w:tcPr>
          <w:p>
            <w:pPr>
              <w:spacing w:after="0"/>
              <w:rPr>
                <w:sz w:val="12"/>
                <w:szCs w:val="12"/>
                <w:color w:val="auto"/>
              </w:rPr>
            </w:pPr>
          </w:p>
        </w:tc>
        <w:tc>
          <w:tcPr>
            <w:tcW w:w="940" w:type="dxa"/>
            <w:vAlign w:val="bottom"/>
            <w:tcBorders>
              <w:bottom w:val="single" w:sz="8" w:color="auto"/>
            </w:tcBorders>
          </w:tcPr>
          <w:p>
            <w:pPr>
              <w:jc w:val="right"/>
              <w:ind w:right="8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12,011</w:t>
            </w:r>
          </w:p>
        </w:tc>
        <w:tc>
          <w:tcPr>
            <w:tcW w:w="0" w:type="dxa"/>
            <w:vAlign w:val="bottom"/>
          </w:tcPr>
          <w:p>
            <w:pPr>
              <w:spacing w:after="0"/>
              <w:rPr>
                <w:sz w:val="1"/>
                <w:szCs w:val="1"/>
                <w:color w:val="auto"/>
              </w:rPr>
            </w:pPr>
          </w:p>
        </w:tc>
      </w:tr>
      <w:tr>
        <w:trPr>
          <w:trHeight w:val="20"/>
        </w:trPr>
        <w:tc>
          <w:tcPr>
            <w:tcW w:w="388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auto"/>
              </w:rPr>
              <w:t>Operating margin</w:t>
            </w:r>
          </w:p>
        </w:tc>
        <w:tc>
          <w:tcPr>
            <w:tcW w:w="40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880" w:type="dxa"/>
            <w:vAlign w:val="bottom"/>
            <w:vMerge w:val="continue"/>
          </w:tcPr>
          <w:p>
            <w:pPr>
              <w:spacing w:after="0"/>
              <w:rPr>
                <w:sz w:val="11"/>
                <w:szCs w:val="11"/>
                <w:color w:val="auto"/>
              </w:rPr>
            </w:pPr>
          </w:p>
        </w:tc>
        <w:tc>
          <w:tcPr>
            <w:tcW w:w="40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0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8.6 %</w:t>
            </w: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8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7.8 %</w:t>
            </w:r>
          </w:p>
        </w:tc>
        <w:tc>
          <w:tcPr>
            <w:tcW w:w="0" w:type="dxa"/>
            <w:vAlign w:val="bottom"/>
          </w:tcPr>
          <w:p>
            <w:pPr>
              <w:spacing w:after="0"/>
              <w:rPr>
                <w:sz w:val="1"/>
                <w:szCs w:val="1"/>
                <w:color w:val="auto"/>
              </w:rPr>
            </w:pPr>
          </w:p>
        </w:tc>
      </w:tr>
      <w:tr>
        <w:trPr>
          <w:trHeight w:val="153"/>
        </w:trPr>
        <w:tc>
          <w:tcPr>
            <w:tcW w:w="38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5020" w:type="dxa"/>
            <w:vAlign w:val="bottom"/>
            <w:gridSpan w:val="2"/>
          </w:tcPr>
          <w:p>
            <w:pPr>
              <w:jc w:val="right"/>
              <w:ind w:right="82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8,802</w:t>
            </w:r>
          </w:p>
        </w:tc>
        <w:tc>
          <w:tcPr>
            <w:tcW w:w="60" w:type="dxa"/>
            <w:vAlign w:val="bottom"/>
          </w:tcPr>
          <w:p>
            <w:pPr>
              <w:spacing w:after="0"/>
              <w:rPr>
                <w:sz w:val="13"/>
                <w:szCs w:val="13"/>
                <w:color w:val="auto"/>
              </w:rPr>
            </w:pPr>
          </w:p>
        </w:tc>
        <w:tc>
          <w:tcPr>
            <w:tcW w:w="940" w:type="dxa"/>
            <w:vAlign w:val="bottom"/>
          </w:tcPr>
          <w:p>
            <w:pPr>
              <w:jc w:val="right"/>
              <w:ind w:right="800"/>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10,846</w:t>
            </w:r>
          </w:p>
        </w:tc>
        <w:tc>
          <w:tcPr>
            <w:tcW w:w="0" w:type="dxa"/>
            <w:vAlign w:val="bottom"/>
          </w:tcPr>
          <w:p>
            <w:pPr>
              <w:spacing w:after="0"/>
              <w:rPr>
                <w:sz w:val="1"/>
                <w:szCs w:val="1"/>
                <w:color w:val="auto"/>
              </w:rPr>
            </w:pPr>
          </w:p>
        </w:tc>
      </w:tr>
      <w:tr>
        <w:trPr>
          <w:trHeight w:val="153"/>
        </w:trPr>
        <w:tc>
          <w:tcPr>
            <w:tcW w:w="3880" w:type="dxa"/>
            <w:vAlign w:val="bottom"/>
          </w:tcPr>
          <w:p>
            <w:pPr>
              <w:spacing w:after="0"/>
              <w:rPr>
                <w:sz w:val="20"/>
                <w:szCs w:val="20"/>
                <w:color w:val="auto"/>
              </w:rPr>
            </w:pPr>
            <w:r>
              <w:rPr>
                <w:rFonts w:ascii="Times New Roman" w:cs="Times New Roman" w:eastAsia="Times New Roman" w:hAnsi="Times New Roman"/>
                <w:sz w:val="12"/>
                <w:szCs w:val="12"/>
                <w:color w:val="auto"/>
              </w:rPr>
              <w:t>Key indicators:</w:t>
            </w:r>
          </w:p>
        </w:tc>
        <w:tc>
          <w:tcPr>
            <w:tcW w:w="40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8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Merchant bankcard processing dollar value</w:t>
            </w:r>
          </w:p>
        </w:tc>
        <w:tc>
          <w:tcPr>
            <w:tcW w:w="5020" w:type="dxa"/>
            <w:vAlign w:val="bottom"/>
            <w:gridSpan w:val="2"/>
          </w:tcPr>
          <w:p>
            <w:pPr>
              <w:jc w:val="right"/>
              <w:ind w:right="82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w w:val="96"/>
              </w:rPr>
              <w:t>14,788,095</w:t>
            </w:r>
          </w:p>
        </w:tc>
        <w:tc>
          <w:tcPr>
            <w:tcW w:w="60" w:type="dxa"/>
            <w:vAlign w:val="bottom"/>
          </w:tcPr>
          <w:p>
            <w:pPr>
              <w:spacing w:after="0"/>
              <w:rPr>
                <w:sz w:val="13"/>
                <w:szCs w:val="13"/>
                <w:color w:val="auto"/>
              </w:rPr>
            </w:pPr>
          </w:p>
        </w:tc>
        <w:tc>
          <w:tcPr>
            <w:tcW w:w="940" w:type="dxa"/>
            <w:vAlign w:val="bottom"/>
          </w:tcPr>
          <w:p>
            <w:pPr>
              <w:jc w:val="right"/>
              <w:ind w:right="800"/>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w w:val="96"/>
              </w:rPr>
              <w:t>15,220,715</w:t>
            </w:r>
          </w:p>
        </w:tc>
        <w:tc>
          <w:tcPr>
            <w:tcW w:w="0" w:type="dxa"/>
            <w:vAlign w:val="bottom"/>
          </w:tcPr>
          <w:p>
            <w:pPr>
              <w:spacing w:after="0"/>
              <w:rPr>
                <w:sz w:val="1"/>
                <w:szCs w:val="1"/>
                <w:color w:val="auto"/>
              </w:rPr>
            </w:pPr>
          </w:p>
        </w:tc>
      </w:tr>
      <w:tr>
        <w:trPr>
          <w:trHeight w:val="149"/>
        </w:trPr>
        <w:tc>
          <w:tcPr>
            <w:tcW w:w="38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Merchant bankcard transaction count</w:t>
            </w:r>
          </w:p>
        </w:tc>
        <w:tc>
          <w:tcPr>
            <w:tcW w:w="40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175,228</w:t>
            </w: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163,406</w:t>
            </w:r>
          </w:p>
        </w:tc>
        <w:tc>
          <w:tcPr>
            <w:tcW w:w="0" w:type="dxa"/>
            <w:vAlign w:val="bottom"/>
          </w:tcPr>
          <w:p>
            <w:pPr>
              <w:spacing w:after="0"/>
              <w:rPr>
                <w:sz w:val="1"/>
                <w:szCs w:val="1"/>
                <w:color w:val="auto"/>
              </w:rPr>
            </w:pPr>
          </w:p>
        </w:tc>
      </w:tr>
      <w:tr>
        <w:trPr>
          <w:trHeight w:val="157"/>
        </w:trPr>
        <w:tc>
          <w:tcPr>
            <w:tcW w:w="38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B2B Payments:</w:t>
            </w:r>
          </w:p>
        </w:tc>
        <w:tc>
          <w:tcPr>
            <w:tcW w:w="40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8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Revenue</w:t>
            </w:r>
          </w:p>
        </w:tc>
        <w:tc>
          <w:tcPr>
            <w:tcW w:w="5020" w:type="dxa"/>
            <w:vAlign w:val="bottom"/>
            <w:gridSpan w:val="2"/>
          </w:tcPr>
          <w:p>
            <w:pPr>
              <w:jc w:val="right"/>
              <w:ind w:right="82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21,115</w:t>
            </w:r>
          </w:p>
        </w:tc>
        <w:tc>
          <w:tcPr>
            <w:tcW w:w="60" w:type="dxa"/>
            <w:vAlign w:val="bottom"/>
          </w:tcPr>
          <w:p>
            <w:pPr>
              <w:spacing w:after="0"/>
              <w:rPr>
                <w:sz w:val="13"/>
                <w:szCs w:val="13"/>
                <w:color w:val="auto"/>
              </w:rPr>
            </w:pPr>
          </w:p>
        </w:tc>
        <w:tc>
          <w:tcPr>
            <w:tcW w:w="940" w:type="dxa"/>
            <w:vAlign w:val="bottom"/>
          </w:tcPr>
          <w:p>
            <w:pPr>
              <w:jc w:val="right"/>
              <w:ind w:right="800"/>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2,786</w:t>
            </w:r>
          </w:p>
        </w:tc>
        <w:tc>
          <w:tcPr>
            <w:tcW w:w="0" w:type="dxa"/>
            <w:vAlign w:val="bottom"/>
          </w:tcPr>
          <w:p>
            <w:pPr>
              <w:spacing w:after="0"/>
              <w:rPr>
                <w:sz w:val="1"/>
                <w:szCs w:val="1"/>
                <w:color w:val="auto"/>
              </w:rPr>
            </w:pPr>
          </w:p>
        </w:tc>
      </w:tr>
      <w:tr>
        <w:trPr>
          <w:trHeight w:val="155"/>
        </w:trPr>
        <w:tc>
          <w:tcPr>
            <w:tcW w:w="38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Operating expenses</w:t>
            </w:r>
          </w:p>
        </w:tc>
        <w:tc>
          <w:tcPr>
            <w:tcW w:w="406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21,908</w:t>
            </w:r>
          </w:p>
        </w:tc>
        <w:tc>
          <w:tcPr>
            <w:tcW w:w="6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3,635</w:t>
            </w:r>
          </w:p>
        </w:tc>
        <w:tc>
          <w:tcPr>
            <w:tcW w:w="0" w:type="dxa"/>
            <w:vAlign w:val="bottom"/>
          </w:tcPr>
          <w:p>
            <w:pPr>
              <w:spacing w:after="0"/>
              <w:rPr>
                <w:sz w:val="1"/>
                <w:szCs w:val="1"/>
                <w:color w:val="auto"/>
              </w:rPr>
            </w:pPr>
          </w:p>
        </w:tc>
      </w:tr>
      <w:tr>
        <w:trPr>
          <w:trHeight w:val="142"/>
        </w:trPr>
        <w:tc>
          <w:tcPr>
            <w:tcW w:w="388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Operating loss</w:t>
            </w:r>
          </w:p>
        </w:tc>
        <w:tc>
          <w:tcPr>
            <w:tcW w:w="4060" w:type="dxa"/>
            <w:vAlign w:val="bottom"/>
          </w:tcPr>
          <w:p>
            <w:pPr>
              <w:spacing w:after="0"/>
              <w:rPr>
                <w:sz w:val="12"/>
                <w:szCs w:val="12"/>
                <w:color w:val="auto"/>
              </w:rPr>
            </w:pPr>
          </w:p>
        </w:tc>
        <w:tc>
          <w:tcPr>
            <w:tcW w:w="960" w:type="dxa"/>
            <w:vAlign w:val="bottom"/>
            <w:tcBorders>
              <w:bottom w:val="single" w:sz="8" w:color="auto"/>
            </w:tcBorders>
          </w:tcPr>
          <w:p>
            <w:pPr>
              <w:jc w:val="right"/>
              <w:ind w:right="8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(793)</w:t>
            </w:r>
          </w:p>
        </w:tc>
        <w:tc>
          <w:tcPr>
            <w:tcW w:w="60" w:type="dxa"/>
            <w:vAlign w:val="bottom"/>
          </w:tcPr>
          <w:p>
            <w:pPr>
              <w:spacing w:after="0"/>
              <w:rPr>
                <w:sz w:val="12"/>
                <w:szCs w:val="12"/>
                <w:color w:val="auto"/>
              </w:rPr>
            </w:pPr>
          </w:p>
        </w:tc>
        <w:tc>
          <w:tcPr>
            <w:tcW w:w="940" w:type="dxa"/>
            <w:vAlign w:val="bottom"/>
            <w:tcBorders>
              <w:bottom w:val="single" w:sz="8" w:color="auto"/>
            </w:tcBorders>
          </w:tcPr>
          <w:p>
            <w:pPr>
              <w:jc w:val="right"/>
              <w:ind w:right="8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(849)</w:t>
            </w:r>
          </w:p>
        </w:tc>
        <w:tc>
          <w:tcPr>
            <w:tcW w:w="0" w:type="dxa"/>
            <w:vAlign w:val="bottom"/>
          </w:tcPr>
          <w:p>
            <w:pPr>
              <w:spacing w:after="0"/>
              <w:rPr>
                <w:sz w:val="1"/>
                <w:szCs w:val="1"/>
                <w:color w:val="auto"/>
              </w:rPr>
            </w:pPr>
          </w:p>
        </w:tc>
      </w:tr>
      <w:tr>
        <w:trPr>
          <w:trHeight w:val="20"/>
        </w:trPr>
        <w:tc>
          <w:tcPr>
            <w:tcW w:w="388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auto"/>
              </w:rPr>
              <w:t>Operating margin</w:t>
            </w:r>
          </w:p>
        </w:tc>
        <w:tc>
          <w:tcPr>
            <w:tcW w:w="40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880" w:type="dxa"/>
            <w:vAlign w:val="bottom"/>
            <w:vMerge w:val="continue"/>
          </w:tcPr>
          <w:p>
            <w:pPr>
              <w:spacing w:after="0"/>
              <w:rPr>
                <w:sz w:val="11"/>
                <w:szCs w:val="11"/>
                <w:color w:val="auto"/>
              </w:rPr>
            </w:pPr>
          </w:p>
        </w:tc>
        <w:tc>
          <w:tcPr>
            <w:tcW w:w="40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0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(3.8)%</w:t>
            </w: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8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(30.5)%</w:t>
            </w:r>
          </w:p>
        </w:tc>
        <w:tc>
          <w:tcPr>
            <w:tcW w:w="0" w:type="dxa"/>
            <w:vAlign w:val="bottom"/>
          </w:tcPr>
          <w:p>
            <w:pPr>
              <w:spacing w:after="0"/>
              <w:rPr>
                <w:sz w:val="1"/>
                <w:szCs w:val="1"/>
                <w:color w:val="auto"/>
              </w:rPr>
            </w:pPr>
          </w:p>
        </w:tc>
      </w:tr>
      <w:tr>
        <w:trPr>
          <w:trHeight w:val="153"/>
        </w:trPr>
        <w:tc>
          <w:tcPr>
            <w:tcW w:w="38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5020" w:type="dxa"/>
            <w:vAlign w:val="bottom"/>
            <w:gridSpan w:val="2"/>
          </w:tcPr>
          <w:p>
            <w:pPr>
              <w:jc w:val="right"/>
              <w:ind w:right="82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1,640</w:t>
            </w:r>
          </w:p>
        </w:tc>
        <w:tc>
          <w:tcPr>
            <w:tcW w:w="60" w:type="dxa"/>
            <w:vAlign w:val="bottom"/>
          </w:tcPr>
          <w:p>
            <w:pPr>
              <w:spacing w:after="0"/>
              <w:rPr>
                <w:sz w:val="13"/>
                <w:szCs w:val="13"/>
                <w:color w:val="auto"/>
              </w:rPr>
            </w:pPr>
          </w:p>
        </w:tc>
        <w:tc>
          <w:tcPr>
            <w:tcW w:w="940" w:type="dxa"/>
            <w:vAlign w:val="bottom"/>
          </w:tcPr>
          <w:p>
            <w:pPr>
              <w:jc w:val="right"/>
              <w:ind w:right="800"/>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125</w:t>
            </w:r>
          </w:p>
        </w:tc>
        <w:tc>
          <w:tcPr>
            <w:tcW w:w="0" w:type="dxa"/>
            <w:vAlign w:val="bottom"/>
          </w:tcPr>
          <w:p>
            <w:pPr>
              <w:spacing w:after="0"/>
              <w:rPr>
                <w:sz w:val="1"/>
                <w:szCs w:val="1"/>
                <w:color w:val="auto"/>
              </w:rPr>
            </w:pPr>
          </w:p>
        </w:tc>
      </w:tr>
      <w:tr>
        <w:trPr>
          <w:trHeight w:val="153"/>
        </w:trPr>
        <w:tc>
          <w:tcPr>
            <w:tcW w:w="3880" w:type="dxa"/>
            <w:vAlign w:val="bottom"/>
          </w:tcPr>
          <w:p>
            <w:pPr>
              <w:spacing w:after="0"/>
              <w:rPr>
                <w:sz w:val="20"/>
                <w:szCs w:val="20"/>
                <w:color w:val="auto"/>
              </w:rPr>
            </w:pPr>
            <w:r>
              <w:rPr>
                <w:rFonts w:ascii="Times New Roman" w:cs="Times New Roman" w:eastAsia="Times New Roman" w:hAnsi="Times New Roman"/>
                <w:sz w:val="12"/>
                <w:szCs w:val="12"/>
                <w:color w:val="auto"/>
              </w:rPr>
              <w:t>Key indicators:</w:t>
            </w:r>
          </w:p>
        </w:tc>
        <w:tc>
          <w:tcPr>
            <w:tcW w:w="40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8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B2B issuing dollar volume</w:t>
            </w:r>
          </w:p>
        </w:tc>
        <w:tc>
          <w:tcPr>
            <w:tcW w:w="5020" w:type="dxa"/>
            <w:vAlign w:val="bottom"/>
            <w:gridSpan w:val="2"/>
          </w:tcPr>
          <w:p>
            <w:pPr>
              <w:jc w:val="right"/>
              <w:ind w:right="82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227,811</w:t>
            </w:r>
          </w:p>
        </w:tc>
        <w:tc>
          <w:tcPr>
            <w:tcW w:w="60" w:type="dxa"/>
            <w:vAlign w:val="bottom"/>
          </w:tcPr>
          <w:p>
            <w:pPr>
              <w:spacing w:after="0"/>
              <w:rPr>
                <w:sz w:val="13"/>
                <w:szCs w:val="13"/>
                <w:color w:val="auto"/>
              </w:rPr>
            </w:pPr>
          </w:p>
        </w:tc>
        <w:tc>
          <w:tcPr>
            <w:tcW w:w="940" w:type="dxa"/>
            <w:vAlign w:val="bottom"/>
          </w:tcPr>
          <w:p>
            <w:pPr>
              <w:jc w:val="right"/>
              <w:ind w:right="800"/>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198,456</w:t>
            </w:r>
          </w:p>
        </w:tc>
        <w:tc>
          <w:tcPr>
            <w:tcW w:w="0" w:type="dxa"/>
            <w:vAlign w:val="bottom"/>
          </w:tcPr>
          <w:p>
            <w:pPr>
              <w:spacing w:after="0"/>
              <w:rPr>
                <w:sz w:val="1"/>
                <w:szCs w:val="1"/>
                <w:color w:val="auto"/>
              </w:rPr>
            </w:pPr>
          </w:p>
        </w:tc>
      </w:tr>
      <w:tr>
        <w:trPr>
          <w:trHeight w:val="149"/>
        </w:trPr>
        <w:tc>
          <w:tcPr>
            <w:tcW w:w="38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B2B issuing transaction count</w:t>
            </w:r>
          </w:p>
        </w:tc>
        <w:tc>
          <w:tcPr>
            <w:tcW w:w="40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240</w:t>
            </w: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280</w:t>
            </w:r>
          </w:p>
        </w:tc>
        <w:tc>
          <w:tcPr>
            <w:tcW w:w="0" w:type="dxa"/>
            <w:vAlign w:val="bottom"/>
          </w:tcPr>
          <w:p>
            <w:pPr>
              <w:spacing w:after="0"/>
              <w:rPr>
                <w:sz w:val="1"/>
                <w:szCs w:val="1"/>
                <w:color w:val="auto"/>
              </w:rPr>
            </w:pPr>
          </w:p>
        </w:tc>
      </w:tr>
      <w:tr>
        <w:trPr>
          <w:trHeight w:val="157"/>
        </w:trPr>
        <w:tc>
          <w:tcPr>
            <w:tcW w:w="38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Enterprise Payments:</w:t>
            </w:r>
          </w:p>
        </w:tc>
        <w:tc>
          <w:tcPr>
            <w:tcW w:w="40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8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Revenue</w:t>
            </w:r>
          </w:p>
        </w:tc>
        <w:tc>
          <w:tcPr>
            <w:tcW w:w="5020" w:type="dxa"/>
            <w:vAlign w:val="bottom"/>
            <w:gridSpan w:val="2"/>
          </w:tcPr>
          <w:p>
            <w:pPr>
              <w:jc w:val="right"/>
              <w:ind w:right="82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40,853</w:t>
            </w:r>
          </w:p>
        </w:tc>
        <w:tc>
          <w:tcPr>
            <w:tcW w:w="60" w:type="dxa"/>
            <w:vAlign w:val="bottom"/>
          </w:tcPr>
          <w:p>
            <w:pPr>
              <w:spacing w:after="0"/>
              <w:rPr>
                <w:sz w:val="13"/>
                <w:szCs w:val="13"/>
                <w:color w:val="auto"/>
              </w:rPr>
            </w:pPr>
          </w:p>
        </w:tc>
        <w:tc>
          <w:tcPr>
            <w:tcW w:w="940" w:type="dxa"/>
            <w:vAlign w:val="bottom"/>
          </w:tcPr>
          <w:p>
            <w:pPr>
              <w:jc w:val="right"/>
              <w:ind w:right="800"/>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27,309</w:t>
            </w:r>
          </w:p>
        </w:tc>
        <w:tc>
          <w:tcPr>
            <w:tcW w:w="0" w:type="dxa"/>
            <w:vAlign w:val="bottom"/>
          </w:tcPr>
          <w:p>
            <w:pPr>
              <w:spacing w:after="0"/>
              <w:rPr>
                <w:sz w:val="1"/>
                <w:szCs w:val="1"/>
                <w:color w:val="auto"/>
              </w:rPr>
            </w:pPr>
          </w:p>
        </w:tc>
      </w:tr>
      <w:tr>
        <w:trPr>
          <w:trHeight w:val="155"/>
        </w:trPr>
        <w:tc>
          <w:tcPr>
            <w:tcW w:w="38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Operating expenses</w:t>
            </w:r>
          </w:p>
        </w:tc>
        <w:tc>
          <w:tcPr>
            <w:tcW w:w="406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15,306</w:t>
            </w:r>
          </w:p>
        </w:tc>
        <w:tc>
          <w:tcPr>
            <w:tcW w:w="6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14,646</w:t>
            </w:r>
          </w:p>
        </w:tc>
        <w:tc>
          <w:tcPr>
            <w:tcW w:w="0" w:type="dxa"/>
            <w:vAlign w:val="bottom"/>
          </w:tcPr>
          <w:p>
            <w:pPr>
              <w:spacing w:after="0"/>
              <w:rPr>
                <w:sz w:val="1"/>
                <w:szCs w:val="1"/>
                <w:color w:val="auto"/>
              </w:rPr>
            </w:pPr>
          </w:p>
        </w:tc>
      </w:tr>
      <w:tr>
        <w:trPr>
          <w:trHeight w:val="142"/>
        </w:trPr>
        <w:tc>
          <w:tcPr>
            <w:tcW w:w="388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Operating income</w:t>
            </w:r>
          </w:p>
        </w:tc>
        <w:tc>
          <w:tcPr>
            <w:tcW w:w="4060" w:type="dxa"/>
            <w:vAlign w:val="bottom"/>
          </w:tcPr>
          <w:p>
            <w:pPr>
              <w:spacing w:after="0"/>
              <w:rPr>
                <w:sz w:val="12"/>
                <w:szCs w:val="12"/>
                <w:color w:val="auto"/>
              </w:rPr>
            </w:pPr>
          </w:p>
        </w:tc>
        <w:tc>
          <w:tcPr>
            <w:tcW w:w="960" w:type="dxa"/>
            <w:vAlign w:val="bottom"/>
            <w:tcBorders>
              <w:bottom w:val="single" w:sz="8" w:color="auto"/>
            </w:tcBorders>
          </w:tcPr>
          <w:p>
            <w:pPr>
              <w:jc w:val="right"/>
              <w:ind w:right="8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25,547</w:t>
            </w:r>
          </w:p>
        </w:tc>
        <w:tc>
          <w:tcPr>
            <w:tcW w:w="60" w:type="dxa"/>
            <w:vAlign w:val="bottom"/>
          </w:tcPr>
          <w:p>
            <w:pPr>
              <w:spacing w:after="0"/>
              <w:rPr>
                <w:sz w:val="12"/>
                <w:szCs w:val="12"/>
                <w:color w:val="auto"/>
              </w:rPr>
            </w:pPr>
          </w:p>
        </w:tc>
        <w:tc>
          <w:tcPr>
            <w:tcW w:w="940" w:type="dxa"/>
            <w:vAlign w:val="bottom"/>
            <w:tcBorders>
              <w:bottom w:val="single" w:sz="8" w:color="auto"/>
            </w:tcBorders>
          </w:tcPr>
          <w:p>
            <w:pPr>
              <w:jc w:val="right"/>
              <w:ind w:right="8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12,663</w:t>
            </w:r>
          </w:p>
        </w:tc>
        <w:tc>
          <w:tcPr>
            <w:tcW w:w="0" w:type="dxa"/>
            <w:vAlign w:val="bottom"/>
          </w:tcPr>
          <w:p>
            <w:pPr>
              <w:spacing w:after="0"/>
              <w:rPr>
                <w:sz w:val="1"/>
                <w:szCs w:val="1"/>
                <w:color w:val="auto"/>
              </w:rPr>
            </w:pPr>
          </w:p>
        </w:tc>
      </w:tr>
      <w:tr>
        <w:trPr>
          <w:trHeight w:val="20"/>
        </w:trPr>
        <w:tc>
          <w:tcPr>
            <w:tcW w:w="388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auto"/>
              </w:rPr>
              <w:t>Operating margin</w:t>
            </w:r>
          </w:p>
        </w:tc>
        <w:tc>
          <w:tcPr>
            <w:tcW w:w="40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880" w:type="dxa"/>
            <w:vAlign w:val="bottom"/>
            <w:vMerge w:val="continue"/>
          </w:tcPr>
          <w:p>
            <w:pPr>
              <w:spacing w:after="0"/>
              <w:rPr>
                <w:sz w:val="11"/>
                <w:szCs w:val="11"/>
                <w:color w:val="auto"/>
              </w:rPr>
            </w:pPr>
          </w:p>
        </w:tc>
        <w:tc>
          <w:tcPr>
            <w:tcW w:w="40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0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62.5 %</w:t>
            </w: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8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46.4 %</w:t>
            </w:r>
          </w:p>
        </w:tc>
        <w:tc>
          <w:tcPr>
            <w:tcW w:w="0" w:type="dxa"/>
            <w:vAlign w:val="bottom"/>
          </w:tcPr>
          <w:p>
            <w:pPr>
              <w:spacing w:after="0"/>
              <w:rPr>
                <w:sz w:val="1"/>
                <w:szCs w:val="1"/>
                <w:color w:val="auto"/>
              </w:rPr>
            </w:pPr>
          </w:p>
        </w:tc>
      </w:tr>
      <w:tr>
        <w:trPr>
          <w:trHeight w:val="153"/>
        </w:trPr>
        <w:tc>
          <w:tcPr>
            <w:tcW w:w="38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5020" w:type="dxa"/>
            <w:vAlign w:val="bottom"/>
            <w:gridSpan w:val="2"/>
          </w:tcPr>
          <w:p>
            <w:pPr>
              <w:jc w:val="right"/>
              <w:ind w:right="82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4,356</w:t>
            </w:r>
          </w:p>
        </w:tc>
        <w:tc>
          <w:tcPr>
            <w:tcW w:w="60" w:type="dxa"/>
            <w:vAlign w:val="bottom"/>
          </w:tcPr>
          <w:p>
            <w:pPr>
              <w:spacing w:after="0"/>
              <w:rPr>
                <w:sz w:val="13"/>
                <w:szCs w:val="13"/>
                <w:color w:val="auto"/>
              </w:rPr>
            </w:pPr>
          </w:p>
        </w:tc>
        <w:tc>
          <w:tcPr>
            <w:tcW w:w="940" w:type="dxa"/>
            <w:vAlign w:val="bottom"/>
          </w:tcPr>
          <w:p>
            <w:pPr>
              <w:jc w:val="right"/>
              <w:ind w:right="800"/>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6,690</w:t>
            </w:r>
          </w:p>
        </w:tc>
        <w:tc>
          <w:tcPr>
            <w:tcW w:w="0" w:type="dxa"/>
            <w:vAlign w:val="bottom"/>
          </w:tcPr>
          <w:p>
            <w:pPr>
              <w:spacing w:after="0"/>
              <w:rPr>
                <w:sz w:val="1"/>
                <w:szCs w:val="1"/>
                <w:color w:val="auto"/>
              </w:rPr>
            </w:pPr>
          </w:p>
        </w:tc>
      </w:tr>
      <w:tr>
        <w:trPr>
          <w:trHeight w:val="153"/>
        </w:trPr>
        <w:tc>
          <w:tcPr>
            <w:tcW w:w="3880" w:type="dxa"/>
            <w:vAlign w:val="bottom"/>
          </w:tcPr>
          <w:p>
            <w:pPr>
              <w:spacing w:after="0"/>
              <w:rPr>
                <w:sz w:val="20"/>
                <w:szCs w:val="20"/>
                <w:color w:val="auto"/>
              </w:rPr>
            </w:pPr>
            <w:r>
              <w:rPr>
                <w:rFonts w:ascii="Times New Roman" w:cs="Times New Roman" w:eastAsia="Times New Roman" w:hAnsi="Times New Roman"/>
                <w:sz w:val="12"/>
                <w:szCs w:val="12"/>
                <w:color w:val="auto"/>
              </w:rPr>
              <w:t>Key indicators:</w:t>
            </w:r>
          </w:p>
        </w:tc>
        <w:tc>
          <w:tcPr>
            <w:tcW w:w="40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8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Average billed clients</w:t>
            </w:r>
          </w:p>
        </w:tc>
        <w:tc>
          <w:tcPr>
            <w:tcW w:w="40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703,887</w:t>
            </w:r>
          </w:p>
        </w:tc>
        <w:tc>
          <w:tcPr>
            <w:tcW w:w="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465,219</w:t>
            </w:r>
          </w:p>
        </w:tc>
        <w:tc>
          <w:tcPr>
            <w:tcW w:w="0" w:type="dxa"/>
            <w:vAlign w:val="bottom"/>
          </w:tcPr>
          <w:p>
            <w:pPr>
              <w:spacing w:after="0"/>
              <w:rPr>
                <w:sz w:val="1"/>
                <w:szCs w:val="1"/>
                <w:color w:val="auto"/>
              </w:rPr>
            </w:pPr>
          </w:p>
        </w:tc>
      </w:tr>
      <w:tr>
        <w:trPr>
          <w:trHeight w:val="155"/>
        </w:trPr>
        <w:tc>
          <w:tcPr>
            <w:tcW w:w="38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Average monthly new enrollments</w:t>
            </w:r>
          </w:p>
        </w:tc>
        <w:tc>
          <w:tcPr>
            <w:tcW w:w="40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53,551</w:t>
            </w:r>
          </w:p>
        </w:tc>
        <w:tc>
          <w:tcPr>
            <w:tcW w:w="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45,948</w:t>
            </w:r>
          </w:p>
        </w:tc>
        <w:tc>
          <w:tcPr>
            <w:tcW w:w="0" w:type="dxa"/>
            <w:vAlign w:val="bottom"/>
          </w:tcPr>
          <w:p>
            <w:pPr>
              <w:spacing w:after="0"/>
              <w:rPr>
                <w:sz w:val="1"/>
                <w:szCs w:val="1"/>
                <w:color w:val="auto"/>
              </w:rPr>
            </w:pPr>
          </w:p>
        </w:tc>
      </w:tr>
      <w:tr>
        <w:trPr>
          <w:trHeight w:val="322"/>
        </w:trPr>
        <w:tc>
          <w:tcPr>
            <w:tcW w:w="38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Operating income of reportable segments</w:t>
            </w:r>
          </w:p>
        </w:tc>
        <w:tc>
          <w:tcPr>
            <w:tcW w:w="5020" w:type="dxa"/>
            <w:vAlign w:val="bottom"/>
            <w:gridSpan w:val="2"/>
          </w:tcPr>
          <w:p>
            <w:pPr>
              <w:jc w:val="right"/>
              <w:ind w:right="82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37,137</w:t>
            </w:r>
          </w:p>
        </w:tc>
        <w:tc>
          <w:tcPr>
            <w:tcW w:w="60" w:type="dxa"/>
            <w:vAlign w:val="bottom"/>
          </w:tcPr>
          <w:p>
            <w:pPr>
              <w:spacing w:after="0"/>
              <w:rPr>
                <w:sz w:val="24"/>
                <w:szCs w:val="24"/>
                <w:color w:val="auto"/>
              </w:rPr>
            </w:pPr>
          </w:p>
        </w:tc>
        <w:tc>
          <w:tcPr>
            <w:tcW w:w="940" w:type="dxa"/>
            <w:vAlign w:val="bottom"/>
          </w:tcPr>
          <w:p>
            <w:pPr>
              <w:jc w:val="right"/>
              <w:ind w:right="800"/>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23,825</w:t>
            </w:r>
          </w:p>
        </w:tc>
        <w:tc>
          <w:tcPr>
            <w:tcW w:w="0" w:type="dxa"/>
            <w:vAlign w:val="bottom"/>
          </w:tcPr>
          <w:p>
            <w:pPr>
              <w:spacing w:after="0"/>
              <w:rPr>
                <w:sz w:val="1"/>
                <w:szCs w:val="1"/>
                <w:color w:val="auto"/>
              </w:rPr>
            </w:pPr>
          </w:p>
        </w:tc>
      </w:tr>
      <w:tr>
        <w:trPr>
          <w:trHeight w:val="155"/>
        </w:trPr>
        <w:tc>
          <w:tcPr>
            <w:tcW w:w="38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Less: Corporate expense</w:t>
            </w:r>
          </w:p>
        </w:tc>
        <w:tc>
          <w:tcPr>
            <w:tcW w:w="406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(9,114)</w:t>
            </w:r>
          </w:p>
        </w:tc>
        <w:tc>
          <w:tcPr>
            <w:tcW w:w="6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(6,977)</w:t>
            </w:r>
          </w:p>
        </w:tc>
        <w:tc>
          <w:tcPr>
            <w:tcW w:w="0" w:type="dxa"/>
            <w:vAlign w:val="bottom"/>
          </w:tcPr>
          <w:p>
            <w:pPr>
              <w:spacing w:after="0"/>
              <w:rPr>
                <w:sz w:val="1"/>
                <w:szCs w:val="1"/>
                <w:color w:val="auto"/>
              </w:rPr>
            </w:pPr>
          </w:p>
        </w:tc>
      </w:tr>
      <w:tr>
        <w:trPr>
          <w:trHeight w:val="142"/>
        </w:trPr>
        <w:tc>
          <w:tcPr>
            <w:tcW w:w="38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Consolidated operating income</w:t>
            </w:r>
          </w:p>
        </w:tc>
        <w:tc>
          <w:tcPr>
            <w:tcW w:w="4060" w:type="dxa"/>
            <w:vAlign w:val="bottom"/>
          </w:tcPr>
          <w:p>
            <w:pPr>
              <w:spacing w:after="0"/>
              <w:rPr>
                <w:sz w:val="12"/>
                <w:szCs w:val="12"/>
                <w:color w:val="auto"/>
              </w:rPr>
            </w:pPr>
          </w:p>
        </w:tc>
        <w:tc>
          <w:tcPr>
            <w:tcW w:w="960" w:type="dxa"/>
            <w:vAlign w:val="bottom"/>
            <w:tcBorders>
              <w:bottom w:val="single" w:sz="8" w:color="auto"/>
            </w:tcBorders>
          </w:tcPr>
          <w:p>
            <w:pPr>
              <w:jc w:val="right"/>
              <w:ind w:right="8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28,023</w:t>
            </w:r>
          </w:p>
        </w:tc>
        <w:tc>
          <w:tcPr>
            <w:tcW w:w="60" w:type="dxa"/>
            <w:vAlign w:val="bottom"/>
          </w:tcPr>
          <w:p>
            <w:pPr>
              <w:spacing w:after="0"/>
              <w:rPr>
                <w:sz w:val="12"/>
                <w:szCs w:val="12"/>
                <w:color w:val="auto"/>
              </w:rPr>
            </w:pPr>
          </w:p>
        </w:tc>
        <w:tc>
          <w:tcPr>
            <w:tcW w:w="940" w:type="dxa"/>
            <w:vAlign w:val="bottom"/>
            <w:tcBorders>
              <w:bottom w:val="single" w:sz="8" w:color="auto"/>
            </w:tcBorders>
          </w:tcPr>
          <w:p>
            <w:pPr>
              <w:jc w:val="right"/>
              <w:ind w:right="8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16,848</w:t>
            </w: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Corporate depreciation and amortization</w:t>
            </w:r>
          </w:p>
        </w:tc>
        <w:tc>
          <w:tcPr>
            <w:tcW w:w="40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3880" w:type="dxa"/>
            <w:vAlign w:val="bottom"/>
            <w:vMerge w:val="continue"/>
          </w:tcPr>
          <w:p>
            <w:pPr>
              <w:spacing w:after="0"/>
              <w:rPr>
                <w:sz w:val="11"/>
                <w:szCs w:val="11"/>
                <w:color w:val="auto"/>
              </w:rPr>
            </w:pPr>
          </w:p>
        </w:tc>
        <w:tc>
          <w:tcPr>
            <w:tcW w:w="4060" w:type="dxa"/>
            <w:vAlign w:val="bottom"/>
          </w:tcPr>
          <w:p>
            <w:pPr>
              <w:spacing w:after="0"/>
              <w:rPr>
                <w:sz w:val="11"/>
                <w:szCs w:val="11"/>
                <w:color w:val="auto"/>
              </w:rPr>
            </w:pPr>
          </w:p>
        </w:tc>
        <w:tc>
          <w:tcPr>
            <w:tcW w:w="960" w:type="dxa"/>
            <w:vAlign w:val="bottom"/>
          </w:tcPr>
          <w:p>
            <w:pPr>
              <w:jc w:val="right"/>
              <w:ind w:right="820"/>
              <w:spacing w:after="0" w:line="131" w:lineRule="exact"/>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Pr>
          <w:p>
            <w:pPr>
              <w:jc w:val="right"/>
              <w:ind w:right="100"/>
              <w:spacing w:after="0" w:line="131" w:lineRule="exact"/>
              <w:rPr>
                <w:sz w:val="20"/>
                <w:szCs w:val="20"/>
                <w:color w:val="auto"/>
              </w:rPr>
            </w:pPr>
            <w:r>
              <w:rPr>
                <w:rFonts w:ascii="Times New Roman" w:cs="Times New Roman" w:eastAsia="Times New Roman" w:hAnsi="Times New Roman"/>
                <w:sz w:val="12"/>
                <w:szCs w:val="12"/>
                <w:color w:val="auto"/>
              </w:rPr>
              <w:t>455</w:t>
            </w:r>
          </w:p>
        </w:tc>
        <w:tc>
          <w:tcPr>
            <w:tcW w:w="60" w:type="dxa"/>
            <w:vAlign w:val="bottom"/>
          </w:tcPr>
          <w:p>
            <w:pPr>
              <w:spacing w:after="0"/>
              <w:rPr>
                <w:sz w:val="11"/>
                <w:szCs w:val="11"/>
                <w:color w:val="auto"/>
              </w:rPr>
            </w:pPr>
          </w:p>
        </w:tc>
        <w:tc>
          <w:tcPr>
            <w:tcW w:w="940" w:type="dxa"/>
            <w:vAlign w:val="bottom"/>
          </w:tcPr>
          <w:p>
            <w:pPr>
              <w:jc w:val="right"/>
              <w:ind w:right="800"/>
              <w:spacing w:after="0" w:line="131" w:lineRule="exact"/>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Pr>
          <w:p>
            <w:pPr>
              <w:jc w:val="right"/>
              <w:ind w:right="80"/>
              <w:spacing w:after="0" w:line="131" w:lineRule="exact"/>
              <w:rPr>
                <w:sz w:val="20"/>
                <w:szCs w:val="20"/>
                <w:color w:val="auto"/>
              </w:rPr>
            </w:pPr>
            <w:r>
              <w:rPr>
                <w:rFonts w:ascii="Times New Roman" w:cs="Times New Roman" w:eastAsia="Times New Roman" w:hAnsi="Times New Roman"/>
                <w:sz w:val="12"/>
                <w:szCs w:val="12"/>
                <w:color w:val="auto"/>
              </w:rPr>
              <w:t>387</w:t>
            </w:r>
          </w:p>
        </w:tc>
        <w:tc>
          <w:tcPr>
            <w:tcW w:w="0" w:type="dxa"/>
            <w:vAlign w:val="bottom"/>
          </w:tcPr>
          <w:p>
            <w:pPr>
              <w:spacing w:after="0"/>
              <w:rPr>
                <w:sz w:val="1"/>
                <w:szCs w:val="1"/>
                <w:color w:val="auto"/>
              </w:rPr>
            </w:pPr>
          </w:p>
        </w:tc>
      </w:tr>
      <w:tr>
        <w:trPr>
          <w:trHeight w:val="880"/>
        </w:trPr>
        <w:tc>
          <w:tcPr>
            <w:tcW w:w="3880" w:type="dxa"/>
            <w:vAlign w:val="bottom"/>
          </w:tcPr>
          <w:p>
            <w:pPr>
              <w:spacing w:after="0"/>
              <w:rPr>
                <w:sz w:val="24"/>
                <w:szCs w:val="24"/>
                <w:color w:val="auto"/>
              </w:rPr>
            </w:pPr>
          </w:p>
        </w:tc>
        <w:tc>
          <w:tcPr>
            <w:tcW w:w="4060" w:type="dxa"/>
            <w:vAlign w:val="bottom"/>
          </w:tcPr>
          <w:p>
            <w:pPr>
              <w:jc w:val="right"/>
              <w:ind w:right="2200"/>
              <w:spacing w:after="0"/>
              <w:rPr>
                <w:sz w:val="20"/>
                <w:szCs w:val="20"/>
                <w:color w:val="auto"/>
              </w:rPr>
            </w:pPr>
            <w:r>
              <w:rPr>
                <w:rFonts w:ascii="Times New Roman" w:cs="Times New Roman" w:eastAsia="Times New Roman" w:hAnsi="Times New Roman"/>
                <w:sz w:val="12"/>
                <w:szCs w:val="12"/>
                <w:color w:val="auto"/>
              </w:rPr>
              <w:t>9</w:t>
            </w:r>
          </w:p>
        </w:tc>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296" w:right="319" w:bottom="1440"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2024-05-09T06:55:31Z</dcterms:created>
  <dcterms:modified xsi:type="dcterms:W3CDTF">2024-05-09T06:55:31Z</dcterms:modified>
</cp:coreProperties>
</file>