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10, 2018</w:t>
      </w:r>
    </w:p>
    <w:p>
      <w:pPr>
        <w:spacing w:after="0" w:line="27" w:lineRule="exact"/>
        <w:rPr>
          <w:sz w:val="24"/>
          <w:szCs w:val="24"/>
          <w:color w:val="auto"/>
        </w:rPr>
      </w:pPr>
    </w:p>
    <w:p>
      <w:pPr>
        <w:ind w:left="9160"/>
        <w:spacing w:after="0"/>
        <w:rPr>
          <w:sz w:val="20"/>
          <w:szCs w:val="20"/>
          <w:color w:val="auto"/>
        </w:rPr>
      </w:pPr>
      <w:r>
        <w:rPr>
          <w:rFonts w:ascii="Arial" w:cs="Arial" w:eastAsia="Arial" w:hAnsi="Arial"/>
          <w:sz w:val="16"/>
          <w:szCs w:val="16"/>
          <w:b w:val="1"/>
          <w:bCs w:val="1"/>
          <w:color w:val="auto"/>
        </w:rPr>
        <w:t>Registration No. 333-226713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S-3</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Priority Technology Holdings,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5160" w:type="dxa"/>
            <w:vAlign w:val="bottom"/>
          </w:tcPr>
          <w:p>
            <w:pPr>
              <w:jc w:val="center"/>
              <w:ind w:right="2670"/>
              <w:spacing w:after="0"/>
              <w:rPr>
                <w:sz w:val="20"/>
                <w:szCs w:val="20"/>
                <w:color w:val="auto"/>
              </w:rPr>
            </w:pPr>
            <w:r>
              <w:rPr>
                <w:rFonts w:ascii="Arial" w:cs="Arial" w:eastAsia="Arial" w:hAnsi="Arial"/>
                <w:sz w:val="18"/>
                <w:szCs w:val="18"/>
                <w:b w:val="1"/>
                <w:bCs w:val="1"/>
                <w:color w:val="auto"/>
                <w:w w:val="91"/>
              </w:rPr>
              <w:t>Delaware</w:t>
            </w:r>
          </w:p>
        </w:tc>
        <w:tc>
          <w:tcPr>
            <w:tcW w:w="4560" w:type="dxa"/>
            <w:vAlign w:val="bottom"/>
          </w:tcPr>
          <w:p>
            <w:pPr>
              <w:jc w:val="right"/>
              <w:ind w:right="330"/>
              <w:spacing w:after="0"/>
              <w:rPr>
                <w:sz w:val="20"/>
                <w:szCs w:val="20"/>
                <w:color w:val="auto"/>
              </w:rPr>
            </w:pPr>
            <w:r>
              <w:rPr>
                <w:rFonts w:ascii="Arial" w:cs="Arial" w:eastAsia="Arial" w:hAnsi="Arial"/>
                <w:sz w:val="18"/>
                <w:szCs w:val="18"/>
                <w:b w:val="1"/>
                <w:bCs w:val="1"/>
                <w:color w:val="auto"/>
              </w:rPr>
              <w:t>47-4257046</w:t>
            </w:r>
          </w:p>
        </w:tc>
      </w:tr>
      <w:tr>
        <w:trPr>
          <w:trHeight w:val="216"/>
        </w:trPr>
        <w:tc>
          <w:tcPr>
            <w:tcW w:w="5160" w:type="dxa"/>
            <w:vAlign w:val="bottom"/>
          </w:tcPr>
          <w:p>
            <w:pPr>
              <w:jc w:val="center"/>
              <w:ind w:right="2650"/>
              <w:spacing w:after="0"/>
              <w:rPr>
                <w:sz w:val="20"/>
                <w:szCs w:val="20"/>
                <w:color w:val="auto"/>
              </w:rPr>
            </w:pPr>
            <w:r>
              <w:rPr>
                <w:rFonts w:ascii="Arial" w:cs="Arial" w:eastAsia="Arial" w:hAnsi="Arial"/>
                <w:sz w:val="18"/>
                <w:szCs w:val="18"/>
                <w:b w:val="1"/>
                <w:bCs w:val="1"/>
                <w:color w:val="auto"/>
                <w:w w:val="91"/>
              </w:rPr>
              <w:t>(State or other jurisdiction of</w:t>
            </w:r>
          </w:p>
        </w:tc>
        <w:tc>
          <w:tcPr>
            <w:tcW w:w="4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160" w:type="dxa"/>
            <w:vAlign w:val="bottom"/>
          </w:tcPr>
          <w:p>
            <w:pPr>
              <w:jc w:val="center"/>
              <w:ind w:right="2710"/>
              <w:spacing w:after="0"/>
              <w:rPr>
                <w:sz w:val="20"/>
                <w:szCs w:val="20"/>
                <w:color w:val="auto"/>
              </w:rPr>
            </w:pPr>
            <w:r>
              <w:rPr>
                <w:rFonts w:ascii="Arial" w:cs="Arial" w:eastAsia="Arial" w:hAnsi="Arial"/>
                <w:sz w:val="18"/>
                <w:szCs w:val="18"/>
                <w:b w:val="1"/>
                <w:bCs w:val="1"/>
                <w:color w:val="auto"/>
                <w:w w:val="91"/>
              </w:rPr>
              <w:t>incorporation or organization)</w:t>
            </w:r>
          </w:p>
        </w:tc>
        <w:tc>
          <w:tcPr>
            <w:tcW w:w="4560" w:type="dxa"/>
            <w:vAlign w:val="bottom"/>
          </w:tcPr>
          <w:p>
            <w:pPr>
              <w:ind w:left="2780"/>
              <w:spacing w:after="0"/>
              <w:rPr>
                <w:sz w:val="20"/>
                <w:szCs w:val="20"/>
                <w:color w:val="auto"/>
              </w:rPr>
            </w:pPr>
            <w:r>
              <w:rPr>
                <w:rFonts w:ascii="Arial" w:cs="Arial" w:eastAsia="Arial" w:hAnsi="Arial"/>
                <w:sz w:val="18"/>
                <w:szCs w:val="18"/>
                <w:b w:val="1"/>
                <w:bCs w:val="1"/>
                <w:color w:val="auto"/>
                <w:w w:val="92"/>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2001 Westside Parkway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Alpharetta, GA 30004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935-5961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Christopher Prince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2001 Westside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Alpharetta, GA 30004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935-5961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Mahon,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Schulte Roth &amp; Zabel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Phone: (212) 756-2000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(212) 593-5955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39"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6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3"/>
              </w:rPr>
              <w:t>Large accelerated filer</w:t>
            </w:r>
          </w:p>
        </w:tc>
        <w:tc>
          <w:tcPr>
            <w:tcW w:w="55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940"/>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556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960" w:type="dxa"/>
            <w:vAlign w:val="bottom"/>
          </w:tcPr>
          <w:p>
            <w:pPr>
              <w:ind w:left="1940"/>
              <w:spacing w:after="0"/>
              <w:rPr>
                <w:sz w:val="20"/>
                <w:szCs w:val="20"/>
                <w:color w:val="auto"/>
              </w:rPr>
            </w:pPr>
            <w:r>
              <w:rPr>
                <w:rFonts w:ascii="Arial" w:cs="Arial" w:eastAsia="Arial" w:hAnsi="Arial"/>
                <w:sz w:val="18"/>
                <w:szCs w:val="18"/>
                <w:color w:val="auto"/>
                <w:w w:val="92"/>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960" w:type="dxa"/>
            <w:vAlign w:val="bottom"/>
          </w:tcPr>
          <w:p>
            <w:pPr>
              <w:ind w:left="1940"/>
              <w:spacing w:after="0"/>
              <w:rPr>
                <w:sz w:val="20"/>
                <w:szCs w:val="20"/>
                <w:color w:val="auto"/>
              </w:rPr>
            </w:pPr>
            <w:r>
              <w:rPr>
                <w:rFonts w:ascii="Arial" w:cs="Arial" w:eastAsia="Arial" w:hAnsi="Arial"/>
                <w:sz w:val="18"/>
                <w:szCs w:val="18"/>
                <w:color w:val="auto"/>
                <w:w w:val="93"/>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420"/>
          </w:cols>
          <w:pgMar w:left="240" w:top="472" w:right="239" w:bottom="56" w:gutter="0" w:footer="0" w:header="0"/>
        </w:sectPr>
      </w:pPr>
    </w:p>
    <w:bookmarkStart w:id="1" w:name="page2"/>
    <w:bookmarkEnd w:id="1"/>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580" w:type="dxa"/>
            <w:vAlign w:val="bottom"/>
            <w:tcBorders>
              <w:top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68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Each Class of</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6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20" w:type="dxa"/>
            <w:vAlign w:val="bottom"/>
          </w:tcPr>
          <w:p>
            <w:pPr>
              <w:spacing w:after="0"/>
              <w:rPr>
                <w:sz w:val="20"/>
                <w:szCs w:val="20"/>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 Unit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16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1,500,000(1)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$11.10(2)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$16,650,000</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$2,072.94(3)</w:t>
            </w:r>
          </w:p>
        </w:tc>
      </w:tr>
      <w:tr>
        <w:trPr>
          <w:trHeight w:val="21"/>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340" w:right="160" w:hanging="332"/>
        <w:spacing w:after="0" w:line="26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the event of a stock split, reverse stock split, stock dividend or similar transaction involving our common stock, the number of shares registered shall automatically be adjusted to cover the additional shares of our common stock issuable pursuant to Rule 416 under the Securities Act.</w:t>
      </w:r>
    </w:p>
    <w:p>
      <w:pPr>
        <w:ind w:left="340" w:right="18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457(c) under the Securities Act, based on the average of the high and low prices of the common stock on August 7, 2018, as reported on the Nasdaq. The proposed maximum offering price per share of common stock will be determined from time to time by the selling stockholders in connection with, and at the time of, the sale of the securities registered hereunder.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25" w:lineRule="exact"/>
        <w:rPr>
          <w:sz w:val="20"/>
          <w:szCs w:val="20"/>
          <w:color w:val="auto"/>
        </w:rPr>
      </w:pPr>
    </w:p>
    <w:p>
      <w:pPr>
        <w:ind w:right="280"/>
        <w:spacing w:after="0" w:line="289" w:lineRule="auto"/>
        <w:rPr>
          <w:sz w:val="20"/>
          <w:szCs w:val="20"/>
          <w:color w:val="auto"/>
        </w:rPr>
      </w:pPr>
      <w:r>
        <w:rPr>
          <w:rFonts w:ascii="Arial" w:cs="Arial" w:eastAsia="Arial" w:hAnsi="Arial"/>
          <w:sz w:val="19"/>
          <w:szCs w:val="19"/>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575310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both"/>
        <w:spacing w:after="0" w:line="289" w:lineRule="auto"/>
        <w:rPr>
          <w:sz w:val="20"/>
          <w:szCs w:val="20"/>
          <w:color w:val="auto"/>
        </w:rPr>
      </w:pPr>
      <w:r>
        <w:rPr>
          <w:rFonts w:ascii="Arial" w:cs="Arial" w:eastAsia="Arial" w:hAnsi="Arial"/>
          <w:sz w:val="17"/>
          <w:szCs w:val="17"/>
          <w:b w:val="1"/>
          <w:bCs w:val="1"/>
          <w:color w:val="FF0000"/>
        </w:rPr>
        <w:t>The information in this prospectus is not complete and may be changed. We may not sell these securities until the registration statement relating to these securities that has been filed with the Securities and Exchange Commission is effective. This prospectus is not an offer to sell these securities and it is not soliciting an offer to buy these securities in any state where the offer or sale is not permitted.</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FF0000"/>
        </w:rPr>
        <w:t>(Subject to Completion, Dated August 10,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154940</wp:posOffset>
            </wp:positionV>
            <wp:extent cx="3001645"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16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Priority Technology Holdings, Inc.</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selling stockholders identified herein may offer to sell shares of our common stock, par value $0.001 per share, from time to time in amounts, at prices and on terms that will be determined at the time of any such offering as described under “Plan of Distribution”.</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prospectus describes some of the general terms that may apply to these securities. Each time that the selling stockholders offer any securities using this prospectus, we will provide a prospectus supplement and attach it to this prospectus. The prospectus supplement or a free writing prospectus will contain more specific information about the offering and the securities being offered, including identifying the selling stockholders as well as the specific amounts, prices and terms of the securities being offered. The prospectus supplement or free writing prospectus may also add, update or change information contained in this prospectus. This prospectus may not be used to sell securities unless accompanied by a prospectus supplement identifying the selling stockholders and describing the method and terms of the offering.</w:t>
      </w:r>
    </w:p>
    <w:p>
      <w:pPr>
        <w:spacing w:after="0" w:line="17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selling stockholders may sell the shares of common stock described in this prospectus in a number of different ways and at varying prices. We provide more information about how the selling stockholders may sell their shares of common stock in the section entitled “Plan of Distribution” on page 8. The selling stockholders will bear all commissions and discounts, if any, attributable to the sale or disposition of the shares, or interests therein.</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will bear all costs, expenses and fees in connection with the registration of the shares other than any underwriting discounts or commissions. We will not receive any of the proceeds from the sale of shares by the selling stockholders.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common stock is listed and traded on the NASDAQ Capital Market (“NASDAQ”) under the symbol “PRTH.” On August 9, 2018, the last reported sales price for our common stock was $10.95 per share.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You should carefully read this prospectus and any applicable prospectus supplement and free writing prospectus, together with any documents we incorporate by reference,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 w:name="page4"/>
    <w:bookmarkEnd w:id="3"/>
    <w:p>
      <w:pPr>
        <w:ind w:right="2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carefully consider the risk factors referred to in the section titled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5 of this prospectus, in any prospectus supplement and free writing prospectus, together with the documents incorporated or deemed incorporated by reference before you make your investment decision.</w:t>
      </w:r>
    </w:p>
    <w:p>
      <w:pPr>
        <w:spacing w:after="0" w:line="176"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4100"/>
              <w:spacing w:after="0"/>
              <w:rPr>
                <w:sz w:val="20"/>
                <w:szCs w:val="20"/>
                <w:color w:val="auto"/>
              </w:rPr>
            </w:pPr>
            <w:r>
              <w:rPr>
                <w:rFonts w:ascii="Arial" w:cs="Arial" w:eastAsia="Arial" w:hAnsi="Arial"/>
                <w:sz w:val="18"/>
                <w:szCs w:val="18"/>
                <w:b w:val="1"/>
                <w:bCs w:val="1"/>
                <w:color w:val="auto"/>
                <w:w w:val="96"/>
              </w:rPr>
              <w:t>The date of this prospectus is</w:t>
            </w:r>
          </w:p>
        </w:tc>
        <w:tc>
          <w:tcPr>
            <w:tcW w:w="4840" w:type="dxa"/>
            <w:vAlign w:val="bottom"/>
          </w:tcPr>
          <w:p>
            <w:pPr>
              <w:jc w:val="right"/>
              <w:ind w:right="4010"/>
              <w:spacing w:after="0"/>
              <w:rPr>
                <w:sz w:val="20"/>
                <w:szCs w:val="20"/>
                <w:color w:val="auto"/>
              </w:rPr>
            </w:pPr>
            <w:r>
              <w:rPr>
                <w:rFonts w:ascii="Arial" w:cs="Arial" w:eastAsia="Arial" w:hAnsi="Arial"/>
                <w:sz w:val="18"/>
                <w:szCs w:val="18"/>
                <w:b w:val="1"/>
                <w:bCs w:val="1"/>
                <w:color w:val="auto"/>
              </w:rPr>
              <w:t>, 2018.</w:t>
            </w:r>
          </w:p>
        </w:tc>
      </w:tr>
      <w:tr>
        <w:trPr>
          <w:trHeight w:val="554"/>
        </w:trPr>
        <w:tc>
          <w:tcPr>
            <w:tcW w:w="65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0" w:type="dxa"/>
            <w:vAlign w:val="bottom"/>
            <w:gridSpan w:val="2"/>
          </w:tcPr>
          <w:p>
            <w:pPr>
              <w:jc w:val="right"/>
              <w:ind w:right="45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0" w:type="dxa"/>
            <w:vAlign w:val="bottom"/>
            <w:gridSpan w:val="2"/>
          </w:tcPr>
          <w:p>
            <w:pPr>
              <w:jc w:val="right"/>
              <w:ind w:right="510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432"/>
        </w:trPr>
        <w:tc>
          <w:tcPr>
            <w:tcW w:w="4320" w:type="dxa"/>
            <w:vAlign w:val="bottom"/>
            <w:gridSpan w:val="1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0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4320" w:type="dxa"/>
            <w:vAlign w:val="bottom"/>
            <w:gridSpan w:val="12"/>
            <w:vMerge w:val="continue"/>
          </w:tcPr>
          <w:p>
            <w:pPr>
              <w:spacing w:after="0"/>
              <w:rPr>
                <w:sz w:val="13"/>
                <w:szCs w:val="13"/>
                <w:color w:val="auto"/>
              </w:rPr>
            </w:pPr>
          </w:p>
        </w:tc>
        <w:tc>
          <w:tcPr>
            <w:tcW w:w="6620" w:type="dxa"/>
            <w:vAlign w:val="bottom"/>
          </w:tcPr>
          <w:p>
            <w:pPr>
              <w:spacing w:after="0"/>
              <w:rPr>
                <w:sz w:val="13"/>
                <w:szCs w:val="13"/>
                <w:color w:val="auto"/>
              </w:rPr>
            </w:pPr>
          </w:p>
        </w:tc>
        <w:tc>
          <w:tcPr>
            <w:tcW w:w="38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Special Note Regarding Forward-Looking Statements</w:t>
              </w:r>
            </w:hyperlink>
          </w:p>
        </w:tc>
        <w:tc>
          <w:tcPr>
            <w:tcW w:w="7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Our Company</w:t>
              </w:r>
            </w:hyperlink>
          </w:p>
        </w:tc>
        <w:tc>
          <w:tcPr>
            <w:tcW w:w="2840" w:type="dxa"/>
            <w:vAlign w:val="bottom"/>
            <w:tcBorders>
              <w:top w:val="single" w:sz="8" w:color="0000EE"/>
            </w:tcBorders>
            <w:gridSpan w:val="7"/>
          </w:tcPr>
          <w:p>
            <w:pPr>
              <w:spacing w:after="0"/>
              <w:rPr>
                <w:sz w:val="17"/>
                <w:szCs w:val="17"/>
                <w:color w:val="auto"/>
              </w:rPr>
            </w:pPr>
          </w:p>
        </w:tc>
        <w:tc>
          <w:tcPr>
            <w:tcW w:w="440" w:type="dxa"/>
            <w:vAlign w:val="bottom"/>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3400" w:type="dxa"/>
            <w:vAlign w:val="bottom"/>
            <w:gridSpan w:val="10"/>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Use of Proceeds</w:t>
              </w:r>
            </w:hyperlink>
          </w:p>
        </w:tc>
        <w:tc>
          <w:tcPr>
            <w:tcW w:w="3140" w:type="dxa"/>
            <w:vAlign w:val="bottom"/>
            <w:gridSpan w:val="7"/>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320" w:type="dxa"/>
            <w:vAlign w:val="bottom"/>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Selling Stockholders</w:t>
              </w:r>
            </w:hyperlink>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Capital Stock</w:t>
              </w:r>
            </w:hyperlink>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Plan of Distribution</w:t>
              </w:r>
            </w:hyperlink>
          </w:p>
        </w:tc>
        <w:tc>
          <w:tcPr>
            <w:tcW w:w="560" w:type="dxa"/>
            <w:vAlign w:val="bottom"/>
            <w:tcBorders>
              <w:top w:val="single" w:sz="8" w:color="0000EE"/>
            </w:tcBorders>
            <w:gridSpan w:val="2"/>
          </w:tcPr>
          <w:p>
            <w:pPr>
              <w:spacing w:after="0"/>
              <w:rPr>
                <w:sz w:val="17"/>
                <w:szCs w:val="17"/>
                <w:color w:val="auto"/>
              </w:rPr>
            </w:pPr>
          </w:p>
        </w:tc>
        <w:tc>
          <w:tcPr>
            <w:tcW w:w="2260" w:type="dxa"/>
            <w:vAlign w:val="bottom"/>
            <w:gridSpan w:val="4"/>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Legal Matters</w:t>
              </w:r>
            </w:hyperlink>
          </w:p>
        </w:tc>
        <w:tc>
          <w:tcPr>
            <w:tcW w:w="3300" w:type="dxa"/>
            <w:vAlign w:val="bottom"/>
            <w:gridSpan w:val="9"/>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Experts</w:t>
              </w:r>
            </w:hyperlink>
          </w:p>
        </w:tc>
        <w:tc>
          <w:tcPr>
            <w:tcW w:w="3760" w:type="dxa"/>
            <w:vAlign w:val="bottom"/>
            <w:gridSpan w:val="11"/>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Where You Can Find More Information</w:t>
              </w:r>
            </w:hyperlink>
          </w:p>
        </w:tc>
        <w:tc>
          <w:tcPr>
            <w:tcW w:w="1440" w:type="dxa"/>
            <w:vAlign w:val="bottom"/>
            <w:gridSpan w:val="2"/>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32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Information Incorporated By Reference</w:t>
              </w:r>
            </w:hyperlink>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
        <w:spacing w:after="0" w:line="290"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under the Securities Act of 1933, as amended (the “Securities Act”), using a “shelf” registration process. Under this shelf registration process, one or more selling stockholders may, from time to time, offer up to 1,500,000 shares of our common stock in one or more offerings. This prospectus provides you with a general description of the securities that the selling stockholders may offer. Any prospectus supplement and any free writing prospectus may contain more specific information about the offering, including the specific amounts, prices and terms of the securities being offered. A prospectus supplement may also add, update, change or clarify information contained in or incorporated by reference into this prospectus. Any statement that we make in this prospectus will be modified or superseded by any inconsistent statement made by us in a prospectus supplement. If there is any inconsistency between the information in this prospectus and the information in the prospectus supplement, you should rely on the information in the prospectus supplement.</w:t>
      </w:r>
    </w:p>
    <w:p>
      <w:pPr>
        <w:spacing w:after="0" w:line="166" w:lineRule="exact"/>
        <w:rPr>
          <w:sz w:val="20"/>
          <w:szCs w:val="20"/>
          <w:color w:val="auto"/>
        </w:rPr>
      </w:pPr>
    </w:p>
    <w:p>
      <w:pPr>
        <w:ind w:left="20"/>
        <w:spacing w:after="0" w:line="270" w:lineRule="auto"/>
        <w:rPr>
          <w:sz w:val="20"/>
          <w:szCs w:val="20"/>
          <w:color w:val="auto"/>
        </w:rPr>
      </w:pPr>
      <w:r>
        <w:rPr>
          <w:rFonts w:ascii="Arial" w:cs="Arial" w:eastAsia="Arial" w:hAnsi="Arial"/>
          <w:sz w:val="17"/>
          <w:szCs w:val="17"/>
          <w:color w:val="auto"/>
        </w:rPr>
        <w:t>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together with the additional information that is incorporated or deemed incorporated by reference in this prospectus as described under the heading “Information Incorporated by Reference” and any additional information described under the heading “Where You Can Find More Information” before making an investment in our securities.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described herein have been filed, or will be filed or incorporated by reference, as exhibits to the registration statement of which this prospectus is a part. The registration statement, including the exhibits and documents incorporated or deemed incorporated by reference in this prospectus can be read on the SEC website or at the SEC offices mentioned under the heading “Where You Can Find More Information.”</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5" w:name="page6"/>
    <w:bookmarkEnd w:id="5"/>
    <w:p>
      <w:pPr>
        <w:ind w:right="160"/>
        <w:spacing w:after="0" w:line="274" w:lineRule="auto"/>
        <w:rPr>
          <w:sz w:val="20"/>
          <w:szCs w:val="20"/>
          <w:color w:val="auto"/>
        </w:rPr>
      </w:pPr>
      <w:r>
        <w:rPr>
          <w:rFonts w:ascii="Arial" w:cs="Arial" w:eastAsia="Arial" w:hAnsi="Arial"/>
          <w:sz w:val="17"/>
          <w:szCs w:val="17"/>
          <w:b w:val="1"/>
          <w:bCs w:val="1"/>
          <w:color w:val="auto"/>
        </w:rPr>
        <w:t>Neither the delivery of this prospectus or any applicable prospectus supplement nor any sale made using this prospectus or any applicable prospectus supplement implies that there has been no change in our affairs or that the information contained in, or incorporated by reference in, this prospectus or in any applicable prospectus supplement is correct as of any date after their respective dates. You should not assume that the information contained in, or incorporated by reference in, this prospectus or any applicable prospectus supplement or any free writing prospectus prepared by us is accurate as of any date other than the respective dates thereof. Our business, financial condition, results of operations and prospects may have changed since those dates.</w:t>
      </w:r>
    </w:p>
    <w:p>
      <w:pPr>
        <w:spacing w:after="0" w:line="17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 this prospectus or a prospectus supplement. We have not authorized anyone to give you different information, and if you are given any information or representation about these matters that is not contained or incorporated by reference in this prospectus or a prospectus supplement, you must not rely on that information. This prospectus and any accompanying prospectus supplement do not constitute an offer to sell or the solicitation of an offer to buy any securities other than the registered securities to which they relate, nor do this prospectus and any accompanying prospectus supplement constitute an offer to sell or the solicitation of an offer to buy securities in any jurisdiction to any person to whom it is unlawful to make such offer or solicitation in such jurisdiction.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used in this prospectus, unless the context otherwise requires, (i) references to the terms “Company,” “we,” “us” and “our” refer to Priority Technology Holdings, Inc. and, where applicable, our wholly-owned subsidiaries; (ii) the term “Business Combination” refers to the Company’s acquisition of Priority Holdings, LLC on July 25, 2018 and related transactions; (iii) the term “Priority” refers to Priority Holdings, LLC and its subsidiaries for all periods prior to the Business Combination and refers to the Company for all periods following the Business Combination; (iv) the term “2017 10-K” refers to our Annual Report on Form 10-K for the fiscal year ended December 31, 2017, filed with the SEC on March 27, 2018, incorporated by reference herein; and (v) the term “Business Combination Form 8-K” refers to our Current Report on Form 8-K, filed with the SEC on July 31, 2018, incorporated by reference herein.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 and Trade Names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This prospectus and the documents incorporated by reference herein contain trademarks, service marks and trade names of third parties, which are the property of their respective owners. Our use or display of third parties’ trademarks, service marks, trade names or products in this prospectus and the documents incorporated by reference herein is not intended to, and does not imply, a relationship with, or endorsement or sponsorship by us. Solely for convenience, the trademarks, service marks and trade names referred to in this prospectus and the documents incorporated by reference herein may appear</w:t>
      </w:r>
    </w:p>
    <w:p>
      <w:pPr>
        <w:spacing w:after="0" w:line="2" w:lineRule="exact"/>
        <w:rPr>
          <w:sz w:val="20"/>
          <w:szCs w:val="20"/>
          <w:color w:val="auto"/>
        </w:rPr>
      </w:pPr>
    </w:p>
    <w:p>
      <w:pPr>
        <w:ind w:right="260"/>
        <w:spacing w:after="0" w:line="205" w:lineRule="auto"/>
        <w:rPr>
          <w:sz w:val="20"/>
          <w:szCs w:val="20"/>
          <w:color w:val="auto"/>
        </w:rPr>
      </w:pPr>
      <w:r>
        <w:rPr>
          <w:rFonts w:ascii="Arial" w:cs="Arial" w:eastAsia="Arial" w:hAnsi="Arial"/>
          <w:sz w:val="18"/>
          <w:szCs w:val="18"/>
          <w:color w:val="auto"/>
        </w:rPr>
        <w:t xml:space="preserve">without the ®, ™ or </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 of the applicable licensor to these trademarks, service marks and trade names.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within the meaning of Section 27A of the Securities Act and Section 21E of the Securities Exchange Act of 1934, as amended (the “Exchange Act”). All statements other than statements of historical facts contained or incorporated by reference in this prospectus, including statements regarding our future operating results and financial position, business strategy, and plans and objectives of management for future operations, are forward-looking statements. Our forward-looking statements are generally accompanied by words such as “may,” “should,” “expect,” “believe,” “plan,” “anticipate,” “could,” “intend,” “target,” “goal,” “project,” “contemplate,” “believe,” “estimate,” “predict,” “potential,” or “continue” or the negative of these terms or other similar expressions. Any forward-looking statements contained or incorporated by reference in this prospectus speak only as of the date on which we make them and are based upon our historical performance and on current plans, estimates and expectations.</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60" w:top="796" w:right="279" w:bottom="1440" w:gutter="0" w:footer="0" w:header="0"/>
        </w:sectPr>
      </w:pPr>
    </w:p>
    <w:bookmarkStart w:id="6" w:name="page7"/>
    <w:bookmarkEnd w:id="6"/>
    <w:p>
      <w:pPr>
        <w:ind w:right="80"/>
        <w:spacing w:after="0" w:line="270"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or incorporated by reference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entitled “Risk Factors” in our Business Combination 8-K and elsewhere in this prospectus and the documents incorporated by reference, as such factors may be updated from time to time in other documents and reports that we file with the SEC that are incorporated or deemed to be incorporated by reference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or incorporated by reference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forward-looking statements made or incorporated by reference in this prospectus relate only to events as of the date on which the statements are made. We undertake no obligation to update any forward-looking statements made or incorporated by reference in this prospectus to reflect events or circumstances after the date of this prospectus or to reflect new information or the occurrence of unanticipated events, except as required by law. We claim the protection of the safe harbor for forward-looking statements contained in the Private Securities Litigation Reform Act of 1995 for all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was incorporated on April 23, 2015 under the laws of the state of Delaware. On July 25, 2018, the Company completed its acquisition of 100% of the issued and outstanding equity securities of Priority Holdings, LLC, which resulted in Priority Holdings, LLC becoming a wholly-owned subsidiary of the Company. On July 25, 2018, the Company changed its name to Priority Technology Holdings, Inc.</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Priority is a leading provider of merchant acquiring and commercial payment solutions, offering unique product capabilities to small and mid-sized businesses (“SMBs”), enterprises and distribution partners (Retail Independent Sales Organizations (“ISOs”), Financial Institutions, Wholesale ISO’s and Independent Software Vendors (“ISVs”)) in the United States. The Company was founded in 2005 with a mission to build a merchant inspired payments platform that would advance the goals of its SMB and enterprise clients and distribution partners. Since 2013, Priority has grown from the 38th largest U.S. merchant acquirer to become the 13th largest as of the end of 2017, measured by Visa and MasterCard purchase volume according to The Nilson Report. Priority is</w:t>
      </w:r>
    </w:p>
    <w:p>
      <w:pPr>
        <w:spacing w:after="0" w:line="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currently the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largest non-bank merchant acquirer in the United States. In 2017, the Company processed over 439 million transactions and over $34 billion in bankcard payment volume across approximately 174,000 merchants. In the three months ended March 31, 2018, Priority processed over 110 million transactions and over $9 billion in bankcard payment volume across approximately the same number of merchants. Headquartered in Alpharetta, GA, Priority has approximately 480 employees and is led by an experienced group of payments executives.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Priority’s growth has been underpinned by three key strengths: (1) a cost-efficient, agile payment and business processing infrastructure, known internally as Vortex.Cloud and Vortex.OS, (2) two proprietary product platforms: the MX product suite targeting the consumer payments market and the CPX product suite targeting the Commercial payments market and (3) focused distribution engines dedicated to selling into business-to-consumer (“B2C”) and commercial payments (“B2B”) markets.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 w:name="page8"/>
    <w:bookmarkEnd w:id="7"/>
    <w:p>
      <w:pPr>
        <w:ind w:right="40"/>
        <w:spacing w:after="0" w:line="268" w:lineRule="auto"/>
        <w:rPr>
          <w:sz w:val="20"/>
          <w:szCs w:val="20"/>
          <w:color w:val="auto"/>
        </w:rPr>
      </w:pPr>
      <w:r>
        <w:rPr>
          <w:rFonts w:ascii="Arial" w:cs="Arial" w:eastAsia="Arial" w:hAnsi="Arial"/>
          <w:sz w:val="17"/>
          <w:szCs w:val="17"/>
          <w:color w:val="auto"/>
        </w:rPr>
        <w:t>The MX Product line, provides technology-enabled payment acceptance and business management capabilities to merchants, enterprises and its distribution partners (“Resellers”). The MX product line includes: Priority’s MX ISO/Agent and VIMAS reseller technology systems (collectively referred to as “MX Connect”) and MX Merchant products, which together provide resellers and merchant clients, a flexible and customizable set of business applications that help better manage critical business work functions and revenue performance using core payment processing as its leverage point. MX Connect provides Priority’s consumer payments reselling partners with automated tools that support low friction merchant on-boarding, underwriting and risk management, client service, and commission processing through a single mobile-enabled, web-based interface. The result is a smooth merchant activation onto Priority’s flagship consumer payments offering, MX Merchant, which provides core processing and business solutions to SMB clients. In addition to payment processing, the MX Merchant product line encompasses a variety of proprietary and third-party product applications (“Apps”) that merchants can adopt such as MX Insights, MX Storefront, MX Retail, MX Invoice, MX B2B and ACH.com, among others. This comprehensive suite of solutions enables merchants to identify key consumer trends in their business, quickly implement e-commerce or retail POS solutions, and even handle ACH payments. By empowering resellers to adopt a consultative selling approach and embedding its technology into the critical day-to-day workflows and operations of both merchants and resellers, Priority has established and maintained “sticky” relationships. Strong retention, coupled with consistent merchant boarding, have resulted in strong processing volume and revenue growth.</w:t>
      </w:r>
    </w:p>
    <w:p>
      <w:pPr>
        <w:spacing w:after="0" w:line="188"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The Commercial Payments Exchange (“CPX”) platform, like the MX Product line, provides a complete solution suite designed to monetize all types of B2B payments by maximizing automation for buyers and suppliers. CPX supports virtual card, purchase card, electronic fund transfer, ACH and check payments, intelligently routing each transaction via the optimal payment method. Underlying its MX and CPX platforms is the Company’s Vortex.Cloud and Vortex.OS enterprise infrastructure, a curated cloud and application programming interface (“API”) driven operating system built for scale and agility.</w:t>
      </w:r>
    </w:p>
    <w:p>
      <w:pPr>
        <w:spacing w:after="0" w:line="15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Priority developed an entirely virtual computing infrastructure in 2012. This infrastructure, known as Vortex. Cloud, is a highly-available, redundant, and audited (PCI, HIPAA, NACHA, and SOC) computing platform with centralized security and technical operations. Priority strives to enable Vortex.Cloud to maintain 99.999 uptime. All computational and IP assets of Priority’s operating companies are hosted and managed on Vortex.Cloud infrastructure. Upon Vortex.Cloud, Priority has constructed a uniform set of API’s, called Vortex.OS (operating system), that provide critical functionality to Priority’s payment divisions. The Vortex OS APIs provide electronic payments, security/crypto, data persistence, time series data (events), and artificial intelligence (AI). The MX and CPX product platforms leverage Vortex.OS and Vortex.Cloud for maximum scalability, high-availability, security, and access to advanced feature sets. The combined result is a purpose build infrastructure and product offering that produces solid organic growth and profit margin results. Furthermore, in addition to supporting a modern product stack, Vortex.Cloud and Vortex.OS enable the rapid inclusion of data and systems of acquisition targets for smooth consolidation to the Priority operating infrastructure and accelerate achievement of revenue and cost synergies.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Priority sells its B2C merchant acquiring solutions primarily to SMBs through a growing and diverse reseller network, including ISOs, Financial Institutions (“FIs”), ISVs, Value-Added Resellers (“VARs”) and other referral partners. The Company maintains stable, long-term relationships with its resellers, bolstered by the integration of MX Connect, a powerful customer relationship management (“CRM”) and business operating system. MX Connect is used by Priority’s resellers and internal teams to manage their merchant base and accelerate the growth of their businesses through various value-added tools and resources which include marketing resources, automated onboarding, merchant underwriting, merchant activity monitoring and reporting. In addition, Priority offers ISVs and VARs a technology “agnostic” and feature rich API, providing developers with the ability to integrate electronic payment acceptance into their software and improve boarding efficiency for their merchant base. For the end user, MX Merchant provides a customizable, virtual terminal with proprietary business management tools and add-on applications (“apps”) that create an integrated merchant experience. MX Merchant’s add-on apps include invoicing, website builder, inventory management and customer engagement and data analytics focused on targeted marketing among others. These proprietary business management tools and add-on applications, coupled with its omni-channel payment solutions, enable Priority to achieve attrition rates that, Priority believes, are well below industry average. MX Merchant can be deployed on hardware from a variety of vendors and operated either as a standalone product or integrated with third-party software. Through MX Merchant, Priority is well-positioned to capitalize on the trend towards integrated payments solutions, new technology adoption, and value-added service utilization in the SMB market. Priority’s broad go-to-market strategy has resulted in a merchant base that is both industry and geographically diversified in the United States, resulting in low industry and merchant concentration.</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8" w:name="page9"/>
    <w:bookmarkEnd w:id="8"/>
    <w:p>
      <w:pPr>
        <w:spacing w:after="0" w:line="2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addition to Priority’s B2C offering, Priority has diversified its source of revenues through its growing presence in the B2B market. Priority works with enterprise clients and leading financial institutions seeking to automate their accounts payable processes. Priority provides curated managed services and a robust suite of integrated accounts payable automation solutions to industry leading financial institutions and card networks such as Citibank, MasterCard, Visa and American Express, among others. Unlike the consumer payments business which advocates a variable cost indirect sales strategy, Priority Commercial Payments supports a direct sales model that provides turnkey merchant development, product sales, and supplier enablement programs. CPX offers clients a seamless bridge for buyer to supplier (payor to provider) payments by integrating directly to “buyers” payment instruction file and parsing it for payment to their suppliers via virtual card, purchase card, ACH +, dynamic discounting, or check. Successful implementation of its accounts payable (“AP”) automation solutions provides suppliers with the benefits of cash acceleration, buyers with valuable rebate/discount revenue, and Priority with stable sources of payment processing and other revenue. Considering that the commercial payments volume in the United States is over twice the size of consumer payments and substantially less penetrated for electronic payments, this market represents a high growth opportunity for Priority.</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Priority generates revenue primarily from fees charged for processing payment transactions, and to a lesser extent, from monthly subscription services and other solutions provided to merchants. Processing fees are generated from the ongoing sales of Priority’s merchants under multi-year merchant contracts, and thus are highly recurring in nature. Due to the nature of Priority’s strong reseller-centric distribution model and differentiated technology offering, Priority can drive efficient scale and operating leverage, generating robust margins and profitability.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left="20" w:right="40"/>
        <w:spacing w:after="0" w:line="259" w:lineRule="auto"/>
        <w:rPr>
          <w:sz w:val="20"/>
          <w:szCs w:val="20"/>
          <w:color w:val="auto"/>
        </w:rPr>
      </w:pPr>
      <w:r>
        <w:rPr>
          <w:rFonts w:ascii="Arial" w:cs="Arial" w:eastAsia="Arial" w:hAnsi="Arial"/>
          <w:sz w:val="18"/>
          <w:szCs w:val="18"/>
          <w:color w:val="auto"/>
        </w:rPr>
        <w:t xml:space="preserve">Priority Technology Holdings, Inc. is incorporated under the laws of the State of Delaware. Our principal executive offices are located at 2001 Westside Parkway, Alpharetta, GA 30004. Our telephone number is (800) 935-5961 and our internet address is prth.com. </w:t>
      </w:r>
      <w:r>
        <w:rPr>
          <w:rFonts w:ascii="Arial" w:cs="Arial" w:eastAsia="Arial" w:hAnsi="Arial"/>
          <w:sz w:val="18"/>
          <w:szCs w:val="18"/>
          <w:b w:val="1"/>
          <w:bCs w:val="1"/>
          <w:color w:val="auto"/>
        </w:rPr>
        <w:t>Our website and the information</w:t>
      </w:r>
      <w:r>
        <w:rPr>
          <w:rFonts w:ascii="Arial" w:cs="Arial" w:eastAsia="Arial" w:hAnsi="Arial"/>
          <w:sz w:val="18"/>
          <w:szCs w:val="18"/>
          <w:color w:val="auto"/>
        </w:rPr>
        <w:t xml:space="preserve"> </w:t>
      </w:r>
      <w:r>
        <w:rPr>
          <w:rFonts w:ascii="Arial" w:cs="Arial" w:eastAsia="Arial" w:hAnsi="Arial"/>
          <w:sz w:val="18"/>
          <w:szCs w:val="18"/>
          <w:b w:val="1"/>
          <w:bCs w:val="1"/>
          <w:color w:val="auto"/>
        </w:rPr>
        <w:t>contained thereon and accessible therefrom are not part of this prospectus and should not be relied upon by prospective investors in connection with any decision to purchase our common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 investment in our securities involves a high degree of risk. You should carefully consider the matters discussed under “Risk Factors” in our 2017 10-K and our Business Combination 8-K, as supplemented and updated by subsequent quarterly reports on Form 10-Q and current reports on Form 8-K that we have filed or will file with the SEC, which are incorporated by reference in this prospectus. You should also carefully consider the matters discussed under “Risk Factors” or any similar caption in other documents or reports that we file with the SEC after the date of this prospectus that are incorporated or deemed to be incorporated by reference in this prospectus as well as any risks described in any applicable prospectus supplement or free writing prospectus that we provide you in connection with an offering of securities pursuant to this prospectus. See “Where You Can Find More Information” and “Information Incorporated by Reference.” Additionally, the risks and uncertainties discussed in this prospectus or in any document incorporated by reference into this prospectus are not the only risks and uncertainties that we face, and our business, financial condition, prospects, results of operations, cash flow and the market price of our securities could be materially adversely affected by other matters that are not known to us or that we currently do not consider to be material.</w:t>
      </w:r>
    </w:p>
    <w:p>
      <w:pPr>
        <w:spacing w:after="0" w:line="16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proceeds from sales of our common stock by selling stockholders.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table sets forth information as of August 9, 2018, with respect to the selling stockholders and the shares of our common stock beneficially owned by the selling stockholders that may from time to time be offered or sold pursuant to this prospectus. Beneficial ownership is determined in accordance with the rules of the SEC. The selling stockholders may offer all, some or none of their shares of common stock. We cannot advise you as to whether the selling stockholders will in fact sell any or all of such shares of common stock. Information concerning the selling stockholders may change from time to time and any such changed information will, if required, be set forth in supplements to this prospectus or post-effective amendments to the registration statement of which this prospectus is a part, as may be appropriate.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Shares of Common Stock</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Beneficially Owned After the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4"/>
          </w:tcPr>
          <w:p>
            <w:pPr>
              <w:ind w:left="340"/>
              <w:spacing w:after="0"/>
              <w:rPr>
                <w:sz w:val="20"/>
                <w:szCs w:val="20"/>
                <w:color w:val="auto"/>
              </w:rPr>
            </w:pPr>
            <w:r>
              <w:rPr>
                <w:rFonts w:ascii="Arial" w:cs="Arial" w:eastAsia="Arial" w:hAnsi="Arial"/>
                <w:sz w:val="18"/>
                <w:szCs w:val="18"/>
                <w:b w:val="1"/>
                <w:bCs w:val="1"/>
                <w:color w:val="auto"/>
              </w:rPr>
              <w:t>Shares of Common Stock</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Sale of the Maximum Number</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Beneficially Owned</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28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of Shares of Common Stock</w:t>
            </w:r>
          </w:p>
        </w:tc>
        <w:tc>
          <w:tcPr>
            <w:tcW w:w="0" w:type="dxa"/>
            <w:vAlign w:val="bottom"/>
          </w:tcPr>
          <w:p>
            <w:pPr>
              <w:spacing w:after="0"/>
              <w:rPr>
                <w:sz w:val="1"/>
                <w:szCs w:val="1"/>
                <w:color w:val="auto"/>
              </w:rPr>
            </w:pPr>
          </w:p>
        </w:tc>
      </w:tr>
      <w:tr>
        <w:trPr>
          <w:trHeight w:val="191"/>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w:t>
            </w: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80" w:type="dxa"/>
            <w:vAlign w:val="bottom"/>
          </w:tcPr>
          <w:p>
            <w:pPr>
              <w:spacing w:after="0"/>
              <w:rPr>
                <w:sz w:val="16"/>
                <w:szCs w:val="16"/>
                <w:color w:val="auto"/>
              </w:rPr>
            </w:pPr>
          </w:p>
        </w:tc>
        <w:tc>
          <w:tcPr>
            <w:tcW w:w="16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Common Stock</w:t>
            </w: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80" w:type="dxa"/>
            <w:vAlign w:val="bottom"/>
            <w:gridSpan w:val="2"/>
            <w:vMerge w:val="continue"/>
          </w:tcPr>
          <w:p>
            <w:pPr>
              <w:spacing w:after="0"/>
              <w:rPr>
                <w:sz w:val="15"/>
                <w:szCs w:val="15"/>
                <w:color w:val="auto"/>
              </w:rPr>
            </w:pPr>
          </w:p>
        </w:tc>
        <w:tc>
          <w:tcPr>
            <w:tcW w:w="1440" w:type="dxa"/>
            <w:vAlign w:val="bottom"/>
            <w:gridSpan w:val="2"/>
          </w:tcPr>
          <w:p>
            <w:pPr>
              <w:jc w:val="right"/>
              <w:ind w:right="440"/>
              <w:spacing w:after="0" w:line="181" w:lineRule="exact"/>
              <w:rPr>
                <w:sz w:val="20"/>
                <w:szCs w:val="20"/>
                <w:color w:val="auto"/>
              </w:rPr>
            </w:pPr>
            <w:r>
              <w:rPr>
                <w:rFonts w:ascii="Arial" w:cs="Arial" w:eastAsia="Arial" w:hAnsi="Arial"/>
                <w:sz w:val="18"/>
                <w:szCs w:val="18"/>
                <w:b w:val="1"/>
                <w:bCs w:val="1"/>
                <w:color w:val="auto"/>
              </w:rPr>
              <w:t>Number of</w:t>
            </w:r>
          </w:p>
        </w:tc>
        <w:tc>
          <w:tcPr>
            <w:tcW w:w="15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89"/>
              </w:rPr>
              <w:t>Common Stock</w:t>
            </w:r>
          </w:p>
        </w:tc>
        <w:tc>
          <w:tcPr>
            <w:tcW w:w="16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2"/>
              </w:rPr>
              <w:t>that May be</w:t>
            </w:r>
          </w:p>
        </w:tc>
        <w:tc>
          <w:tcPr>
            <w:tcW w:w="146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270"/>
        </w:trPr>
        <w:tc>
          <w:tcPr>
            <w:tcW w:w="3880" w:type="dxa"/>
            <w:vAlign w:val="bottom"/>
          </w:tcPr>
          <w:p>
            <w:pPr>
              <w:spacing w:after="0" w:line="269" w:lineRule="exact"/>
              <w:rPr>
                <w:sz w:val="20"/>
                <w:szCs w:val="20"/>
                <w:color w:val="auto"/>
              </w:rPr>
            </w:pPr>
            <w:r>
              <w:rPr>
                <w:rFonts w:ascii="Arial" w:cs="Arial" w:eastAsia="Arial" w:hAnsi="Arial"/>
                <w:sz w:val="18"/>
                <w:szCs w:val="18"/>
                <w:b w:val="1"/>
                <w:bCs w:val="1"/>
                <w:color w:val="auto"/>
              </w:rPr>
              <w:t>Owner</w:t>
            </w:r>
            <w:r>
              <w:rPr>
                <w:rFonts w:ascii="Arial" w:cs="Arial" w:eastAsia="Arial" w:hAnsi="Arial"/>
                <w:sz w:val="30"/>
                <w:szCs w:val="30"/>
                <w:b w:val="1"/>
                <w:bCs w:val="1"/>
                <w:color w:val="auto"/>
                <w:vertAlign w:val="superscript"/>
              </w:rPr>
              <w:t>(1)</w:t>
            </w:r>
          </w:p>
        </w:tc>
        <w:tc>
          <w:tcPr>
            <w:tcW w:w="100" w:type="dxa"/>
            <w:vAlign w:val="bottom"/>
          </w:tcPr>
          <w:p>
            <w:pPr>
              <w:spacing w:after="0"/>
              <w:rPr>
                <w:sz w:val="23"/>
                <w:szCs w:val="23"/>
                <w:color w:val="auto"/>
              </w:rPr>
            </w:pPr>
          </w:p>
        </w:tc>
        <w:tc>
          <w:tcPr>
            <w:tcW w:w="1220" w:type="dxa"/>
            <w:vAlign w:val="bottom"/>
          </w:tcPr>
          <w:p>
            <w:pPr>
              <w:ind w:left="36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80" w:type="dxa"/>
            <w:vAlign w:val="bottom"/>
          </w:tcPr>
          <w:p>
            <w:pPr>
              <w:spacing w:after="0"/>
              <w:rPr>
                <w:sz w:val="23"/>
                <w:szCs w:val="23"/>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Offered for Resale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Thomas Priore</w:t>
            </w:r>
            <w:r>
              <w:rPr>
                <w:rFonts w:ascii="Arial" w:cs="Arial" w:eastAsia="Arial" w:hAnsi="Arial"/>
                <w:sz w:val="28"/>
                <w:szCs w:val="28"/>
                <w:color w:val="auto"/>
                <w:vertAlign w:val="superscript"/>
              </w:rPr>
              <w:t>(2)</w:t>
            </w:r>
          </w:p>
        </w:tc>
        <w:tc>
          <w:tcPr>
            <w:tcW w:w="100" w:type="dxa"/>
            <w:vAlign w:val="bottom"/>
            <w:vMerge w:val="continue"/>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49,434,170</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49,184,170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57"/>
        </w:trPr>
        <w:tc>
          <w:tcPr>
            <w:tcW w:w="3980" w:type="dxa"/>
            <w:vAlign w:val="bottom"/>
            <w:gridSpan w:val="2"/>
          </w:tcPr>
          <w:p>
            <w:pPr>
              <w:spacing w:after="0" w:line="256" w:lineRule="exact"/>
              <w:rPr>
                <w:sz w:val="20"/>
                <w:szCs w:val="20"/>
                <w:color w:val="auto"/>
              </w:rPr>
            </w:pPr>
            <w:r>
              <w:rPr>
                <w:rFonts w:ascii="Arial" w:cs="Arial" w:eastAsia="Arial" w:hAnsi="Arial"/>
                <w:sz w:val="18"/>
                <w:szCs w:val="18"/>
                <w:color w:val="auto"/>
              </w:rPr>
              <w:t>John Priore</w:t>
            </w:r>
            <w:r>
              <w:rPr>
                <w:rFonts w:ascii="Arial" w:cs="Arial" w:eastAsia="Arial" w:hAnsi="Arial"/>
                <w:sz w:val="29"/>
                <w:szCs w:val="29"/>
                <w:color w:val="auto"/>
                <w:vertAlign w:val="superscript"/>
              </w:rPr>
              <w:t>(3)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9,347,591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650,000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8,697,591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3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Sean Kiewiet</w:t>
            </w:r>
            <w:r>
              <w:rPr>
                <w:rFonts w:ascii="Arial" w:cs="Arial" w:eastAsia="Arial" w:hAnsi="Arial"/>
                <w:sz w:val="29"/>
                <w:szCs w:val="29"/>
                <w:color w:val="auto"/>
                <w:vertAlign w:val="superscript"/>
              </w:rPr>
              <w:t>(4)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1,760,638</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1,510,638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3980" w:type="dxa"/>
            <w:vAlign w:val="bottom"/>
            <w:gridSpan w:val="2"/>
          </w:tcPr>
          <w:p>
            <w:pPr>
              <w:spacing w:after="0" w:line="256" w:lineRule="exact"/>
              <w:rPr>
                <w:sz w:val="20"/>
                <w:szCs w:val="20"/>
                <w:color w:val="auto"/>
              </w:rPr>
            </w:pPr>
            <w:r>
              <w:rPr>
                <w:rFonts w:ascii="Arial" w:cs="Arial" w:eastAsia="Arial" w:hAnsi="Arial"/>
                <w:sz w:val="18"/>
                <w:szCs w:val="18"/>
                <w:color w:val="auto"/>
              </w:rPr>
              <w:t>Bruce Mattox</w:t>
            </w:r>
            <w:r>
              <w:rPr>
                <w:rFonts w:ascii="Arial" w:cs="Arial" w:eastAsia="Arial" w:hAnsi="Arial"/>
                <w:sz w:val="29"/>
                <w:szCs w:val="29"/>
                <w:color w:val="auto"/>
                <w:vertAlign w:val="superscript"/>
              </w:rPr>
              <w:t>(5)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313,340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63,340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David McMiller</w:t>
            </w:r>
            <w:r>
              <w:rPr>
                <w:rFonts w:ascii="Arial" w:cs="Arial" w:eastAsia="Arial" w:hAnsi="Arial"/>
                <w:sz w:val="29"/>
                <w:szCs w:val="29"/>
                <w:color w:val="auto"/>
                <w:vertAlign w:val="superscript"/>
              </w:rPr>
              <w:t>(6)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320,555</w:t>
            </w:r>
          </w:p>
        </w:tc>
        <w:tc>
          <w:tcPr>
            <w:tcW w:w="15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270,555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340" w:right="4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Priority Technology Holdings, Inc., 2001 Westside Parkway, Alpharetta, GA 30004.</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3,063,097 shares of the Company’s common stock and warrants directly held by Priority Incentive Equity Holdings, LLC. Following the Business Combination, Thomas Priore became the managing member of Priority Investment Holdings LLC, which is the non-member manager of Priority Incentive Equity Holdings, LLC. Thomas Priore may be deemed to beneficially own such shares and warrants directly or indirectly controlled by him. The address of Thomas Priore and each of the other entities listed in this footnote is c/o Priority Technology Holdings, Inc., 2001 Westside Parkway, Alpharetta, GA 30004. Thomas Priore is the Executive Chairman of the Company.</w:t>
      </w:r>
    </w:p>
    <w:p>
      <w:pPr>
        <w:spacing w:after="0" w:line="2" w:lineRule="exact"/>
        <w:rPr>
          <w:rFonts w:ascii="Arial" w:cs="Arial" w:eastAsia="Arial" w:hAnsi="Arial"/>
          <w:sz w:val="18"/>
          <w:szCs w:val="18"/>
          <w:color w:val="auto"/>
        </w:rPr>
      </w:pPr>
    </w:p>
    <w:p>
      <w:pPr>
        <w:jc w:val="both"/>
        <w:ind w:left="340" w:right="380" w:hanging="332"/>
        <w:spacing w:after="0" w:line="323"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9,347,591 shares of the Company’s common stock directly held by AESV Credit Card Consulting LLC, which is controlled by John Priore. John Priore may be deemed to beneficially own such shares directly or indirectly controlled by him. John Priore is the Chief Executive Officer and a</w:t>
      </w:r>
    </w:p>
    <w:p>
      <w:pPr>
        <w:sectPr>
          <w:pgSz w:w="11900" w:h="16866" w:orient="portrait"/>
          <w:cols w:equalWidth="0" w:num="1">
            <w:col w:w="11420"/>
          </w:cols>
          <w:pgMar w:left="240" w:top="800" w:right="239" w:bottom="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director of the Company.</w:t>
      </w:r>
    </w:p>
    <w:p>
      <w:pPr>
        <w:spacing w:after="0" w:line="2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Sean Kiewiet is the Chief Technology Officer of the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Bruce Mattox is the Chief Financial Officer of the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David McMiller is the President of Commerical Business Services of the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summarizes the most important terms of our common stock and related provisions of the certificate of incorporation and our bylaws. This description also summarizes the principal agreements relating to our common stock. Because it is only a summary, it does not contain all the information that may be important to you. For a complete description, you should refer to our certificate of incorporation and bylaws and the agreements referred to below, copies of which are filed as exhibits to the registration statement of which this prospectus forms a part.</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authorized capital stock consists of 1,000,000,000 shares of common stock, par value $0.001, and 100,000,000 shares of preferred stock, par value</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$0.001. As of the date of this prospectus, 66,856,966 shares of common stock are outstanding, held by 33 stockholders of record. No shares of preferred stock are currently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holder of record of common stock, as such, shall have one vote for each share of common stock which is outstanding in his, her or its name on the books of the Company on all matters on which stockholders are entitled to vote generally. Except as otherwise required by law, holders of common stock shall not be entitled to vote on any amendment to the Second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Second Amended and Restated Certificate of Incorporation (including any certificate of designation relating to any series of preferred stock) or pursuant to the Delaware General Corporation Law (“DGCL”).</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Company which are legally available for this purpose at such times and in such amounts as the board of directors in its discretion shall determine.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Upon the dissolution, liquidation or winding up of the Company, after payment or provision for payment of the debts and other liabilities of the Company and subject to the rights, if any, of the holders of any outstanding series of preferred stock or any class or series of stock having a preference over or the right to participate with the common stock with respect to the distribution of assets of the Company upon such dissolution, liquidation or winding up of the Company, the holders of common stock shall be entitled to receive the remaining assets of the Company available for distribution to its stockholders ratably in proportion to the number of shares held by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Second Amended and Restated Certificate of Incorporation authorizes the issuance of 100,000,000 shares of preferred stock with such designation, rights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preferences as may be determined from time to time by our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directors. There are no shares of preferred stock outstanding.</w:t>
      </w:r>
    </w:p>
    <w:p>
      <w:pPr>
        <w:spacing w:after="0" w:line="21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Accordingly, our board of directors is empowered, without stockholder approval, to issue preferred shares with dividend, liquidation, redemption, voting or other rights which could adversely affect the voting power or other rights of the holders of common stock. In addition, the preferred shares could be utilized as a method of discouraging, delaying or preventing a change in control of us. Although we do not currently intend to issue any preferred shares, we cannot assure you that we will not do so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not paid any cash dividends on its common stock to date. The payment of cash dividends in the future will be dependent upon our revenues and earnings, if any, capital requirements and general financial condition. The payment of any dividends will be within the discretion of its then board of directors. It is the present intention of our board of directors to retain all earnings, if any, for use in its business operations and, accordingly, our board does not anticipate declaring any dividends in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not subject to Section 203 of the DGCL, an anti-takeover law. 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 (iii) at the time or after the stockholder became an interested stockholder, the board of directors and at least two-thirds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spacing w:after="0" w:line="271" w:lineRule="auto"/>
        <w:rPr>
          <w:sz w:val="20"/>
          <w:szCs w:val="20"/>
          <w:color w:val="auto"/>
        </w:rPr>
      </w:pPr>
      <w:r>
        <w:rPr>
          <w:rFonts w:ascii="Arial" w:cs="Arial" w:eastAsia="Arial" w:hAnsi="Arial"/>
          <w:sz w:val="17"/>
          <w:szCs w:val="17"/>
          <w:color w:val="auto"/>
        </w:rPr>
        <w:t>The board of directors has elected to opt out of Section 203, but the board of directors believes that it is in the best interests of stockholders to have protections similar to those afforded by Section 203. These provisions will encourage any potential acquirer to negotiate with the board of directors and therefore provides an opportunity to possibly obtain a higher purchase price than would otherwise be offered in connection with a proposed acquisition of the post-combination company. Such provisions may make it more difficult for an acquirer to consummate certain types of unfriendly or hostile corporate takeovers or other transactions involving the Company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third-party from acquiring “creeping control” of the Company without paying a fair premium to all stockholders.</w:t>
      </w:r>
    </w:p>
    <w:p>
      <w:pPr>
        <w:spacing w:after="0" w:line="17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Second Amended and Restated Certificate of Incorporation contains provisions that have the same effect as Section 203, except that they provide that Priority Investment Holdings, LLC and Priority Incentive Equity Holdings, LLC (collectively,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Directors’ Liability</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certificate of incorporation and bylaws will indemnify our directors to the fullest extent permitted by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Second Amended and Restated Certificate of Incorporation provides that, unless we consent in writing to the selection of an alternative forum, the Court of Chancery of the State of Delaware will be the exclusive forum for: (a) any derivative action or proceeding brought on our behalf; (b) any action asserting a breach of a fiduciary duty owed by any of our directors, officers, employees or agents to us or our stockholders; (c) any action asserting a claim pursuant to any provision of the DGCL, our certificate of incorporation or our bylaws; or (d) any action asserting a claim governed by the internal affairs doctrine. However, it is possible that a court could find our forum selection provision to be inapplicable or unenforceable.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 under the symbol “PRTH.”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securities is American Stock Transfer &amp; Trust Company, LLC, 6201 15th Avenue, Brooklyn, NY 11219.</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may sell the securities described in this prospectus from time to time in one or more transactions:</w:t>
      </w:r>
    </w:p>
    <w:p>
      <w:pPr>
        <w:spacing w:after="0" w:line="225" w:lineRule="exact"/>
        <w:rPr>
          <w:sz w:val="20"/>
          <w:szCs w:val="20"/>
          <w:color w:val="auto"/>
        </w:rPr>
      </w:pPr>
    </w:p>
    <w:p>
      <w:pPr>
        <w:ind w:left="820" w:hanging="23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purchasers directly;</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underwriters for public offering and sale by them;</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a combination of any of the foregoing methods of sale; and/or</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One or more selling stockholders may sell the securities directly to institutional investors or others who may be deemed to be underwriters within the meaning of the Securities Act, with respect to any resale of the securities. A prospectus supplement will describe the terms of any sale of securities we are offering hereunder. Direct sales may be arranged by a securities broker-dealer or other financial intermediary.</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 Underwriters may be involved in any “at the market” offering of securities by or on our behalf. Any such underwriters will be named in a prospectus supplement.</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Unless we state otherwise in an applicable prospectus supplement, the obligations of any underwriters to purchase securities will be subject to certain conditions precedent, and the underwriters will be obligated to purchase all the securities if any are purchased.</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applicable prospectus supplement will set forth whether or not underwriters may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We will name any agent involved in a sale of securities, as well as any commissions payable to such agent, in a prospectus supplement. Unless we state otherwise in the applicable prospectus supplement, any such agent will be acting on a reasonable efforts basis for the period of its appointment.</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 dealer is utilized in the sale of the securities being offered pursuant to this prospectus, we will sell the securities to the dealer, as principal. The dealer may then resell the securities to the public at varying prices to be determined by the dealer at the time of resale.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ind w:right="40"/>
        <w:spacing w:after="0" w:line="259" w:lineRule="auto"/>
        <w:rPr>
          <w:sz w:val="20"/>
          <w:szCs w:val="20"/>
          <w:color w:val="auto"/>
        </w:rPr>
      </w:pPr>
      <w:r>
        <w:rPr>
          <w:rFonts w:ascii="Arial" w:cs="Arial" w:eastAsia="Arial" w:hAnsi="Arial"/>
          <w:sz w:val="18"/>
          <w:szCs w:val="18"/>
          <w:color w:val="auto"/>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Unless we state otherwise in the applicable prospectus supplement, the validity of any securities that may be offered by this prospectus will be passed upon for us by Schulte Roth &amp; Zabel, LLP, New York, New York. Additional legal matters may be passed on for us, or any underwriters, dealers or agents, by counsel that we will name in the applicable prospectus supplement.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consolidated financial statements of the Company as of December 31, 2017 and 2016 and for each of the years in the two-year period ended December 31, 2017 have been incorporated by reference in this registration statement, and have been included herein in reliance upon the report of Marcum LLP, independent registered public accounting firm, incorporated by reference and appearing elsewhere herein, and upon the authority of said firm as experts in accounting and auditing.</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consolidated financial statements of Priority Holdings, LLC and Subsidiaries as of December 31, 2017 and 2016 and for each of the years in the three-year period ended December 31, 2017 incorporated in this prospectus by reference from the Business Combination Form 8-K have been audited by RSM US LLP, an independent registered public accounting firm, as stated in their report thereon, and have been incorporated in this prospectus and registration statement in reliance upon such report and upon the authority of such firm as experts in accounting and auditing.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filed with the SEC a registration statement on Form S-3 under the Securities Act with respect to the securities covered by this prospectus. This prospectus is a part of the registration statement and does not contain all of the information set forth in the registration statement, portions of which have been omitted as permitted by the rules and regulations of the SEC. For further information about us and the securities covered by this prospectus, you should refer to the registration statement and to its exhibits and schedules. Our descriptions in this prospectus of the provisions of documents filed as exhibits to the registration statement or otherwise filed with the SEC are only summaries of the terms of those documents that we consider material. If you want a complete description of the content of such documents, you should obtain the documents yourself by following the procedures described above.</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file annual, quarterly and current reports and other information with the SEC. Our filings with the SEC are available to the public on the SEC’s website at http://www.sec.gov. Those filings are also available to the public on, or accessible through, our corporate website at http://www.prth.com. The information contained on our corporate website or any other website that we may maintain is not part of this prospectus, any prospectus supplement or the registration statement of which this prospectus is a part. You may also read and copy, at SEC prescribed rates, any document we file with the SEC, including the registration statement (and its exhibits) of which this prospectus is a part, at the SEC’s Public Reference Room located at 100 F Street, N.E., Washington D.C. 20549. You can call the SEC at 1-800-SEC-0330 to obtain information on the operation of the Public Reference Room.</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“incorporate by reference” certain documents we have filed with the SEC, which means that we are disclosing important information to you by referring you to those documents. The information incorporated by reference is an important part of this prospectus, and any information contained in this prospectus or in any document incorporated by reference in this prospectus will be deemed to be modified or superseded to the extent that a statement contained in this prospectus or free writing prospectus provided to you in connection with this offering modifies or supersedes the original statement. Any statement so modified or superseded will not be deemed, except as so modified or superseded, to be a part of this prospectus. The following documents filed with the SEC are hereby incorporated by reference in this prospectus:</w:t>
      </w:r>
    </w:p>
    <w:p>
      <w:pPr>
        <w:spacing w:after="0" w:line="193" w:lineRule="exact"/>
        <w:rPr>
          <w:sz w:val="20"/>
          <w:szCs w:val="20"/>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March 27, 2018;</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March 31, 2018, filed with the SEC on May 14, 2018;</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June 30, 2018, filed with the SEC on July 18, 2018;</w:t>
      </w:r>
    </w:p>
    <w:p>
      <w:pPr>
        <w:spacing w:after="0" w:line="252" w:lineRule="exact"/>
        <w:rPr>
          <w:rFonts w:ascii="Arial" w:cs="Arial" w:eastAsia="Arial" w:hAnsi="Arial"/>
          <w:sz w:val="18"/>
          <w:szCs w:val="18"/>
          <w:color w:val="auto"/>
        </w:rPr>
      </w:pPr>
    </w:p>
    <w:p>
      <w:pPr>
        <w:ind w:left="800" w:hanging="225"/>
        <w:spacing w:after="0" w:line="264"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Reports on Form 8-K and 8-K/A, filed with the SEC on January 8, 2018; February 27, 2018; March 2, 2018; March 14, 2018; April 13, 2018; April 23, 2018; May 2, 2018; May 17, 2018; May 22, 2018; June 20, 2018; June 26, 2018; July 24, 2018; and July 31, 2018 (two filings); and</w:t>
      </w:r>
    </w:p>
    <w:p>
      <w:pPr>
        <w:spacing w:after="0" w:line="208" w:lineRule="exact"/>
        <w:rPr>
          <w:rFonts w:ascii="Arial" w:cs="Arial" w:eastAsia="Arial" w:hAnsi="Arial"/>
          <w:sz w:val="18"/>
          <w:szCs w:val="18"/>
          <w:color w:val="auto"/>
        </w:rPr>
      </w:pPr>
    </w:p>
    <w:p>
      <w:pPr>
        <w:ind w:left="800" w:right="60" w:hanging="225"/>
        <w:spacing w:after="0" w:line="264"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common stock as set forth in our registration statement on Form 8-A (File No. 001-37872), filed with the SEC on September 12, 2016, pursuant to Section 12(b) of the Exchange Act, including any subsequent amendments or reports filed for the purpose of updating such description.</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our Investor Relations department, at the following address: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Priority Technology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2001 Westside Parkway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Alpharetta, GA 30004</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2266950</wp:posOffset>
            </wp:positionH>
            <wp:positionV relativeFrom="page">
              <wp:posOffset>1066800</wp:posOffset>
            </wp:positionV>
            <wp:extent cx="3001645" cy="805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0016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58"/>
          <w:szCs w:val="58"/>
          <w:b w:val="1"/>
          <w:bCs w:val="1"/>
          <w:color w:val="auto"/>
        </w:rPr>
        <w:t>Priority Technology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255905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182880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20"/>
        <w:spacing w:after="0"/>
        <w:rPr>
          <w:sz w:val="20"/>
          <w:szCs w:val="20"/>
          <w:color w:val="auto"/>
        </w:rPr>
      </w:pPr>
      <w:r>
        <w:rPr>
          <w:rFonts w:ascii="Arial" w:cs="Arial" w:eastAsia="Arial" w:hAnsi="Arial"/>
          <w:sz w:val="43"/>
          <w:szCs w:val="43"/>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339725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365125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785495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520"/>
          </w:cols>
          <w:pgMar w:left="1200" w:top="1440" w:right="11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shows the costs and expenses, other than underwriting discounts and commissions, payable in connection with the sale and distribution of the securities being registered. Except as otherwise noted, we will pay all of these amounts. All amounts are estimates except the SEC registration fee.</w:t>
      </w:r>
    </w:p>
    <w:p>
      <w:pPr>
        <w:spacing w:after="0" w:line="13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2,072.94</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FINRA Filing Fee</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applicable prospectus supplement will set forth the estimated aggregate amount of expenses payable in respect of any offering of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Subsection (a) of Section 145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ind w:right="80"/>
        <w:spacing w:after="0" w:line="255" w:lineRule="auto"/>
        <w:rPr>
          <w:sz w:val="20"/>
          <w:szCs w:val="20"/>
          <w:color w:val="auto"/>
        </w:rPr>
      </w:pPr>
      <w:r>
        <w:rPr>
          <w:rFonts w:ascii="Arial" w:cs="Arial" w:eastAsia="Arial" w:hAnsi="Arial"/>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 Pursuant to Delaware law, this includes elimination of liability for monetary damages for breach of the directors’ fiduciary duty of care to the Company and its stockholders. However, our directors may be personally liable for liability:</w:t>
      </w:r>
    </w:p>
    <w:p>
      <w:pPr>
        <w:spacing w:after="0" w:line="165" w:lineRule="exact"/>
        <w:rPr>
          <w:sz w:val="20"/>
          <w:szCs w:val="20"/>
          <w:color w:val="auto"/>
        </w:rPr>
      </w:pPr>
    </w:p>
    <w:p>
      <w:pPr>
        <w:ind w:left="580" w:hanging="34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any breach of duty of loyalty to us or to our stockholders;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unlawful payment of dividends or unlawful stock repurchases or redemptions; or</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attached hereto, which is incorporated herein by reference as if fully set forth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 undersigned registrant hereby undertakes:</w:t>
      </w:r>
    </w:p>
    <w:p>
      <w:pPr>
        <w:spacing w:after="0" w:line="225"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right="20" w:firstLine="8"/>
        <w:spacing w:after="0" w:line="273" w:lineRule="auto"/>
        <w:tabs>
          <w:tab w:leader="none" w:pos="262"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right="160" w:firstLine="8"/>
        <w:spacing w:after="0" w:line="277" w:lineRule="auto"/>
        <w:tabs>
          <w:tab w:leader="none" w:pos="312"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(1)(A)(i), (1)(A)(ii) and (1)(A)(iii)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8" w:name="page19"/>
    <w:bookmarkEnd w:id="18"/>
    <w:p>
      <w:pPr>
        <w:ind w:left="-8" w:right="420" w:firstLine="8"/>
        <w:spacing w:after="0" w:line="264" w:lineRule="auto"/>
        <w:tabs>
          <w:tab w:leader="none" w:pos="2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8" w:right="100" w:firstLine="8"/>
        <w:spacing w:after="0" w:line="277" w:lineRule="auto"/>
        <w:tabs>
          <w:tab w:leader="none" w:pos="2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92" w:hanging="292"/>
        <w:spacing w:after="0"/>
        <w:tabs>
          <w:tab w:leader="none" w:pos="2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8" w:firstLine="8"/>
        <w:spacing w:after="0" w:line="277" w:lineRule="auto"/>
        <w:tabs>
          <w:tab w:leader="none" w:pos="2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8" w:right="60" w:firstLine="8"/>
        <w:spacing w:after="0" w:line="288" w:lineRule="auto"/>
        <w:tabs>
          <w:tab w:leader="none" w:pos="257"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9" w:lineRule="exact"/>
        <w:rPr>
          <w:sz w:val="20"/>
          <w:szCs w:val="20"/>
          <w:color w:val="auto"/>
        </w:rPr>
      </w:pPr>
    </w:p>
    <w:p>
      <w:pPr>
        <w:jc w:val="both"/>
        <w:ind w:left="-8" w:right="40" w:firstLine="8"/>
        <w:spacing w:after="0" w:line="302" w:lineRule="auto"/>
        <w:tabs>
          <w:tab w:leader="none" w:pos="26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sz w:val="20"/>
          <w:szCs w:val="20"/>
          <w:color w:val="auto"/>
        </w:rPr>
      </w:pPr>
    </w:p>
    <w:p>
      <w:pPr>
        <w:ind w:left="212" w:hanging="212"/>
        <w:spacing w:after="0"/>
        <w:tabs>
          <w:tab w:leader="none" w:pos="2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left="-8" w:right="560" w:firstLine="8"/>
        <w:spacing w:after="0" w:line="277" w:lineRule="auto"/>
        <w:tabs>
          <w:tab w:leader="none" w:pos="2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8" w:right="120" w:firstLine="8"/>
        <w:spacing w:after="0" w:line="277" w:lineRule="auto"/>
        <w:tabs>
          <w:tab w:leader="none" w:pos="3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292" w:hanging="292"/>
        <w:spacing w:after="0"/>
        <w:tabs>
          <w:tab w:leader="none" w:pos="2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8" w:firstLine="8"/>
        <w:spacing w:after="0" w:line="257" w:lineRule="auto"/>
        <w:tabs>
          <w:tab w:leader="none" w:pos="2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left="-8" w:right="100" w:firstLine="8"/>
        <w:spacing w:after="0" w:line="291" w:lineRule="auto"/>
        <w:tabs>
          <w:tab w:leader="none" w:pos="24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92"/>
          </w:cols>
          <w:pgMar w:left="248" w:top="800"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20" w:type="dxa"/>
            <w:vAlign w:val="bottom"/>
            <w:gridSpan w:val="6"/>
          </w:tcPr>
          <w:p>
            <w:pPr>
              <w:ind w:left="700"/>
              <w:spacing w:after="0"/>
              <w:rPr>
                <w:sz w:val="20"/>
                <w:szCs w:val="20"/>
                <w:color w:val="auto"/>
              </w:rPr>
            </w:pPr>
            <w:r>
              <w:rPr>
                <w:rFonts w:ascii="Arial" w:cs="Arial" w:eastAsia="Arial" w:hAnsi="Arial"/>
                <w:sz w:val="18"/>
                <w:szCs w:val="18"/>
                <w:b w:val="1"/>
                <w:bCs w:val="1"/>
                <w:color w:val="auto"/>
              </w:rPr>
              <w:t>Exhibit Index</w:t>
            </w:r>
          </w:p>
        </w:tc>
      </w:tr>
      <w:tr>
        <w:trPr>
          <w:trHeight w:val="662"/>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8"/>
          </w:tcPr>
          <w:p>
            <w:pPr>
              <w:ind w:left="1200"/>
              <w:spacing w:after="0"/>
              <w:rPr>
                <w:sz w:val="20"/>
                <w:szCs w:val="20"/>
                <w:color w:val="auto"/>
              </w:rPr>
            </w:pPr>
            <w:r>
              <w:rPr>
                <w:rFonts w:ascii="Arial" w:cs="Arial" w:eastAsia="Arial" w:hAnsi="Arial"/>
                <w:sz w:val="18"/>
                <w:szCs w:val="18"/>
                <w:b w:val="1"/>
                <w:bCs w:val="1"/>
                <w:color w:val="auto"/>
              </w:rPr>
              <w:t>Exhibit Description</w:t>
            </w:r>
          </w:p>
        </w:tc>
      </w:tr>
      <w:tr>
        <w:trPr>
          <w:trHeight w:val="372"/>
        </w:trPr>
        <w:tc>
          <w:tcPr>
            <w:tcW w:w="240" w:type="dxa"/>
            <w:vAlign w:val="bottom"/>
          </w:tcPr>
          <w:p>
            <w:pPr>
              <w:spacing w:after="0"/>
              <w:rPr>
                <w:rFonts w:ascii="Arial" w:cs="Arial" w:eastAsia="Arial" w:hAnsi="Arial"/>
                <w:sz w:val="18"/>
                <w:szCs w:val="18"/>
                <w:color w:val="0000EE"/>
                <w:w w:val="87"/>
              </w:rPr>
            </w:pPr>
            <w:hyperlink r:id="rId4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80" w:type="dxa"/>
            <w:vAlign w:val="bottom"/>
            <w:gridSpan w:val="10"/>
          </w:tcPr>
          <w:p>
            <w:pPr>
              <w:spacing w:after="0"/>
              <w:rPr>
                <w:rFonts w:ascii="Arial" w:cs="Arial" w:eastAsia="Arial" w:hAnsi="Arial"/>
                <w:sz w:val="18"/>
                <w:szCs w:val="18"/>
                <w:color w:val="0000EE"/>
              </w:rPr>
            </w:pPr>
            <w:hyperlink r:id="rId45">
              <w:r>
                <w:rPr>
                  <w:rFonts w:ascii="Arial" w:cs="Arial" w:eastAsia="Arial" w:hAnsi="Arial"/>
                  <w:sz w:val="18"/>
                  <w:szCs w:val="18"/>
                  <w:color w:val="0000EE"/>
                </w:rPr>
                <w:t>Second Amended and Restated Certificate of Incorporation</w:t>
              </w:r>
            </w:hyperlink>
          </w:p>
        </w:tc>
      </w:tr>
      <w:tr>
        <w:trPr>
          <w:trHeight w:val="412"/>
        </w:trPr>
        <w:tc>
          <w:tcPr>
            <w:tcW w:w="24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r:id="rId4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Amended and Restated Bylaws</w:t>
              </w:r>
            </w:hyperlink>
          </w:p>
        </w:tc>
        <w:tc>
          <w:tcPr>
            <w:tcW w:w="2000" w:type="dxa"/>
            <w:vAlign w:val="bottom"/>
            <w:tcBorders>
              <w:top w:val="single" w:sz="8" w:color="0000EE"/>
            </w:tcBorders>
            <w:gridSpan w:val="2"/>
          </w:tcPr>
          <w:p>
            <w:pPr>
              <w:spacing w:after="0"/>
              <w:rPr>
                <w:sz w:val="24"/>
                <w:szCs w:val="24"/>
                <w:color w:val="auto"/>
              </w:rPr>
            </w:pPr>
          </w:p>
        </w:tc>
        <w:tc>
          <w:tcPr>
            <w:tcW w:w="1220" w:type="dxa"/>
            <w:vAlign w:val="bottom"/>
            <w:gridSpan w:val="5"/>
          </w:tcPr>
          <w:p>
            <w:pPr>
              <w:spacing w:after="0"/>
              <w:rPr>
                <w:sz w:val="24"/>
                <w:szCs w:val="24"/>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47">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80" w:type="dxa"/>
            <w:vAlign w:val="bottom"/>
            <w:gridSpan w:val="10"/>
          </w:tcPr>
          <w:p>
            <w:pPr>
              <w:spacing w:after="0"/>
              <w:rPr>
                <w:rFonts w:ascii="Arial" w:cs="Arial" w:eastAsia="Arial" w:hAnsi="Arial"/>
                <w:sz w:val="18"/>
                <w:szCs w:val="18"/>
                <w:color w:val="0000EE"/>
              </w:rPr>
            </w:pPr>
            <w:hyperlink r:id="rId47">
              <w:r>
                <w:rPr>
                  <w:rFonts w:ascii="Arial" w:cs="Arial" w:eastAsia="Arial" w:hAnsi="Arial"/>
                  <w:sz w:val="18"/>
                  <w:szCs w:val="18"/>
                  <w:color w:val="0000EE"/>
                </w:rPr>
                <w:t>Opinion of Schulte Roth &amp; Zabel LLP</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47">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380" w:type="dxa"/>
            <w:vAlign w:val="bottom"/>
          </w:tcPr>
          <w:p>
            <w:pPr>
              <w:spacing w:after="0"/>
              <w:rPr>
                <w:sz w:val="24"/>
                <w:szCs w:val="24"/>
                <w:color w:val="auto"/>
              </w:rPr>
            </w:pPr>
          </w:p>
        </w:tc>
        <w:tc>
          <w:tcPr>
            <w:tcW w:w="5480" w:type="dxa"/>
            <w:vAlign w:val="bottom"/>
            <w:gridSpan w:val="10"/>
          </w:tcPr>
          <w:p>
            <w:pPr>
              <w:spacing w:after="0"/>
              <w:rPr>
                <w:rFonts w:ascii="Arial" w:cs="Arial" w:eastAsia="Arial" w:hAnsi="Arial"/>
                <w:sz w:val="18"/>
                <w:szCs w:val="18"/>
                <w:color w:val="0000EE"/>
              </w:rPr>
            </w:pPr>
            <w:hyperlink r:id="rId47">
              <w:r>
                <w:rPr>
                  <w:rFonts w:ascii="Arial" w:cs="Arial" w:eastAsia="Arial" w:hAnsi="Arial"/>
                  <w:sz w:val="18"/>
                  <w:szCs w:val="18"/>
                  <w:color w:val="0000EE"/>
                </w:rPr>
                <w:t>Consent of Schulte Roth &amp; Zabel LLP (included in Exhibit 5.1)</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1380" w:type="dxa"/>
            <w:vAlign w:val="bottom"/>
          </w:tcPr>
          <w:p>
            <w:pPr>
              <w:spacing w:after="0"/>
              <w:rPr>
                <w:sz w:val="24"/>
                <w:szCs w:val="24"/>
                <w:color w:val="auto"/>
              </w:rPr>
            </w:pPr>
          </w:p>
        </w:tc>
        <w:tc>
          <w:tcPr>
            <w:tcW w:w="5480" w:type="dxa"/>
            <w:vAlign w:val="bottom"/>
            <w:gridSpan w:val="10"/>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Consent of Marcum LLP, Independent Registered Public Accounting Firm</w:t>
              </w:r>
            </w:hyperlink>
          </w:p>
        </w:tc>
      </w:tr>
      <w:tr>
        <w:trPr>
          <w:trHeight w:val="412"/>
        </w:trPr>
        <w:tc>
          <w:tcPr>
            <w:tcW w:w="3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3</w:t>
              </w:r>
            </w:hyperlink>
          </w:p>
        </w:tc>
        <w:tc>
          <w:tcPr>
            <w:tcW w:w="1380" w:type="dxa"/>
            <w:vAlign w:val="bottom"/>
          </w:tcPr>
          <w:p>
            <w:pPr>
              <w:spacing w:after="0"/>
              <w:rPr>
                <w:sz w:val="24"/>
                <w:szCs w:val="24"/>
                <w:color w:val="auto"/>
              </w:rPr>
            </w:pPr>
          </w:p>
        </w:tc>
        <w:tc>
          <w:tcPr>
            <w:tcW w:w="50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Consent of RSM US LLP, Independent Registered Public Accounting</w:t>
              </w:r>
            </w:hyperlink>
          </w:p>
        </w:tc>
        <w:tc>
          <w:tcPr>
            <w:tcW w:w="3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Firm</w:t>
              </w:r>
            </w:hyperlink>
          </w:p>
        </w:tc>
        <w:tc>
          <w:tcPr>
            <w:tcW w:w="5040" w:type="dxa"/>
            <w:vAlign w:val="bottom"/>
            <w:gridSpan w:val="9"/>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48">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380" w:type="dxa"/>
            <w:vAlign w:val="bottom"/>
          </w:tcPr>
          <w:p>
            <w:pPr>
              <w:spacing w:after="0"/>
              <w:rPr>
                <w:sz w:val="24"/>
                <w:szCs w:val="24"/>
                <w:color w:val="auto"/>
              </w:rPr>
            </w:pPr>
          </w:p>
        </w:tc>
        <w:tc>
          <w:tcPr>
            <w:tcW w:w="5480" w:type="dxa"/>
            <w:vAlign w:val="bottom"/>
            <w:gridSpan w:val="10"/>
          </w:tcPr>
          <w:p>
            <w:pPr>
              <w:spacing w:after="0"/>
              <w:rPr>
                <w:rFonts w:ascii="Arial" w:cs="Arial" w:eastAsia="Arial" w:hAnsi="Arial"/>
                <w:sz w:val="18"/>
                <w:szCs w:val="18"/>
                <w:color w:val="0000EE"/>
              </w:rPr>
            </w:pPr>
            <w:hyperlink r:id="rId48">
              <w:r>
                <w:rPr>
                  <w:rFonts w:ascii="Arial" w:cs="Arial" w:eastAsia="Arial" w:hAnsi="Arial"/>
                  <w:sz w:val="18"/>
                  <w:szCs w:val="18"/>
                  <w:color w:val="0000EE"/>
                </w:rPr>
                <w:t>Powers of Attorney (included on signature pages of this Registration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48">
              <w:r>
                <w:rPr>
                  <w:rFonts w:ascii="Arial" w:cs="Arial" w:eastAsia="Arial" w:hAnsi="Arial"/>
                  <w:sz w:val="18"/>
                  <w:szCs w:val="18"/>
                  <w:color w:val="0000EE"/>
                  <w:w w:val="86"/>
                </w:rPr>
                <w:t>Statement)</w:t>
              </w:r>
            </w:hyperlink>
          </w:p>
        </w:tc>
        <w:tc>
          <w:tcPr>
            <w:tcW w:w="4160" w:type="dxa"/>
            <w:vAlign w:val="bottom"/>
            <w:tcBorders>
              <w:top w:val="single" w:sz="8" w:color="0000EE"/>
            </w:tcBorders>
            <w:gridSpan w:val="5"/>
          </w:tcPr>
          <w:p>
            <w:pPr>
              <w:spacing w:after="0"/>
              <w:rPr>
                <w:sz w:val="17"/>
                <w:szCs w:val="17"/>
                <w:color w:val="auto"/>
              </w:rPr>
            </w:pPr>
          </w:p>
        </w:tc>
        <w:tc>
          <w:tcPr>
            <w:tcW w:w="54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-2040255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-1491615</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-1217295</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-942975</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2466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720" w:type="dxa"/>
            <w:vAlign w:val="bottom"/>
            <w:gridSpan w:val="11"/>
          </w:tcPr>
          <w:p>
            <w:pPr>
              <w:jc w:val="right"/>
              <w:ind w:right="400"/>
              <w:spacing w:after="0"/>
              <w:rPr>
                <w:sz w:val="20"/>
                <w:szCs w:val="20"/>
                <w:color w:val="auto"/>
              </w:rPr>
            </w:pPr>
            <w:r>
              <w:rPr>
                <w:rFonts w:ascii="Arial" w:cs="Arial" w:eastAsia="Arial" w:hAnsi="Arial"/>
                <w:sz w:val="18"/>
                <w:szCs w:val="18"/>
                <w:b w:val="1"/>
                <w:bCs w:val="1"/>
                <w:color w:val="auto"/>
              </w:rPr>
              <w:t>Incorporated by Reference</w:t>
            </w:r>
          </w:p>
        </w:tc>
        <w:tc>
          <w:tcPr>
            <w:tcW w:w="128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w w:val="90"/>
              </w:rPr>
              <w:t>Filed Herewith</w:t>
            </w:r>
          </w:p>
        </w:tc>
        <w:tc>
          <w:tcPr>
            <w:tcW w:w="0" w:type="dxa"/>
            <w:vAlign w:val="bottom"/>
          </w:tcPr>
          <w:p>
            <w:pPr>
              <w:spacing w:after="0"/>
              <w:rPr>
                <w:sz w:val="1"/>
                <w:szCs w:val="1"/>
                <w:color w:val="auto"/>
              </w:rPr>
            </w:pPr>
          </w:p>
        </w:tc>
      </w:tr>
      <w:tr>
        <w:trPr>
          <w:trHeight w:val="210"/>
        </w:trPr>
        <w:tc>
          <w:tcPr>
            <w:tcW w:w="5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Form</w:t>
            </w: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3"/>
              </w:rPr>
              <w:t>Exhibit</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Filing Date</w:t>
            </w:r>
          </w:p>
        </w:tc>
        <w:tc>
          <w:tcPr>
            <w:tcW w:w="140" w:type="dxa"/>
            <w:vAlign w:val="bottom"/>
          </w:tcPr>
          <w:p>
            <w:pPr>
              <w:spacing w:after="0"/>
              <w:rPr>
                <w:sz w:val="18"/>
                <w:szCs w:val="18"/>
                <w:color w:val="auto"/>
              </w:rPr>
            </w:pPr>
          </w:p>
        </w:tc>
        <w:tc>
          <w:tcPr>
            <w:tcW w:w="12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240" w:type="dxa"/>
            <w:vAlign w:val="bottom"/>
          </w:tcPr>
          <w:p>
            <w:pPr>
              <w:spacing w:after="0"/>
              <w:rPr>
                <w:rFonts w:ascii="Arial" w:cs="Arial" w:eastAsia="Arial" w:hAnsi="Arial"/>
                <w:sz w:val="18"/>
                <w:szCs w:val="18"/>
                <w:color w:val="0000EE"/>
                <w:w w:val="78"/>
              </w:rPr>
            </w:pPr>
            <w:hyperlink r:id="rId45">
              <w:r>
                <w:rPr>
                  <w:rFonts w:ascii="Arial" w:cs="Arial" w:eastAsia="Arial" w:hAnsi="Arial"/>
                  <w:sz w:val="18"/>
                  <w:szCs w:val="18"/>
                  <w:color w:val="0000EE"/>
                  <w:w w:val="78"/>
                </w:rPr>
                <w:t>8-K</w:t>
              </w:r>
            </w:hyperlink>
          </w:p>
        </w:tc>
        <w:tc>
          <w:tcPr>
            <w:tcW w:w="260" w:type="dxa"/>
            <w:vAlign w:val="bottom"/>
          </w:tcPr>
          <w:p>
            <w:pPr>
              <w:spacing w:after="0"/>
              <w:rPr>
                <w:sz w:val="24"/>
                <w:szCs w:val="24"/>
                <w:color w:val="auto"/>
              </w:rPr>
            </w:pPr>
          </w:p>
        </w:tc>
        <w:tc>
          <w:tcPr>
            <w:tcW w:w="600" w:type="dxa"/>
            <w:vAlign w:val="bottom"/>
            <w:gridSpan w:val="3"/>
          </w:tcPr>
          <w:p>
            <w:pPr>
              <w:jc w:val="right"/>
              <w:spacing w:after="0"/>
              <w:rPr>
                <w:rFonts w:ascii="Arial" w:cs="Arial" w:eastAsia="Arial" w:hAnsi="Arial"/>
                <w:sz w:val="18"/>
                <w:szCs w:val="18"/>
                <w:color w:val="0000EE"/>
              </w:rPr>
            </w:pPr>
            <w:hyperlink r:id="rId45">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280" w:type="dxa"/>
            <w:vAlign w:val="bottom"/>
          </w:tcPr>
          <w:p>
            <w:pPr>
              <w:spacing w:after="0"/>
              <w:rPr>
                <w:sz w:val="24"/>
                <w:szCs w:val="24"/>
                <w:color w:val="auto"/>
              </w:rPr>
            </w:pPr>
          </w:p>
        </w:tc>
        <w:tc>
          <w:tcPr>
            <w:tcW w:w="860" w:type="dxa"/>
            <w:vAlign w:val="bottom"/>
            <w:gridSpan w:val="3"/>
          </w:tcPr>
          <w:p>
            <w:pPr>
              <w:jc w:val="right"/>
              <w:spacing w:after="0"/>
              <w:rPr>
                <w:rFonts w:ascii="Arial" w:cs="Arial" w:eastAsia="Arial" w:hAnsi="Arial"/>
                <w:sz w:val="18"/>
                <w:szCs w:val="18"/>
                <w:color w:val="0000EE"/>
              </w:rPr>
            </w:pPr>
            <w:hyperlink r:id="rId45">
              <w:r>
                <w:rPr>
                  <w:rFonts w:ascii="Arial" w:cs="Arial" w:eastAsia="Arial" w:hAnsi="Arial"/>
                  <w:sz w:val="18"/>
                  <w:szCs w:val="18"/>
                  <w:color w:val="0000EE"/>
                </w:rPr>
                <w:t>7/31/18</w:t>
              </w:r>
            </w:hyperlink>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40" w:type="dxa"/>
            <w:vAlign w:val="bottom"/>
          </w:tcPr>
          <w:p>
            <w:pPr>
              <w:spacing w:after="0"/>
              <w:rPr>
                <w:rFonts w:ascii="Arial" w:cs="Arial" w:eastAsia="Arial" w:hAnsi="Arial"/>
                <w:sz w:val="18"/>
                <w:szCs w:val="18"/>
                <w:color w:val="0000EE"/>
                <w:w w:val="78"/>
              </w:rPr>
            </w:pPr>
            <w:hyperlink r:id="rId46">
              <w:r>
                <w:rPr>
                  <w:rFonts w:ascii="Arial" w:cs="Arial" w:eastAsia="Arial" w:hAnsi="Arial"/>
                  <w:sz w:val="18"/>
                  <w:szCs w:val="18"/>
                  <w:color w:val="0000EE"/>
                  <w:w w:val="78"/>
                </w:rPr>
                <w:t>8-K</w:t>
              </w:r>
            </w:hyperlink>
          </w:p>
        </w:tc>
        <w:tc>
          <w:tcPr>
            <w:tcW w:w="260" w:type="dxa"/>
            <w:vAlign w:val="bottom"/>
          </w:tcPr>
          <w:p>
            <w:pPr>
              <w:spacing w:after="0"/>
              <w:rPr>
                <w:sz w:val="24"/>
                <w:szCs w:val="24"/>
                <w:color w:val="auto"/>
              </w:rPr>
            </w:pPr>
          </w:p>
        </w:tc>
        <w:tc>
          <w:tcPr>
            <w:tcW w:w="600" w:type="dxa"/>
            <w:vAlign w:val="bottom"/>
            <w:gridSpan w:val="3"/>
          </w:tcPr>
          <w:p>
            <w:pPr>
              <w:jc w:val="right"/>
              <w:spacing w:after="0"/>
              <w:rPr>
                <w:rFonts w:ascii="Arial" w:cs="Arial" w:eastAsia="Arial" w:hAnsi="Arial"/>
                <w:sz w:val="18"/>
                <w:szCs w:val="18"/>
                <w:color w:val="0000EE"/>
              </w:rPr>
            </w:pPr>
            <w:hyperlink r:id="rId46">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280" w:type="dxa"/>
            <w:vAlign w:val="bottom"/>
          </w:tcPr>
          <w:p>
            <w:pPr>
              <w:spacing w:after="0"/>
              <w:rPr>
                <w:sz w:val="24"/>
                <w:szCs w:val="24"/>
                <w:color w:val="auto"/>
              </w:rPr>
            </w:pPr>
          </w:p>
        </w:tc>
        <w:tc>
          <w:tcPr>
            <w:tcW w:w="860" w:type="dxa"/>
            <w:vAlign w:val="bottom"/>
            <w:gridSpan w:val="3"/>
          </w:tcPr>
          <w:p>
            <w:pPr>
              <w:jc w:val="right"/>
              <w:spacing w:after="0"/>
              <w:rPr>
                <w:rFonts w:ascii="Arial" w:cs="Arial" w:eastAsia="Arial" w:hAnsi="Arial"/>
                <w:sz w:val="18"/>
                <w:szCs w:val="18"/>
                <w:color w:val="0000EE"/>
              </w:rPr>
            </w:pPr>
            <w:hyperlink r:id="rId46">
              <w:r>
                <w:rPr>
                  <w:rFonts w:ascii="Arial" w:cs="Arial" w:eastAsia="Arial" w:hAnsi="Arial"/>
                  <w:sz w:val="18"/>
                  <w:szCs w:val="18"/>
                  <w:color w:val="0000EE"/>
                </w:rPr>
                <w:t>7/31/18</w:t>
              </w:r>
            </w:hyperlink>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rPr>
            </w:pPr>
            <w:hyperlink r:id="rId47">
              <w:r>
                <w:rPr>
                  <w:rFonts w:ascii="Arial" w:cs="Arial" w:eastAsia="Arial" w:hAnsi="Arial"/>
                  <w:sz w:val="18"/>
                  <w:szCs w:val="18"/>
                  <w:color w:val="0000EE"/>
                </w:rPr>
                <w:t>S-3</w:t>
              </w:r>
            </w:hyperlink>
          </w:p>
        </w:tc>
        <w:tc>
          <w:tcPr>
            <w:tcW w:w="880" w:type="dxa"/>
            <w:vAlign w:val="bottom"/>
            <w:gridSpan w:val="4"/>
          </w:tcPr>
          <w:p>
            <w:pPr>
              <w:jc w:val="right"/>
              <w:ind w:right="280"/>
              <w:spacing w:after="0"/>
              <w:rPr>
                <w:rFonts w:ascii="Arial" w:cs="Arial" w:eastAsia="Arial" w:hAnsi="Arial"/>
                <w:sz w:val="18"/>
                <w:szCs w:val="18"/>
                <w:color w:val="0000EE"/>
              </w:rPr>
            </w:pPr>
            <w:hyperlink r:id="rId47">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1000" w:type="dxa"/>
            <w:vAlign w:val="bottom"/>
            <w:gridSpan w:val="4"/>
          </w:tcPr>
          <w:p>
            <w:pPr>
              <w:jc w:val="right"/>
              <w:ind w:right="140"/>
              <w:spacing w:after="0"/>
              <w:rPr>
                <w:rFonts w:ascii="Arial" w:cs="Arial" w:eastAsia="Arial" w:hAnsi="Arial"/>
                <w:sz w:val="18"/>
                <w:szCs w:val="18"/>
                <w:color w:val="0000EE"/>
              </w:rPr>
            </w:pPr>
            <w:hyperlink r:id="rId47">
              <w:r>
                <w:rPr>
                  <w:rFonts w:ascii="Arial" w:cs="Arial" w:eastAsia="Arial" w:hAnsi="Arial"/>
                  <w:sz w:val="18"/>
                  <w:szCs w:val="18"/>
                  <w:color w:val="0000EE"/>
                </w:rPr>
                <w:t>8/9/18</w:t>
              </w:r>
            </w:hyperlink>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3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X</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X</w:t>
              </w:r>
            </w:hyperlink>
          </w:p>
        </w:tc>
        <w:tc>
          <w:tcPr>
            <w:tcW w:w="0" w:type="dxa"/>
            <w:vAlign w:val="bottom"/>
          </w:tcPr>
          <w:p>
            <w:pPr>
              <w:spacing w:after="0"/>
              <w:rPr>
                <w:sz w:val="1"/>
                <w:szCs w:val="1"/>
                <w:color w:val="auto"/>
              </w:rPr>
            </w:pPr>
          </w:p>
        </w:tc>
      </w:tr>
      <w:tr>
        <w:trPr>
          <w:trHeight w:val="628"/>
        </w:trPr>
        <w:tc>
          <w:tcPr>
            <w:tcW w:w="3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rPr>
            </w:pPr>
            <w:hyperlink r:id="rId48">
              <w:r>
                <w:rPr>
                  <w:rFonts w:ascii="Arial" w:cs="Arial" w:eastAsia="Arial" w:hAnsi="Arial"/>
                  <w:sz w:val="18"/>
                  <w:szCs w:val="18"/>
                  <w:color w:val="0000EE"/>
                </w:rPr>
                <w:t>S-3</w:t>
              </w:r>
            </w:hyperlink>
          </w:p>
        </w:tc>
        <w:tc>
          <w:tcPr>
            <w:tcW w:w="880" w:type="dxa"/>
            <w:vAlign w:val="bottom"/>
            <w:gridSpan w:val="4"/>
          </w:tcPr>
          <w:p>
            <w:pPr>
              <w:jc w:val="right"/>
              <w:ind w:right="280"/>
              <w:spacing w:after="0"/>
              <w:rPr>
                <w:rFonts w:ascii="Arial" w:cs="Arial" w:eastAsia="Arial" w:hAnsi="Arial"/>
                <w:sz w:val="18"/>
                <w:szCs w:val="18"/>
                <w:color w:val="0000EE"/>
              </w:rPr>
            </w:pPr>
            <w:hyperlink r:id="rId48">
              <w:r>
                <w:rPr>
                  <w:rFonts w:ascii="Arial" w:cs="Arial" w:eastAsia="Arial" w:hAnsi="Arial"/>
                  <w:sz w:val="18"/>
                  <w:szCs w:val="18"/>
                  <w:color w:val="0000EE"/>
                </w:rPr>
                <w:t>24.</w:t>
              </w:r>
              <w:r>
                <w:rPr>
                  <w:rFonts w:ascii="Arial" w:cs="Arial" w:eastAsia="Arial" w:hAnsi="Arial"/>
                  <w:sz w:val="18"/>
                  <w:szCs w:val="18"/>
                  <w:u w:val="single" w:color="auto"/>
                  <w:color w:val="0000EE"/>
                </w:rPr>
                <w:t>1</w:t>
              </w:r>
            </w:hyperlink>
          </w:p>
        </w:tc>
        <w:tc>
          <w:tcPr>
            <w:tcW w:w="1000" w:type="dxa"/>
            <w:vAlign w:val="bottom"/>
            <w:gridSpan w:val="4"/>
          </w:tcPr>
          <w:p>
            <w:pPr>
              <w:jc w:val="right"/>
              <w:ind w:right="140"/>
              <w:spacing w:after="0"/>
              <w:rPr>
                <w:rFonts w:ascii="Arial" w:cs="Arial" w:eastAsia="Arial" w:hAnsi="Arial"/>
                <w:sz w:val="18"/>
                <w:szCs w:val="18"/>
                <w:color w:val="0000EE"/>
              </w:rPr>
            </w:pPr>
            <w:hyperlink r:id="rId48">
              <w:r>
                <w:rPr>
                  <w:rFonts w:ascii="Arial" w:cs="Arial" w:eastAsia="Arial" w:hAnsi="Arial"/>
                  <w:sz w:val="18"/>
                  <w:szCs w:val="18"/>
                  <w:color w:val="0000EE"/>
                </w:rPr>
                <w:t>8/9/18</w:t>
              </w:r>
            </w:hyperlink>
          </w:p>
        </w:tc>
        <w:tc>
          <w:tcPr>
            <w:tcW w:w="5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7180" w:space="220"/>
            <w:col w:w="4000"/>
          </w:cols>
          <w:pgMar w:left="240" w:top="796"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August 10, 2018.</w:t>
      </w:r>
    </w:p>
    <w:p>
      <w:pPr>
        <w:spacing w:after="0" w:line="18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Priore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Thomas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Chairman</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August 10,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2200"/>
              <w:spacing w:after="0"/>
              <w:rPr>
                <w:sz w:val="20"/>
                <w:szCs w:val="20"/>
                <w:color w:val="auto"/>
              </w:rPr>
            </w:pPr>
            <w:r>
              <w:rPr>
                <w:rFonts w:ascii="Arial" w:cs="Arial" w:eastAsia="Arial" w:hAnsi="Arial"/>
                <w:sz w:val="18"/>
                <w:szCs w:val="18"/>
                <w:b w:val="1"/>
                <w:bCs w:val="1"/>
                <w:color w:val="auto"/>
              </w:rPr>
              <w:t>Signature</w:t>
            </w:r>
          </w:p>
        </w:tc>
        <w:tc>
          <w:tcPr>
            <w:tcW w:w="626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Title</w:t>
            </w:r>
          </w:p>
        </w:tc>
      </w:tr>
      <w:tr>
        <w:trPr>
          <w:trHeight w:val="432"/>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3"/>
              </w:rPr>
              <w:t>Chief Executive Officer and 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John Priore</w:t>
            </w:r>
          </w:p>
        </w:tc>
        <w:tc>
          <w:tcPr>
            <w:tcW w:w="6260" w:type="dxa"/>
            <w:vAlign w:val="bottom"/>
          </w:tcPr>
          <w:p>
            <w:pPr>
              <w:jc w:val="center"/>
              <w:ind w:left="90"/>
              <w:spacing w:after="0"/>
              <w:rPr>
                <w:sz w:val="20"/>
                <w:szCs w:val="20"/>
                <w:color w:val="auto"/>
              </w:rPr>
            </w:pPr>
            <w:r>
              <w:rPr>
                <w:rFonts w:ascii="Arial" w:cs="Arial" w:eastAsia="Arial" w:hAnsi="Arial"/>
                <w:sz w:val="18"/>
                <w:szCs w:val="18"/>
                <w:color w:val="auto"/>
                <w:w w:val="93"/>
              </w:rPr>
              <w:t>(Principal Executive Officer)</w:t>
            </w: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Bruce Mattox</w:t>
            </w:r>
          </w:p>
        </w:tc>
        <w:tc>
          <w:tcPr>
            <w:tcW w:w="6260" w:type="dxa"/>
            <w:vAlign w:val="bottom"/>
          </w:tcPr>
          <w:p>
            <w:pPr>
              <w:jc w:val="center"/>
              <w:ind w:left="90"/>
              <w:spacing w:after="0"/>
              <w:rPr>
                <w:sz w:val="20"/>
                <w:szCs w:val="20"/>
                <w:color w:val="auto"/>
              </w:rPr>
            </w:pPr>
            <w:r>
              <w:rPr>
                <w:rFonts w:ascii="Arial" w:cs="Arial" w:eastAsia="Arial" w:hAnsi="Arial"/>
                <w:sz w:val="18"/>
                <w:szCs w:val="18"/>
                <w:color w:val="auto"/>
                <w:w w:val="93"/>
              </w:rPr>
              <w:t>(Principal Accounting and Financial Officer)</w:t>
            </w: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Priore</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2"/>
              </w:rPr>
              <w:t>Executive Director and Chairman</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Thomas Priore</w:t>
            </w:r>
          </w:p>
        </w:tc>
        <w:tc>
          <w:tcPr>
            <w:tcW w:w="626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Marc Manuel</w:t>
            </w:r>
          </w:p>
        </w:tc>
        <w:tc>
          <w:tcPr>
            <w:tcW w:w="626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William Gahan</w:t>
            </w:r>
          </w:p>
        </w:tc>
        <w:tc>
          <w:tcPr>
            <w:tcW w:w="626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Matthew Kearney</w:t>
            </w:r>
          </w:p>
        </w:tc>
        <w:tc>
          <w:tcPr>
            <w:tcW w:w="6260" w:type="dxa"/>
            <w:vAlign w:val="bottom"/>
          </w:tcPr>
          <w:p>
            <w:pPr>
              <w:spacing w:after="0"/>
              <w:rPr>
                <w:sz w:val="19"/>
                <w:szCs w:val="19"/>
                <w:color w:val="auto"/>
              </w:rPr>
            </w:pPr>
          </w:p>
        </w:tc>
      </w:tr>
      <w:tr>
        <w:trPr>
          <w:trHeight w:val="425"/>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Priore</w:t>
            </w:r>
          </w:p>
        </w:tc>
        <w:tc>
          <w:tcPr>
            <w:tcW w:w="6260" w:type="dxa"/>
            <w:vAlign w:val="bottom"/>
          </w:tcPr>
          <w:p>
            <w:pPr>
              <w:spacing w:after="0"/>
              <w:rPr>
                <w:sz w:val="24"/>
                <w:szCs w:val="24"/>
                <w:color w:val="auto"/>
              </w:rPr>
            </w:pPr>
          </w:p>
        </w:tc>
      </w:tr>
      <w:tr>
        <w:trPr>
          <w:trHeight w:val="202"/>
        </w:trPr>
        <w:tc>
          <w:tcPr>
            <w:tcW w:w="5160" w:type="dxa"/>
            <w:vAlign w:val="bottom"/>
          </w:tcPr>
          <w:p>
            <w:pPr>
              <w:ind w:left="100"/>
              <w:spacing w:after="0" w:line="201" w:lineRule="exact"/>
              <w:rPr>
                <w:sz w:val="20"/>
                <w:szCs w:val="20"/>
                <w:color w:val="auto"/>
              </w:rPr>
            </w:pPr>
            <w:r>
              <w:rPr>
                <w:rFonts w:ascii="Arial" w:cs="Arial" w:eastAsia="Arial" w:hAnsi="Arial"/>
                <w:sz w:val="18"/>
                <w:szCs w:val="18"/>
                <w:color w:val="auto"/>
              </w:rPr>
              <w:t>Thomas Priore</w:t>
            </w:r>
          </w:p>
        </w:tc>
        <w:tc>
          <w:tcPr>
            <w:tcW w:w="6260" w:type="dxa"/>
            <w:vAlign w:val="bottom"/>
          </w:tcPr>
          <w:p>
            <w:pPr>
              <w:spacing w:after="0"/>
              <w:rPr>
                <w:sz w:val="17"/>
                <w:szCs w:val="17"/>
                <w:color w:val="auto"/>
              </w:rPr>
            </w:pPr>
          </w:p>
        </w:tc>
      </w:tr>
      <w:tr>
        <w:trPr>
          <w:trHeight w:val="230"/>
        </w:trPr>
        <w:tc>
          <w:tcPr>
            <w:tcW w:w="5160" w:type="dxa"/>
            <w:vAlign w:val="bottom"/>
          </w:tcPr>
          <w:p>
            <w:pPr>
              <w:ind w:left="100"/>
              <w:spacing w:after="0"/>
              <w:rPr>
                <w:sz w:val="20"/>
                <w:szCs w:val="20"/>
                <w:color w:val="auto"/>
              </w:rPr>
            </w:pPr>
            <w:r>
              <w:rPr>
                <w:rFonts w:ascii="Arial" w:cs="Arial" w:eastAsia="Arial" w:hAnsi="Arial"/>
                <w:sz w:val="18"/>
                <w:szCs w:val="18"/>
                <w:color w:val="auto"/>
              </w:rPr>
              <w:t>Attorney-in-Fact</w:t>
            </w:r>
          </w:p>
        </w:tc>
        <w:tc>
          <w:tcPr>
            <w:tcW w:w="6260" w:type="dxa"/>
            <w:vAlign w:val="bottom"/>
          </w:tcPr>
          <w:p>
            <w:pPr>
              <w:spacing w:after="0"/>
              <w:rPr>
                <w:sz w:val="20"/>
                <w:szCs w:val="20"/>
                <w:color w:val="auto"/>
              </w:rPr>
            </w:pPr>
          </w:p>
        </w:tc>
      </w:tr>
      <w:tr>
        <w:trPr>
          <w:trHeight w:val="561"/>
        </w:trPr>
        <w:tc>
          <w:tcPr>
            <w:tcW w:w="5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consent to the incorporation by reference in this Registration Statement of Priority Technology Holdings, Inc. (formerly M I Acquisitions, Inc.) on Form S-3 of our report dated March 27, 2018, which includes an explanatory paragraph as to the M I Acquisitions, Inc. ability to continue as a going concern, with respect to our audits of the financial statements of M I Acquisitions, Inc. (now known as Priority Technology Holdings, Inc.) as of December 31, 2017 and 2016 and for the two years in the period ended December 31, 2017 appearing in the Annual Report on Form 10-K of M I Acquisitions, Inc. for the year ended December 31, 2017. We also consent to the reference to our firm under the heading “Experts” in the Prospectus, which is part of this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23.3</w:t>
      </w:r>
    </w:p>
    <w:p>
      <w:pPr>
        <w:spacing w:after="0" w:line="2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consent to the incorporation by reference in this Amendment No. 1 to the Registration Statement on Form S-3 and related Prospectus of Priority Technology Holdings, Inc. of our report dated April 18, 2018, relating to the consolidated financial statements of Priority Holdings, LLC, appearing in the Current Report on Form 8-K of Priority Technology Holdings, Inc. dated July 25,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4"/>
    </w:lvl>
  </w:abstractNum>
  <w:abstractNum w:abstractNumId="3">
    <w:nsid w:val="5BD062C2"/>
    <w:multiLevelType w:val="hybridMultilevel"/>
    <w:lvl w:ilvl="0">
      <w:lvlJc w:val="left"/>
      <w:lvlText w:val="●"/>
      <w:numFmt w:val="bullet"/>
      <w:start w:val="1"/>
    </w:lvl>
    <w:lvl w:ilvl="1">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upperLetter"/>
      <w:start w:val="1"/>
    </w:lvl>
  </w:abstractNum>
  <w:abstractNum w:abstractNumId="8">
    <w:nsid w:val="1190CDE7"/>
    <w:multiLevelType w:val="hybridMultilevel"/>
    <w:lvl w:ilvl="0">
      <w:lvlJc w:val="left"/>
      <w:lvlText w:val="(%1)"/>
      <w:numFmt w:val="lowerRoman"/>
      <w:start w:val="2"/>
    </w:lvl>
  </w:abstractNum>
  <w:abstractNum w:abstractNumId="9">
    <w:nsid w:val="66EF438D"/>
    <w:multiLevelType w:val="hybridMultilevel"/>
    <w:lvl w:ilvl="0">
      <w:lvlJc w:val="left"/>
      <w:lvlText w:val="(%1)"/>
      <w:numFmt w:val="upperLetter"/>
      <w:start w:val="2"/>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upperLetter"/>
      <w:start w:val="5"/>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45" Type="http://schemas.openxmlformats.org/officeDocument/2006/relationships/hyperlink" Target="http://www.sec.gov/Archives/edgar/data/1653558/000161577418007231/s111606_ex3-1.htm" TargetMode="External"/><Relationship Id="rId46" Type="http://schemas.openxmlformats.org/officeDocument/2006/relationships/hyperlink" Target="http://www.sec.gov/Archives/edgar/data/1653558/000161577418007231/s111606_ex3-2.htm" TargetMode="External"/><Relationship Id="rId47" Type="http://schemas.openxmlformats.org/officeDocument/2006/relationships/hyperlink" Target="http://www.sec.gov/Archives/edgar/data/1653558/000161577418007782/s111919_ex5-1.htm" TargetMode="External"/><Relationship Id="rId48" Type="http://schemas.openxmlformats.org/officeDocument/2006/relationships/hyperlink" Target="http://www.sec.gov/Archives/edgar/data/1653558/000161577418007782/s111919_s3.htm#a012_v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2020-01-13T07:36:18Z</dcterms:created>
  <dcterms:modified xsi:type="dcterms:W3CDTF">2020-01-13T07:36:18Z</dcterms:modified>
</cp:coreProperties>
</file>