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October 14, 2016</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 I Acquisitions,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00" w:type="dxa"/>
            <w:vAlign w:val="bottom"/>
            <w:gridSpan w:val="3"/>
          </w:tcPr>
          <w:p>
            <w:pPr>
              <w:jc w:val="center"/>
              <w:ind w:right="820"/>
              <w:spacing w:after="0"/>
              <w:rPr>
                <w:sz w:val="20"/>
                <w:szCs w:val="20"/>
                <w:color w:val="auto"/>
              </w:rPr>
            </w:pPr>
            <w:r>
              <w:rPr>
                <w:rFonts w:ascii="Arial" w:cs="Arial" w:eastAsia="Arial" w:hAnsi="Arial"/>
                <w:sz w:val="18"/>
                <w:szCs w:val="18"/>
                <w:b w:val="1"/>
                <w:bCs w:val="1"/>
                <w:color w:val="auto"/>
                <w:w w:val="91"/>
              </w:rPr>
              <w:t>Delaware</w:t>
            </w:r>
          </w:p>
        </w:tc>
        <w:tc>
          <w:tcPr>
            <w:tcW w:w="3060" w:type="dxa"/>
            <w:vAlign w:val="bottom"/>
            <w:gridSpan w:val="3"/>
          </w:tcPr>
          <w:p>
            <w:pPr>
              <w:jc w:val="right"/>
              <w:ind w:right="1440"/>
              <w:spacing w:after="0"/>
              <w:rPr>
                <w:sz w:val="20"/>
                <w:szCs w:val="20"/>
                <w:color w:val="auto"/>
              </w:rPr>
            </w:pPr>
            <w:r>
              <w:rPr>
                <w:rFonts w:ascii="Arial" w:cs="Arial" w:eastAsia="Arial" w:hAnsi="Arial"/>
                <w:sz w:val="18"/>
                <w:szCs w:val="18"/>
                <w:b w:val="1"/>
                <w:bCs w:val="1"/>
                <w:color w:val="auto"/>
              </w:rPr>
              <w:t>001-37872</w:t>
            </w:r>
          </w:p>
        </w:tc>
        <w:tc>
          <w:tcPr>
            <w:tcW w:w="220" w:type="dxa"/>
            <w:vAlign w:val="bottom"/>
          </w:tcPr>
          <w:p>
            <w:pPr>
              <w:spacing w:after="0"/>
              <w:rPr>
                <w:sz w:val="20"/>
                <w:szCs w:val="20"/>
                <w:color w:val="auto"/>
              </w:rPr>
            </w:pPr>
          </w:p>
        </w:tc>
        <w:tc>
          <w:tcPr>
            <w:tcW w:w="3640" w:type="dxa"/>
            <w:vAlign w:val="bottom"/>
          </w:tcPr>
          <w:p>
            <w:pPr>
              <w:jc w:val="right"/>
              <w:ind w:right="1290"/>
              <w:spacing w:after="0"/>
              <w:rPr>
                <w:sz w:val="20"/>
                <w:szCs w:val="20"/>
                <w:color w:val="auto"/>
              </w:rPr>
            </w:pPr>
            <w:r>
              <w:rPr>
                <w:rFonts w:ascii="Arial" w:cs="Arial" w:eastAsia="Arial" w:hAnsi="Arial"/>
                <w:sz w:val="18"/>
                <w:szCs w:val="18"/>
                <w:b w:val="1"/>
                <w:bCs w:val="1"/>
                <w:color w:val="auto"/>
              </w:rPr>
              <w:t>47-4257046</w:t>
            </w:r>
          </w:p>
        </w:tc>
      </w:tr>
      <w:tr>
        <w:trPr>
          <w:trHeight w:val="224"/>
        </w:trPr>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24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060" w:type="dxa"/>
            <w:vAlign w:val="bottom"/>
            <w:tcBorders>
              <w:top w:val="single" w:sz="8" w:color="auto"/>
            </w:tcBorders>
            <w:gridSpan w:val="3"/>
          </w:tcPr>
          <w:p>
            <w:pPr>
              <w:jc w:val="center"/>
              <w:ind w:right="600"/>
              <w:spacing w:after="0"/>
              <w:rPr>
                <w:sz w:val="20"/>
                <w:szCs w:val="20"/>
                <w:color w:val="auto"/>
              </w:rPr>
            </w:pPr>
            <w:r>
              <w:rPr>
                <w:rFonts w:ascii="Arial" w:cs="Arial" w:eastAsia="Arial" w:hAnsi="Arial"/>
                <w:sz w:val="18"/>
                <w:szCs w:val="18"/>
                <w:color w:val="auto"/>
                <w:w w:val="92"/>
              </w:rPr>
              <w:t>(Commission File Number)</w:t>
            </w:r>
          </w:p>
        </w:tc>
        <w:tc>
          <w:tcPr>
            <w:tcW w:w="22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400"/>
        </w:trPr>
        <w:tc>
          <w:tcPr>
            <w:tcW w:w="4500" w:type="dxa"/>
            <w:vAlign w:val="bottom"/>
            <w:gridSpan w:val="3"/>
          </w:tcPr>
          <w:p>
            <w:pPr>
              <w:jc w:val="center"/>
              <w:ind w:left="1030"/>
              <w:spacing w:after="0"/>
              <w:rPr>
                <w:sz w:val="20"/>
                <w:szCs w:val="20"/>
                <w:color w:val="auto"/>
              </w:rPr>
            </w:pPr>
            <w:r>
              <w:rPr>
                <w:rFonts w:ascii="Arial" w:cs="Arial" w:eastAsia="Arial" w:hAnsi="Arial"/>
                <w:sz w:val="18"/>
                <w:szCs w:val="18"/>
                <w:b w:val="1"/>
                <w:bCs w:val="1"/>
                <w:color w:val="auto"/>
                <w:w w:val="92"/>
              </w:rPr>
              <w:t>c/o Magna Management LLC</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16"/>
        </w:trPr>
        <w:tc>
          <w:tcPr>
            <w:tcW w:w="4500" w:type="dxa"/>
            <w:vAlign w:val="bottom"/>
            <w:gridSpan w:val="3"/>
          </w:tcPr>
          <w:p>
            <w:pPr>
              <w:jc w:val="center"/>
              <w:ind w:left="1030"/>
              <w:spacing w:after="0"/>
              <w:rPr>
                <w:sz w:val="20"/>
                <w:szCs w:val="20"/>
                <w:color w:val="auto"/>
              </w:rPr>
            </w:pPr>
            <w:r>
              <w:rPr>
                <w:rFonts w:ascii="Arial" w:cs="Arial" w:eastAsia="Arial" w:hAnsi="Arial"/>
                <w:sz w:val="18"/>
                <w:szCs w:val="18"/>
                <w:b w:val="1"/>
                <w:bCs w:val="1"/>
                <w:color w:val="auto"/>
                <w:w w:val="92"/>
              </w:rPr>
              <w:t>40 Wall Street, 58th Floor</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40" w:type="dxa"/>
            <w:vAlign w:val="bottom"/>
          </w:tcPr>
          <w:p>
            <w:pPr>
              <w:spacing w:after="0"/>
              <w:rPr>
                <w:sz w:val="18"/>
                <w:szCs w:val="18"/>
                <w:color w:val="auto"/>
              </w:rPr>
            </w:pPr>
          </w:p>
        </w:tc>
      </w:tr>
      <w:tr>
        <w:trPr>
          <w:trHeight w:val="234"/>
        </w:trPr>
        <w:tc>
          <w:tcPr>
            <w:tcW w:w="4500" w:type="dxa"/>
            <w:vAlign w:val="bottom"/>
            <w:tcBorders>
              <w:bottom w:val="single" w:sz="8" w:color="auto"/>
            </w:tcBorders>
            <w:gridSpan w:val="3"/>
          </w:tcPr>
          <w:p>
            <w:pPr>
              <w:jc w:val="center"/>
              <w:ind w:left="1030"/>
              <w:spacing w:after="0"/>
              <w:rPr>
                <w:sz w:val="20"/>
                <w:szCs w:val="20"/>
                <w:color w:val="auto"/>
              </w:rPr>
            </w:pPr>
            <w:r>
              <w:rPr>
                <w:rFonts w:ascii="Arial" w:cs="Arial" w:eastAsia="Arial" w:hAnsi="Arial"/>
                <w:sz w:val="18"/>
                <w:szCs w:val="18"/>
                <w:b w:val="1"/>
                <w:bCs w:val="1"/>
                <w:color w:val="auto"/>
                <w:w w:val="93"/>
              </w:rPr>
              <w:t>New York, NY</w:t>
            </w:r>
          </w:p>
        </w:tc>
        <w:tc>
          <w:tcPr>
            <w:tcW w:w="11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640" w:type="dxa"/>
            <w:vAlign w:val="bottom"/>
            <w:tcBorders>
              <w:bottom w:val="single" w:sz="8" w:color="auto"/>
            </w:tcBorders>
          </w:tcPr>
          <w:p>
            <w:pPr>
              <w:jc w:val="right"/>
              <w:ind w:right="2490"/>
              <w:spacing w:after="0"/>
              <w:rPr>
                <w:sz w:val="20"/>
                <w:szCs w:val="20"/>
                <w:color w:val="auto"/>
              </w:rPr>
            </w:pPr>
            <w:r>
              <w:rPr>
                <w:rFonts w:ascii="Arial" w:cs="Arial" w:eastAsia="Arial" w:hAnsi="Arial"/>
                <w:sz w:val="18"/>
                <w:szCs w:val="18"/>
                <w:b w:val="1"/>
                <w:bCs w:val="1"/>
                <w:color w:val="auto"/>
              </w:rPr>
              <w:t>10005</w:t>
            </w:r>
          </w:p>
        </w:tc>
      </w:tr>
      <w:tr>
        <w:trPr>
          <w:trHeight w:val="224"/>
        </w:trPr>
        <w:tc>
          <w:tcPr>
            <w:tcW w:w="4500" w:type="dxa"/>
            <w:vAlign w:val="bottom"/>
            <w:gridSpan w:val="3"/>
          </w:tcPr>
          <w:p>
            <w:pPr>
              <w:jc w:val="center"/>
              <w:ind w:left="1030"/>
              <w:spacing w:after="0"/>
              <w:rPr>
                <w:sz w:val="20"/>
                <w:szCs w:val="20"/>
                <w:color w:val="auto"/>
              </w:rPr>
            </w:pPr>
            <w:r>
              <w:rPr>
                <w:rFonts w:ascii="Arial" w:cs="Arial" w:eastAsia="Arial" w:hAnsi="Arial"/>
                <w:sz w:val="18"/>
                <w:szCs w:val="18"/>
                <w:color w:val="auto"/>
                <w:w w:val="92"/>
              </w:rPr>
              <w:t>(Address of Principal Executive Offices)</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40" w:type="dxa"/>
            <w:vAlign w:val="bottom"/>
          </w:tcPr>
          <w:p>
            <w:pPr>
              <w:jc w:val="center"/>
              <w:ind w:right="1870"/>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(347) 491-4240</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186690</wp:posOffset>
            </wp:positionV>
            <wp:extent cx="1809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w:t>
      </w:r>
    </w:p>
    <w:p>
      <w:pPr>
        <w:spacing w:after="0" w:line="2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w:t>
      </w:r>
    </w:p>
    <w:p>
      <w:pPr>
        <w:spacing w:after="0" w:line="2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w:t>
      </w:r>
    </w:p>
    <w:p>
      <w:pPr>
        <w:spacing w:after="0" w:line="2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3.02. Unregistered Sales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included in Item 8.01 is incorporated into this Item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400"/>
        <w:spacing w:after="0" w:line="257" w:lineRule="auto"/>
        <w:rPr>
          <w:sz w:val="20"/>
          <w:szCs w:val="20"/>
          <w:color w:val="auto"/>
        </w:rPr>
      </w:pPr>
      <w:r>
        <w:rPr>
          <w:rFonts w:ascii="Arial" w:cs="Arial" w:eastAsia="Arial" w:hAnsi="Arial"/>
          <w:sz w:val="18"/>
          <w:szCs w:val="18"/>
          <w:color w:val="auto"/>
        </w:rPr>
        <w:t>As previously disclosed on a Current Report on Form 8-K dated September 19, 2016 (the “Current Report”), on September 19, 2016, the Company consummated its initial public offering of 5,000,000 units (the “Units”). Each Unit consists of one share of common stock (“Common Stock”), and one warrant (“Public Warrant”) to purchase one share of Common Stock at an exercise price of $11.50 per share. The Units were sold at an offering price of $10.00 per Unit, generating gross proceeds of $50,000,000. The Company granted the underwriters a 45-day option to purchase up to 750,000 additional Units to cover over-allotments, if any (the “Over-allotment Option”).</w:t>
      </w:r>
    </w:p>
    <w:p>
      <w:pPr>
        <w:spacing w:after="0" w:line="18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also previously disclosed in the Current Report, on September 19, 2016, simultaneously with the consummation of the initial public offering, the Company consummated the private placement of 402,500 units (the “Private Units”) at a price of $10.00 per Private Unit to its initial stockholders, generating total proceeds of $4,025,000.</w:t>
      </w:r>
    </w:p>
    <w:p>
      <w:pPr>
        <w:spacing w:after="0" w:line="181"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The underwriters exercised the Over-allotment Option in part and, on October 14, 2016, the underwriters purchased 310,109 Over-allotment Option Units, which were sold at an offering price of $10.00 per Unit, generating gross proceeds of $3,101,090. On October 14, 2016, simultaneously with the sale of the Over-Allotment Units, the Company consummated the private sale of an additional 18,607 Private Units to one of the initial stockholders, generating gross proceeds of $186,070.</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 total of $54,694,127 of the net proceeds from the sale of Units in the initial public offering (including the Over-allotment Option Units) and the private placements on September 19, 2016 and October 14, 2016, were placed in a trust account established for the benefit of the Company’s public stockholders. The Company’s unaudited pro forma balance sheet, reflecting receipt of the proceeds from the sale of the Over-Allotment Units and related private placement is included as Exhibit 99.1 to this Current Report on Form 8-K.</w:t>
      </w:r>
    </w:p>
    <w:p>
      <w:pPr>
        <w:spacing w:after="0" w:line="18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Private Units are identical to the Units sold in the initial public offering except that the warrants underlying the Private Units (i) will be exercisable on a cashless basis at the holder’s option and (ii) will not be redeemable by the Company, in either case as long as they are held by the initial purchasers or any of their permitted transferees. The holders of Private Units agreed to certain restrictions on the Private Units, as described in the initial public offering registration statement. Additionally, the holders agreed not to transfer, assign or sell any of the Private Units or underlying securities (except in limited circumstances) until the completion of the Company’s initial business combination. The holders were granted certain demand and piggyback registration rights in connection with the Private Units. The Private Units were issued pursuant to Section 4(a)(2) of the Securities Act of 1933, as amended, as the transactions did not involve a public offering.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Pro-Forma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20,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 I ACQUISITIONS,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Marc Manuel</w:t>
            </w:r>
          </w:p>
        </w:tc>
        <w:tc>
          <w:tcPr>
            <w:tcW w:w="5700" w:type="dxa"/>
            <w:vAlign w:val="bottom"/>
          </w:tcPr>
          <w:p>
            <w:pPr>
              <w:spacing w:after="0"/>
              <w:rPr>
                <w:sz w:val="20"/>
                <w:szCs w:val="20"/>
                <w:color w:val="auto"/>
              </w:rPr>
            </w:pP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Marc Manuel</w:t>
            </w:r>
          </w:p>
        </w:tc>
        <w:tc>
          <w:tcPr>
            <w:tcW w:w="5700" w:type="dxa"/>
            <w:vAlign w:val="bottom"/>
          </w:tcPr>
          <w:p>
            <w:pPr>
              <w:spacing w:after="0"/>
              <w:rPr>
                <w:sz w:val="16"/>
                <w:szCs w:val="16"/>
                <w:color w:val="auto"/>
              </w:rPr>
            </w:pP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5700" w:type="dxa"/>
            <w:vAlign w:val="bottom"/>
          </w:tcPr>
          <w:p>
            <w:pPr>
              <w:spacing w:after="0"/>
              <w:rPr>
                <w:sz w:val="20"/>
                <w:szCs w:val="20"/>
                <w:color w:val="auto"/>
              </w:rPr>
            </w:pPr>
          </w:p>
        </w:tc>
      </w:tr>
      <w:tr>
        <w:trPr>
          <w:trHeight w:val="675"/>
        </w:trPr>
        <w:tc>
          <w:tcPr>
            <w:tcW w:w="5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4"/>
          </w:tcPr>
          <w:p>
            <w:pPr>
              <w:ind w:left="340"/>
              <w:spacing w:after="0"/>
              <w:rPr>
                <w:sz w:val="20"/>
                <w:szCs w:val="20"/>
                <w:color w:val="auto"/>
              </w:rPr>
            </w:pPr>
            <w:r>
              <w:rPr>
                <w:rFonts w:ascii="Arial" w:cs="Arial" w:eastAsia="Arial" w:hAnsi="Arial"/>
                <w:sz w:val="18"/>
                <w:szCs w:val="18"/>
                <w:b w:val="1"/>
                <w:bCs w:val="1"/>
                <w:color w:val="auto"/>
                <w:w w:val="93"/>
              </w:rPr>
              <w:t>Exhibit 99.1</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840" w:type="dxa"/>
            <w:vAlign w:val="bottom"/>
            <w:gridSpan w:val="7"/>
          </w:tcPr>
          <w:p>
            <w:pPr>
              <w:jc w:val="center"/>
              <w:ind w:left="330"/>
              <w:spacing w:after="0"/>
              <w:rPr>
                <w:sz w:val="20"/>
                <w:szCs w:val="20"/>
                <w:color w:val="auto"/>
              </w:rPr>
            </w:pPr>
            <w:r>
              <w:rPr>
                <w:rFonts w:ascii="Arial" w:cs="Arial" w:eastAsia="Arial" w:hAnsi="Arial"/>
                <w:sz w:val="18"/>
                <w:szCs w:val="18"/>
                <w:b w:val="1"/>
                <w:bCs w:val="1"/>
                <w:color w:val="auto"/>
                <w:w w:val="92"/>
              </w:rPr>
              <w:t>M I Acquisitions, Inc.</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840" w:type="dxa"/>
            <w:vAlign w:val="bottom"/>
            <w:gridSpan w:val="7"/>
          </w:tcPr>
          <w:p>
            <w:pPr>
              <w:jc w:val="center"/>
              <w:ind w:left="350"/>
              <w:spacing w:after="0"/>
              <w:rPr>
                <w:sz w:val="20"/>
                <w:szCs w:val="20"/>
                <w:color w:val="auto"/>
              </w:rPr>
            </w:pPr>
            <w:r>
              <w:rPr>
                <w:rFonts w:ascii="Arial" w:cs="Arial" w:eastAsia="Arial" w:hAnsi="Arial"/>
                <w:sz w:val="18"/>
                <w:szCs w:val="18"/>
                <w:b w:val="1"/>
                <w:bCs w:val="1"/>
                <w:color w:val="auto"/>
                <w:w w:val="99"/>
              </w:rPr>
              <w:t>BALANCE SHEET</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54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1"/>
              </w:rPr>
              <w:t>Assets</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3"/>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20" w:type="dxa"/>
            <w:vAlign w:val="bottom"/>
            <w:gridSpan w:val="3"/>
          </w:tcPr>
          <w:p>
            <w:pPr>
              <w:ind w:left="40"/>
              <w:spacing w:after="0"/>
              <w:rPr>
                <w:sz w:val="20"/>
                <w:szCs w:val="20"/>
                <w:color w:val="auto"/>
              </w:rPr>
            </w:pPr>
            <w:r>
              <w:rPr>
                <w:rFonts w:ascii="Arial" w:cs="Arial" w:eastAsia="Arial" w:hAnsi="Arial"/>
                <w:sz w:val="18"/>
                <w:szCs w:val="18"/>
                <w:b w:val="1"/>
                <w:bCs w:val="1"/>
                <w:color w:val="auto"/>
              </w:rPr>
              <w:t>September 19,</w:t>
            </w:r>
          </w:p>
        </w:tc>
        <w:tc>
          <w:tcPr>
            <w:tcW w:w="180" w:type="dxa"/>
            <w:vAlign w:val="bottom"/>
          </w:tcPr>
          <w:p>
            <w:pPr>
              <w:spacing w:after="0"/>
              <w:rPr>
                <w:sz w:val="24"/>
                <w:szCs w:val="24"/>
                <w:color w:val="auto"/>
              </w:rPr>
            </w:pPr>
          </w:p>
        </w:tc>
        <w:tc>
          <w:tcPr>
            <w:tcW w:w="1860" w:type="dxa"/>
            <w:vAlign w:val="bottom"/>
            <w:gridSpan w:val="3"/>
          </w:tcPr>
          <w:p>
            <w:pPr>
              <w:jc w:val="center"/>
              <w:ind w:right="740"/>
              <w:spacing w:after="0"/>
              <w:rPr>
                <w:sz w:val="20"/>
                <w:szCs w:val="20"/>
                <w:color w:val="auto"/>
              </w:rPr>
            </w:pPr>
            <w:r>
              <w:rPr>
                <w:rFonts w:ascii="Arial" w:cs="Arial" w:eastAsia="Arial" w:hAnsi="Arial"/>
                <w:sz w:val="18"/>
                <w:szCs w:val="18"/>
                <w:b w:val="1"/>
                <w:bCs w:val="1"/>
                <w:color w:val="auto"/>
                <w:w w:val="93"/>
              </w:rPr>
              <w:t>Pro Forma</w:t>
            </w:r>
          </w:p>
        </w:tc>
        <w:tc>
          <w:tcPr>
            <w:tcW w:w="180" w:type="dxa"/>
            <w:vAlign w:val="bottom"/>
          </w:tcPr>
          <w:p>
            <w:pPr>
              <w:spacing w:after="0"/>
              <w:rPr>
                <w:sz w:val="24"/>
                <w:szCs w:val="24"/>
                <w:color w:val="auto"/>
              </w:rPr>
            </w:pPr>
          </w:p>
        </w:tc>
        <w:tc>
          <w:tcPr>
            <w:tcW w:w="130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93"/>
              </w:rPr>
              <w:t>Pro Forma</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3"/>
          </w:tcPr>
          <w:p>
            <w:pPr>
              <w:jc w:val="center"/>
              <w:ind w:right="760"/>
              <w:spacing w:after="0"/>
              <w:rPr>
                <w:sz w:val="20"/>
                <w:szCs w:val="20"/>
                <w:color w:val="auto"/>
              </w:rPr>
            </w:pPr>
            <w:r>
              <w:rPr>
                <w:rFonts w:ascii="Arial" w:cs="Arial" w:eastAsia="Arial" w:hAnsi="Arial"/>
                <w:sz w:val="18"/>
                <w:szCs w:val="18"/>
                <w:b w:val="1"/>
                <w:bCs w:val="1"/>
                <w:color w:val="auto"/>
                <w:w w:val="89"/>
              </w:rPr>
              <w:t>Adjustments</w:t>
            </w:r>
          </w:p>
        </w:tc>
        <w:tc>
          <w:tcPr>
            <w:tcW w:w="180" w:type="dxa"/>
            <w:vAlign w:val="bottom"/>
          </w:tcPr>
          <w:p>
            <w:pPr>
              <w:spacing w:after="0"/>
              <w:rPr>
                <w:sz w:val="20"/>
                <w:szCs w:val="20"/>
                <w:color w:val="auto"/>
              </w:rPr>
            </w:pPr>
          </w:p>
        </w:tc>
        <w:tc>
          <w:tcPr>
            <w:tcW w:w="130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86"/>
              </w:rPr>
              <w:t>Totals</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gridSpan w:val="2"/>
          </w:tcPr>
          <w:p>
            <w:pPr>
              <w:jc w:val="center"/>
              <w:ind w:right="200"/>
              <w:spacing w:after="0"/>
              <w:rPr>
                <w:sz w:val="20"/>
                <w:szCs w:val="20"/>
                <w:color w:val="auto"/>
              </w:rPr>
            </w:pPr>
            <w:r>
              <w:rPr>
                <w:rFonts w:ascii="Arial" w:cs="Arial" w:eastAsia="Arial" w:hAnsi="Arial"/>
                <w:sz w:val="18"/>
                <w:szCs w:val="18"/>
                <w:b w:val="1"/>
                <w:bCs w:val="1"/>
                <w:color w:val="auto"/>
                <w:w w:val="91"/>
              </w:rPr>
              <w:t>(unaudited)</w:t>
            </w:r>
          </w:p>
        </w:tc>
        <w:tc>
          <w:tcPr>
            <w:tcW w:w="5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gridSpan w:val="3"/>
          </w:tcPr>
          <w:p>
            <w:pPr>
              <w:jc w:val="center"/>
              <w:ind w:right="180"/>
              <w:spacing w:after="0"/>
              <w:rPr>
                <w:sz w:val="20"/>
                <w:szCs w:val="20"/>
                <w:color w:val="auto"/>
              </w:rPr>
            </w:pPr>
            <w:r>
              <w:rPr>
                <w:rFonts w:ascii="Arial" w:cs="Arial" w:eastAsia="Arial" w:hAnsi="Arial"/>
                <w:sz w:val="18"/>
                <w:szCs w:val="18"/>
                <w:b w:val="1"/>
                <w:bCs w:val="1"/>
                <w:color w:val="auto"/>
                <w:w w:val="91"/>
              </w:rPr>
              <w:t>(unaudited)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Current asset: cash and cash equivalents</w:t>
            </w: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525,051</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gridSpan w:val="3"/>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525,051</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Cash and cash equivalents held in trust</w:t>
            </w: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51,500,000</w:t>
            </w: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3,194,127</w:t>
            </w: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54,694,127</w:t>
            </w:r>
          </w:p>
        </w:tc>
        <w:tc>
          <w:tcPr>
            <w:tcW w:w="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44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b w:val="1"/>
                <w:bCs w:val="1"/>
                <w:color w:val="auto"/>
              </w:rPr>
              <w:t>Total Assets</w:t>
            </w:r>
          </w:p>
        </w:tc>
        <w:tc>
          <w:tcPr>
            <w:tcW w:w="38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52,025,051</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3,194,127</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55,219,178</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6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980" w:type="dxa"/>
            <w:vAlign w:val="bottom"/>
            <w:gridSpan w:val="5"/>
          </w:tcPr>
          <w:p>
            <w:pPr>
              <w:ind w:left="3060"/>
              <w:spacing w:after="0" w:line="176" w:lineRule="exact"/>
              <w:rPr>
                <w:sz w:val="20"/>
                <w:szCs w:val="20"/>
                <w:color w:val="auto"/>
              </w:rPr>
            </w:pPr>
            <w:r>
              <w:rPr>
                <w:rFonts w:ascii="Arial" w:cs="Arial" w:eastAsia="Arial" w:hAnsi="Arial"/>
                <w:sz w:val="18"/>
                <w:szCs w:val="18"/>
                <w:b w:val="1"/>
                <w:bCs w:val="1"/>
                <w:color w:val="auto"/>
                <w:w w:val="95"/>
              </w:rPr>
              <w:t>Liabilities and Stockholders' Equity</w:t>
            </w: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38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restart"/>
          </w:tcPr>
          <w:p>
            <w:pPr>
              <w:spacing w:after="0"/>
              <w:rPr>
                <w:sz w:val="19"/>
                <w:szCs w:val="19"/>
                <w:color w:val="auto"/>
              </w:rPr>
            </w:pPr>
          </w:p>
        </w:tc>
        <w:tc>
          <w:tcPr>
            <w:tcW w:w="3060" w:type="dxa"/>
            <w:vAlign w:val="bottom"/>
            <w:shd w:val="clear" w:color="auto" w:fill="CCEEFF"/>
          </w:tcPr>
          <w:p>
            <w:pPr>
              <w:spacing w:after="0"/>
              <w:rPr>
                <w:sz w:val="19"/>
                <w:szCs w:val="19"/>
                <w:color w:val="auto"/>
              </w:rPr>
            </w:pPr>
          </w:p>
        </w:tc>
        <w:tc>
          <w:tcPr>
            <w:tcW w:w="23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Accounts payable and accrued expenses</w:t>
            </w: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59,291</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gridSpan w:val="3"/>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59,291</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ind w:left="160"/>
              <w:spacing w:after="0"/>
              <w:rPr>
                <w:sz w:val="20"/>
                <w:szCs w:val="20"/>
                <w:color w:val="auto"/>
              </w:rPr>
            </w:pPr>
            <w:r>
              <w:rPr>
                <w:rFonts w:ascii="Arial" w:cs="Arial" w:eastAsia="Arial" w:hAnsi="Arial"/>
                <w:sz w:val="18"/>
                <w:szCs w:val="18"/>
                <w:color w:val="auto"/>
              </w:rPr>
              <w:t>Accrued offering costs payable</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61,998</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3"/>
          </w:tcPr>
          <w:p>
            <w:pPr>
              <w:ind w:left="9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61,998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Advances from related party</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971</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971</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gridSpan w:val="2"/>
          </w:tcPr>
          <w:p>
            <w:pPr>
              <w:ind w:left="160"/>
              <w:spacing w:after="0"/>
              <w:rPr>
                <w:sz w:val="20"/>
                <w:szCs w:val="20"/>
                <w:color w:val="auto"/>
              </w:rPr>
            </w:pPr>
            <w:r>
              <w:rPr>
                <w:rFonts w:ascii="Arial" w:cs="Arial" w:eastAsia="Arial" w:hAnsi="Arial"/>
                <w:sz w:val="18"/>
                <w:szCs w:val="18"/>
                <w:color w:val="auto"/>
              </w:rPr>
              <w:t>Note payable</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55,000</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gridSpan w:val="3"/>
          </w:tcPr>
          <w:p>
            <w:pPr>
              <w:ind w:left="9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55,000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Borders>
              <w:top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Total Current Liabilities</w:t>
            </w:r>
          </w:p>
        </w:tc>
        <w:tc>
          <w:tcPr>
            <w:tcW w:w="3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177,260</w:t>
            </w: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177,260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Deferred underwriting fee payable</w:t>
            </w: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gridSpan w:val="3"/>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1,000,000</w:t>
            </w:r>
          </w:p>
        </w:tc>
        <w:tc>
          <w:tcPr>
            <w:tcW w:w="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Total Liabilities</w:t>
            </w: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1,177,260</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gridSpan w:val="3"/>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1,177,260</w:t>
            </w:r>
          </w:p>
        </w:tc>
        <w:tc>
          <w:tcPr>
            <w:tcW w:w="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Commitments</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44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87"/>
              </w:rPr>
              <w:t>Common stock, subject to possible conversion: 4,451,241 and 4,761,350</w:t>
            </w: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shares, actual and adjusted ( at conversion value)</w:t>
            </w:r>
          </w:p>
        </w:tc>
        <w:tc>
          <w:tcPr>
            <w:tcW w:w="3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45,847,785</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3,194,127</w:t>
            </w:r>
          </w:p>
        </w:tc>
        <w:tc>
          <w:tcPr>
            <w:tcW w:w="5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49,041,912</w:t>
            </w:r>
          </w:p>
        </w:tc>
        <w:tc>
          <w:tcPr>
            <w:tcW w:w="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40" w:type="dxa"/>
            <w:vAlign w:val="bottom"/>
            <w:gridSpan w:val="2"/>
          </w:tcPr>
          <w:p>
            <w:pPr>
              <w:ind w:left="160"/>
              <w:spacing w:after="0" w:line="201" w:lineRule="exact"/>
              <w:rPr>
                <w:sz w:val="20"/>
                <w:szCs w:val="20"/>
                <w:color w:val="auto"/>
              </w:rPr>
            </w:pPr>
            <w:r>
              <w:rPr>
                <w:rFonts w:ascii="Arial" w:cs="Arial" w:eastAsia="Arial" w:hAnsi="Arial"/>
                <w:sz w:val="18"/>
                <w:szCs w:val="18"/>
                <w:color w:val="auto"/>
                <w:w w:val="96"/>
              </w:rPr>
              <w:t>Preferred stock, $0.001 par value; 1,000,000 authorized none issued</w:t>
            </w: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gridSpan w:val="2"/>
          </w:tcPr>
          <w:p>
            <w:pPr>
              <w:ind w:left="160"/>
              <w:spacing w:after="0"/>
              <w:rPr>
                <w:sz w:val="20"/>
                <w:szCs w:val="20"/>
                <w:color w:val="auto"/>
              </w:rPr>
            </w:pPr>
            <w:r>
              <w:rPr>
                <w:rFonts w:ascii="Arial" w:cs="Arial" w:eastAsia="Arial" w:hAnsi="Arial"/>
                <w:sz w:val="18"/>
                <w:szCs w:val="18"/>
                <w:color w:val="auto"/>
              </w:rPr>
              <w:t>and outstanding</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gridSpan w:val="3"/>
          </w:tcPr>
          <w:p>
            <w:pPr>
              <w:ind w:left="9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860" w:type="dxa"/>
            <w:vAlign w:val="bottom"/>
            <w:gridSpan w:val="3"/>
          </w:tcPr>
          <w:p>
            <w:pPr>
              <w:ind w:left="9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gridSpan w:val="4"/>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4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Common stock, $0.001 par value; 30,000,000 shares authorized;</w:t>
            </w: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6"/>
              </w:rPr>
              <w:t>2,388,759 shares issued and outstanding and 2,407,366 as adjusted</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2"/>
              </w:rPr>
              <w:t>(excluding 4,451,241 and 4,761,350 shares, actual and adjusted shares</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subject to possible conversion) (1)</w:t>
            </w:r>
          </w:p>
        </w:tc>
        <w:tc>
          <w:tcPr>
            <w:tcW w:w="3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ind w:left="960"/>
              <w:spacing w:after="0"/>
              <w:rPr>
                <w:sz w:val="20"/>
                <w:szCs w:val="20"/>
                <w:color w:val="auto"/>
              </w:rPr>
            </w:pPr>
            <w:r>
              <w:rPr>
                <w:rFonts w:ascii="Arial" w:cs="Arial" w:eastAsia="Arial" w:hAnsi="Arial"/>
                <w:sz w:val="18"/>
                <w:szCs w:val="18"/>
                <w:color w:val="auto"/>
                <w:w w:val="99"/>
              </w:rPr>
              <w:t>19</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2,408</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ind w:left="160"/>
              <w:spacing w:after="0"/>
              <w:rPr>
                <w:sz w:val="20"/>
                <w:szCs w:val="20"/>
                <w:color w:val="auto"/>
              </w:rPr>
            </w:pPr>
            <w:r>
              <w:rPr>
                <w:rFonts w:ascii="Arial" w:cs="Arial" w:eastAsia="Arial" w:hAnsi="Arial"/>
                <w:sz w:val="18"/>
                <w:szCs w:val="18"/>
                <w:color w:val="auto"/>
              </w:rPr>
              <w:t>Additional paid in capital</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5,074,398</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5,074,379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(76,781)</w:t>
            </w: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gridSpan w:val="3"/>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(76,781)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gridSpan w:val="2"/>
          </w:tcPr>
          <w:p>
            <w:pPr>
              <w:ind w:left="260"/>
              <w:spacing w:after="0"/>
              <w:rPr>
                <w:sz w:val="20"/>
                <w:szCs w:val="20"/>
                <w:color w:val="auto"/>
              </w:rPr>
            </w:pPr>
            <w:r>
              <w:rPr>
                <w:rFonts w:ascii="Arial" w:cs="Arial" w:eastAsia="Arial" w:hAnsi="Arial"/>
                <w:sz w:val="18"/>
                <w:szCs w:val="18"/>
                <w:b w:val="1"/>
                <w:bCs w:val="1"/>
                <w:color w:val="auto"/>
              </w:rPr>
              <w:t>Total Stockholders' Equity</w:t>
            </w:r>
          </w:p>
        </w:tc>
        <w:tc>
          <w:tcPr>
            <w:tcW w:w="3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5,000,006</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5,000,006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60" w:type="dxa"/>
            <w:vAlign w:val="bottom"/>
            <w:shd w:val="clear" w:color="auto" w:fill="CCEEFF"/>
          </w:tcPr>
          <w:p>
            <w:pPr>
              <w:spacing w:after="0"/>
              <w:rPr>
                <w:sz w:val="19"/>
                <w:szCs w:val="19"/>
                <w:color w:val="auto"/>
              </w:rPr>
            </w:pPr>
          </w:p>
        </w:tc>
        <w:tc>
          <w:tcPr>
            <w:tcW w:w="23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380" w:type="dxa"/>
            <w:vAlign w:val="bottom"/>
          </w:tcPr>
          <w:p>
            <w:pPr>
              <w:spacing w:after="0"/>
              <w:rPr>
                <w:sz w:val="19"/>
                <w:szCs w:val="19"/>
                <w:color w:val="auto"/>
              </w:rPr>
            </w:pPr>
          </w:p>
        </w:tc>
        <w:tc>
          <w:tcPr>
            <w:tcW w:w="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52,025,051</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3,194,127</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55,219,178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-4004310</wp:posOffset>
            </wp:positionV>
            <wp:extent cx="285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82" w:lineRule="exact"/>
        <w:rPr>
          <w:sz w:val="20"/>
          <w:szCs w:val="20"/>
          <w:color w:val="auto"/>
        </w:rPr>
      </w:pPr>
    </w:p>
    <w:p>
      <w:pPr>
        <w:ind w:left="460" w:right="180" w:hanging="452"/>
        <w:spacing w:after="0" w:line="277"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number includes an aggregate of up to 109,972 shares of common stock that are subject to forfeiture if the over-allotment option is not exercised by the underwriters.</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2020-01-21T15:05:26Z</dcterms:created>
  <dcterms:modified xsi:type="dcterms:W3CDTF">2020-01-21T15:05:26Z</dcterms:modified>
</cp:coreProperties>
</file>