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279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792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 SPAC Holdings II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28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09/13/2016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M I Acquisitions,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MACQU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654"/>
        <w:spacing w:after="0" w:line="402" w:lineRule="auto"/>
        <w:rPr>
          <w:sz w:val="20"/>
          <w:szCs w:val="20"/>
          <w:color w:val="auto"/>
        </w:rPr>
      </w:pPr>
      <w:r>
        <w:rPr>
          <w:rFonts w:ascii="Arial" w:cs="Arial" w:eastAsia="Arial" w:hAnsi="Arial"/>
          <w:sz w:val="16"/>
          <w:szCs w:val="16"/>
          <w:color w:val="0000FF"/>
        </w:rPr>
        <w:t>C/O MAGNA MANAGEMENT LLC 40 WALL STREET, 58TH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10005</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p>
      <w:pPr>
        <w:ind w:left="546"/>
        <w:spacing w:after="0"/>
        <w:tabs>
          <w:tab w:leader="none" w:pos="1805" w:val="left"/>
          <w:tab w:leader="none" w:pos="2145"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 par value $0.001</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384,909</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Warrant</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right"/>
              <w:ind w:right="276"/>
              <w:spacing w:after="0"/>
              <w:rPr>
                <w:sz w:val="20"/>
                <w:szCs w:val="20"/>
                <w:color w:val="auto"/>
              </w:rPr>
            </w:pPr>
            <w:r>
              <w:rPr>
                <w:rFonts w:ascii="Arial" w:cs="Arial" w:eastAsia="Arial" w:hAnsi="Arial"/>
                <w:sz w:val="11"/>
                <w:szCs w:val="11"/>
                <w:color w:val="008000"/>
              </w:rPr>
              <w:t>(3)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20"/>
              <w:spacing w:after="0"/>
              <w:rPr>
                <w:sz w:val="20"/>
                <w:szCs w:val="20"/>
                <w:color w:val="auto"/>
              </w:rPr>
            </w:pPr>
            <w:r>
              <w:rPr>
                <w:rFonts w:ascii="Arial" w:cs="Arial" w:eastAsia="Arial" w:hAnsi="Arial"/>
                <w:sz w:val="18"/>
                <w:szCs w:val="18"/>
                <w:color w:val="0000FF"/>
              </w:rPr>
              <w:t>83,166</w:t>
            </w:r>
          </w:p>
        </w:tc>
        <w:tc>
          <w:tcPr>
            <w:tcW w:w="880" w:type="dxa"/>
            <w:vAlign w:val="bottom"/>
          </w:tcPr>
          <w:p>
            <w:pPr>
              <w:ind w:left="300"/>
              <w:spacing w:after="0"/>
              <w:rPr>
                <w:sz w:val="20"/>
                <w:szCs w:val="20"/>
                <w:color w:val="auto"/>
              </w:rPr>
            </w:pPr>
            <w:r>
              <w:rPr>
                <w:rFonts w:ascii="Arial" w:cs="Arial" w:eastAsia="Arial" w:hAnsi="Arial"/>
                <w:sz w:val="18"/>
                <w:szCs w:val="18"/>
                <w:color w:val="0000FF"/>
              </w:rPr>
              <w:t>11.5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These shares include an aggregate of up to 39,483 shares that are subject to forfeiture to the extent that the underwriters do not exercise their overallotment option in full, in connection with the registrant's initial public offering.</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become exercisable on the later of 30 days after the completion of the registrant's initial business combination and 12 months from the closing of the registrant's initial public offering.</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warrants expire 5 years after the completion of the registrant's initial business combination or earlier upon redemption or liquidation, as described in the registrant's prospectus filed with the SEC.</w:t>
      </w:r>
    </w:p>
    <w:p>
      <w:pPr>
        <w:spacing w:after="0" w:line="71"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7"/>
              </w:rPr>
              <w:t>/s/ M SPAC Holdings II LLC</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09/19/2016</w:t>
            </w:r>
          </w:p>
        </w:tc>
      </w:tr>
      <w:tr>
        <w:trPr>
          <w:trHeight w:val="20"/>
        </w:trPr>
        <w:tc>
          <w:tcPr>
            <w:tcW w:w="2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6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85049" TargetMode="External"/><Relationship Id="rId12"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2020-01-19T08:56:46Z</dcterms:created>
  <dcterms:modified xsi:type="dcterms:W3CDTF">2020-01-19T08:56:46Z</dcterms:modified>
</cp:coreProperties>
</file>