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
        <w:spacing w:after="0"/>
        <w:rPr>
          <w:sz w:val="20"/>
          <w:szCs w:val="20"/>
          <w:color w:val="auto"/>
        </w:rPr>
      </w:pPr>
      <w:r>
        <w:rPr>
          <w:rFonts w:ascii="Arial" w:cs="Arial" w:eastAsia="Arial" w:hAnsi="Arial"/>
          <w:sz w:val="12"/>
          <w:szCs w:val="12"/>
          <w:b w:val="1"/>
          <w:bCs w:val="1"/>
          <w:color w:val="auto"/>
        </w:rPr>
        <w:t>United States</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AND EXCHANGE COMMISSION</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Washington, D.C. 20549</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Form 8-K</w:t>
      </w:r>
    </w:p>
    <w:p>
      <w:pPr>
        <w:spacing w:after="0" w:line="150"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Current Report</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Pursuant to Section 13 or 15(d) of the</w:t>
      </w:r>
    </w:p>
    <w:p>
      <w:pPr>
        <w:spacing w:after="0" w:line="6"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Securities Exchange Act of 1934</w:t>
      </w:r>
    </w:p>
    <w:p>
      <w:pPr>
        <w:spacing w:after="0" w:line="137" w:lineRule="exact"/>
        <w:rPr>
          <w:sz w:val="24"/>
          <w:szCs w:val="24"/>
          <w:color w:val="auto"/>
        </w:rPr>
      </w:pPr>
    </w:p>
    <w:p>
      <w:pPr>
        <w:jc w:val="center"/>
        <w:ind w:right="-7"/>
        <w:spacing w:after="0"/>
        <w:rPr>
          <w:sz w:val="20"/>
          <w:szCs w:val="20"/>
          <w:color w:val="auto"/>
        </w:rPr>
      </w:pPr>
      <w:r>
        <w:rPr>
          <w:rFonts w:ascii="Arial" w:cs="Arial" w:eastAsia="Arial" w:hAnsi="Arial"/>
          <w:sz w:val="12"/>
          <w:szCs w:val="12"/>
          <w:b w:val="1"/>
          <w:bCs w:val="1"/>
          <w:color w:val="auto"/>
        </w:rPr>
        <w:t>October 28, 2021</w:t>
      </w:r>
    </w:p>
    <w:p>
      <w:pPr>
        <w:spacing w:after="0" w:line="19"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Date of Report (Date of earliest event reported)</w:t>
      </w:r>
    </w:p>
    <w:p>
      <w:pPr>
        <w:spacing w:after="0" w:line="128" w:lineRule="exact"/>
        <w:rPr>
          <w:sz w:val="24"/>
          <w:szCs w:val="24"/>
          <w:color w:val="auto"/>
        </w:rPr>
      </w:pPr>
    </w:p>
    <w:p>
      <w:pPr>
        <w:jc w:val="center"/>
        <w:ind w:right="-7"/>
        <w:spacing w:after="0"/>
        <w:rPr>
          <w:sz w:val="20"/>
          <w:szCs w:val="20"/>
          <w:color w:val="auto"/>
        </w:rPr>
      </w:pPr>
      <w:r>
        <w:rPr>
          <w:rFonts w:ascii="Arial" w:cs="Arial" w:eastAsia="Arial" w:hAnsi="Arial"/>
          <w:sz w:val="19"/>
          <w:szCs w:val="19"/>
          <w:b w:val="1"/>
          <w:bCs w:val="1"/>
          <w:u w:val="single" w:color="auto"/>
          <w:color w:val="auto"/>
        </w:rPr>
        <w:t>Priority Technology Holdings, Inc.</w:t>
      </w:r>
    </w:p>
    <w:p>
      <w:pPr>
        <w:spacing w:after="0" w:line="30" w:lineRule="exact"/>
        <w:rPr>
          <w:sz w:val="24"/>
          <w:szCs w:val="24"/>
          <w:color w:val="auto"/>
        </w:rPr>
      </w:pPr>
    </w:p>
    <w:p>
      <w:pPr>
        <w:jc w:val="center"/>
        <w:ind w:right="-7"/>
        <w:spacing w:after="0"/>
        <w:rPr>
          <w:sz w:val="20"/>
          <w:szCs w:val="20"/>
          <w:color w:val="auto"/>
        </w:rPr>
      </w:pPr>
      <w:r>
        <w:rPr>
          <w:rFonts w:ascii="Arial" w:cs="Arial" w:eastAsia="Arial" w:hAnsi="Arial"/>
          <w:sz w:val="12"/>
          <w:szCs w:val="12"/>
          <w:color w:val="auto"/>
        </w:rPr>
        <w:t>(Exact Name of Registrant as Specified in its Charter)</w:t>
      </w:r>
    </w:p>
    <w:p>
      <w:pPr>
        <w:spacing w:after="0" w:line="226" w:lineRule="exact"/>
        <w:rPr>
          <w:sz w:val="24"/>
          <w:szCs w:val="24"/>
          <w:color w:val="auto"/>
        </w:rPr>
      </w:pPr>
    </w:p>
    <w:tbl>
      <w:tblPr>
        <w:tblLayout w:type="fixed"/>
        <w:tblInd w:w="8" w:type="dxa"/>
        <w:tblCellMar>
          <w:top w:w="0" w:type="dxa"/>
          <w:left w:w="0" w:type="dxa"/>
          <w:bottom w:w="0" w:type="dxa"/>
          <w:right w:w="0" w:type="dxa"/>
        </w:tblCellMar>
      </w:tblPr>
      <w:tr>
        <w:trPr>
          <w:trHeight w:val="157"/>
        </w:trPr>
        <w:tc>
          <w:tcPr>
            <w:tcW w:w="36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1"/>
              </w:rPr>
              <w:t>Delaware</w:t>
            </w:r>
          </w:p>
        </w:tc>
        <w:tc>
          <w:tcPr>
            <w:tcW w:w="320" w:type="dxa"/>
            <w:vAlign w:val="bottom"/>
          </w:tcPr>
          <w:p>
            <w:pPr>
              <w:spacing w:after="0"/>
              <w:rPr>
                <w:sz w:val="13"/>
                <w:szCs w:val="13"/>
                <w:color w:val="auto"/>
              </w:rPr>
            </w:pPr>
          </w:p>
        </w:tc>
        <w:tc>
          <w:tcPr>
            <w:tcW w:w="2100" w:type="dxa"/>
            <w:vAlign w:val="bottom"/>
            <w:tcBorders>
              <w:bottom w:val="single" w:sz="8" w:color="auto"/>
            </w:tcBorders>
            <w:gridSpan w:val="2"/>
          </w:tcPr>
          <w:p>
            <w:pPr>
              <w:jc w:val="right"/>
              <w:ind w:right="160"/>
              <w:spacing w:after="0"/>
              <w:rPr>
                <w:sz w:val="20"/>
                <w:szCs w:val="20"/>
                <w:color w:val="auto"/>
              </w:rPr>
            </w:pPr>
            <w:r>
              <w:rPr>
                <w:rFonts w:ascii="Arial" w:cs="Arial" w:eastAsia="Arial" w:hAnsi="Arial"/>
                <w:sz w:val="12"/>
                <w:szCs w:val="12"/>
                <w:b w:val="1"/>
                <w:bCs w:val="1"/>
                <w:color w:val="auto"/>
              </w:rPr>
              <w:t>001-37872</w:t>
            </w:r>
          </w:p>
        </w:tc>
        <w:tc>
          <w:tcPr>
            <w:tcW w:w="1280" w:type="dxa"/>
            <w:vAlign w:val="bottom"/>
            <w:tcBorders>
              <w:bottom w:val="single" w:sz="8" w:color="auto"/>
            </w:tcBorders>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Borders>
              <w:bottom w:val="single" w:sz="8" w:color="auto"/>
            </w:tcBorders>
          </w:tcPr>
          <w:p>
            <w:pPr>
              <w:jc w:val="right"/>
              <w:ind w:right="1440"/>
              <w:spacing w:after="0"/>
              <w:rPr>
                <w:sz w:val="20"/>
                <w:szCs w:val="20"/>
                <w:color w:val="auto"/>
              </w:rPr>
            </w:pPr>
            <w:r>
              <w:rPr>
                <w:rFonts w:ascii="Arial" w:cs="Arial" w:eastAsia="Arial" w:hAnsi="Arial"/>
                <w:sz w:val="12"/>
                <w:szCs w:val="12"/>
                <w:b w:val="1"/>
                <w:bCs w:val="1"/>
                <w:color w:val="auto"/>
              </w:rPr>
              <w:t>47-4257046</w:t>
            </w:r>
          </w:p>
        </w:tc>
        <w:tc>
          <w:tcPr>
            <w:tcW w:w="20" w:type="dxa"/>
            <w:vAlign w:val="bottom"/>
          </w:tcPr>
          <w:p>
            <w:pPr>
              <w:spacing w:after="0"/>
              <w:rPr>
                <w:sz w:val="13"/>
                <w:szCs w:val="13"/>
                <w:color w:val="auto"/>
              </w:rPr>
            </w:pPr>
          </w:p>
        </w:tc>
      </w:tr>
      <w:tr>
        <w:trPr>
          <w:trHeight w:val="142"/>
        </w:trPr>
        <w:tc>
          <w:tcPr>
            <w:tcW w:w="4000" w:type="dxa"/>
            <w:vAlign w:val="bottom"/>
            <w:gridSpan w:val="2"/>
          </w:tcPr>
          <w:p>
            <w:pPr>
              <w:jc w:val="center"/>
              <w:ind w:right="360"/>
              <w:spacing w:after="0"/>
              <w:rPr>
                <w:sz w:val="20"/>
                <w:szCs w:val="20"/>
                <w:color w:val="auto"/>
              </w:rPr>
            </w:pPr>
            <w:r>
              <w:rPr>
                <w:rFonts w:ascii="Arial" w:cs="Arial" w:eastAsia="Arial" w:hAnsi="Arial"/>
                <w:sz w:val="12"/>
                <w:szCs w:val="12"/>
                <w:color w:val="auto"/>
                <w:w w:val="93"/>
              </w:rPr>
              <w:t>(State or other jurisdiction of incorporation)</w:t>
            </w:r>
          </w:p>
        </w:tc>
        <w:tc>
          <w:tcPr>
            <w:tcW w:w="3700" w:type="dxa"/>
            <w:vAlign w:val="bottom"/>
            <w:gridSpan w:val="4"/>
          </w:tcPr>
          <w:p>
            <w:pPr>
              <w:jc w:val="center"/>
              <w:ind w:right="340"/>
              <w:spacing w:after="0"/>
              <w:rPr>
                <w:sz w:val="20"/>
                <w:szCs w:val="20"/>
                <w:color w:val="auto"/>
              </w:rPr>
            </w:pPr>
            <w:r>
              <w:rPr>
                <w:rFonts w:ascii="Arial" w:cs="Arial" w:eastAsia="Arial" w:hAnsi="Arial"/>
                <w:sz w:val="12"/>
                <w:szCs w:val="12"/>
                <w:color w:val="auto"/>
                <w:w w:val="92"/>
              </w:rPr>
              <w:t>(Commission File Number)</w:t>
            </w:r>
          </w:p>
        </w:tc>
        <w:tc>
          <w:tcPr>
            <w:tcW w:w="3580" w:type="dxa"/>
            <w:vAlign w:val="bottom"/>
          </w:tcPr>
          <w:p>
            <w:pPr>
              <w:jc w:val="center"/>
              <w:spacing w:after="0"/>
              <w:rPr>
                <w:sz w:val="20"/>
                <w:szCs w:val="20"/>
                <w:color w:val="auto"/>
              </w:rPr>
            </w:pPr>
            <w:r>
              <w:rPr>
                <w:rFonts w:ascii="Arial" w:cs="Arial" w:eastAsia="Arial" w:hAnsi="Arial"/>
                <w:sz w:val="12"/>
                <w:szCs w:val="12"/>
                <w:color w:val="auto"/>
                <w:w w:val="94"/>
              </w:rPr>
              <w:t>(I.R.S. Employer Identification No.)</w:t>
            </w:r>
          </w:p>
        </w:tc>
        <w:tc>
          <w:tcPr>
            <w:tcW w:w="20" w:type="dxa"/>
            <w:vAlign w:val="bottom"/>
          </w:tcPr>
          <w:p>
            <w:pPr>
              <w:spacing w:after="0"/>
              <w:rPr>
                <w:sz w:val="12"/>
                <w:szCs w:val="12"/>
                <w:color w:val="auto"/>
              </w:rPr>
            </w:pPr>
          </w:p>
        </w:tc>
      </w:tr>
      <w:tr>
        <w:trPr>
          <w:trHeight w:val="428"/>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89"/>
              </w:rPr>
              <w:t>2001 Westside Parkway</w:t>
            </w:r>
          </w:p>
        </w:tc>
        <w:tc>
          <w:tcPr>
            <w:tcW w:w="1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580" w:type="dxa"/>
            <w:vAlign w:val="bottom"/>
          </w:tcPr>
          <w:p>
            <w:pPr>
              <w:jc w:val="right"/>
              <w:ind w:right="2380"/>
              <w:spacing w:after="0"/>
              <w:rPr>
                <w:sz w:val="20"/>
                <w:szCs w:val="20"/>
                <w:color w:val="auto"/>
              </w:rPr>
            </w:pPr>
            <w:r>
              <w:rPr>
                <w:rFonts w:ascii="Arial" w:cs="Arial" w:eastAsia="Arial" w:hAnsi="Arial"/>
                <w:sz w:val="12"/>
                <w:szCs w:val="12"/>
                <w:b w:val="1"/>
                <w:bCs w:val="1"/>
                <w:color w:val="auto"/>
              </w:rPr>
              <w:t>30004</w:t>
            </w:r>
          </w:p>
        </w:tc>
        <w:tc>
          <w:tcPr>
            <w:tcW w:w="20" w:type="dxa"/>
            <w:vAlign w:val="bottom"/>
          </w:tcPr>
          <w:p>
            <w:pPr>
              <w:spacing w:after="0"/>
              <w:rPr>
                <w:sz w:val="24"/>
                <w:szCs w:val="24"/>
                <w:color w:val="auto"/>
              </w:rPr>
            </w:pPr>
          </w:p>
        </w:tc>
      </w:tr>
      <w:tr>
        <w:trPr>
          <w:trHeight w:val="153"/>
        </w:trPr>
        <w:tc>
          <w:tcPr>
            <w:tcW w:w="4000" w:type="dxa"/>
            <w:vAlign w:val="bottom"/>
            <w:gridSpan w:val="2"/>
          </w:tcPr>
          <w:p>
            <w:pPr>
              <w:jc w:val="center"/>
              <w:ind w:left="1700"/>
              <w:spacing w:after="0"/>
              <w:rPr>
                <w:sz w:val="20"/>
                <w:szCs w:val="20"/>
                <w:color w:val="auto"/>
              </w:rPr>
            </w:pPr>
            <w:r>
              <w:rPr>
                <w:rFonts w:ascii="Arial" w:cs="Arial" w:eastAsia="Arial" w:hAnsi="Arial"/>
                <w:sz w:val="12"/>
                <w:szCs w:val="12"/>
                <w:b w:val="1"/>
                <w:bCs w:val="1"/>
                <w:color w:val="auto"/>
                <w:w w:val="91"/>
              </w:rPr>
              <w:t>Suite 155</w:t>
            </w:r>
          </w:p>
        </w:tc>
        <w:tc>
          <w:tcPr>
            <w:tcW w:w="17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28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57"/>
        </w:trPr>
        <w:tc>
          <w:tcPr>
            <w:tcW w:w="4000" w:type="dxa"/>
            <w:vAlign w:val="bottom"/>
            <w:gridSpan w:val="2"/>
          </w:tcPr>
          <w:p>
            <w:pPr>
              <w:ind w:left="1140"/>
              <w:spacing w:after="0"/>
              <w:rPr>
                <w:sz w:val="20"/>
                <w:szCs w:val="20"/>
                <w:color w:val="auto"/>
              </w:rPr>
            </w:pPr>
            <w:r>
              <w:rPr>
                <w:rFonts w:ascii="Arial" w:cs="Arial" w:eastAsia="Arial" w:hAnsi="Arial"/>
                <w:sz w:val="12"/>
                <w:szCs w:val="12"/>
                <w:b w:val="1"/>
                <w:bCs w:val="1"/>
                <w:color w:val="auto"/>
              </w:rPr>
              <w:t>Alpharetta,</w:t>
            </w:r>
          </w:p>
        </w:tc>
        <w:tc>
          <w:tcPr>
            <w:tcW w:w="3700" w:type="dxa"/>
            <w:vAlign w:val="bottom"/>
            <w:gridSpan w:val="4"/>
          </w:tcPr>
          <w:p>
            <w:pPr>
              <w:ind w:left="120"/>
              <w:spacing w:after="0"/>
              <w:rPr>
                <w:sz w:val="20"/>
                <w:szCs w:val="20"/>
                <w:color w:val="auto"/>
              </w:rPr>
            </w:pPr>
            <w:r>
              <w:rPr>
                <w:rFonts w:ascii="Arial" w:cs="Arial" w:eastAsia="Arial" w:hAnsi="Arial"/>
                <w:sz w:val="12"/>
                <w:szCs w:val="12"/>
                <w:b w:val="1"/>
                <w:bCs w:val="1"/>
                <w:color w:val="auto"/>
              </w:rPr>
              <w:t>Georgia</w:t>
            </w:r>
          </w:p>
        </w:tc>
        <w:tc>
          <w:tcPr>
            <w:tcW w:w="3580" w:type="dxa"/>
            <w:vAlign w:val="bottom"/>
          </w:tcPr>
          <w:p>
            <w:pPr>
              <w:spacing w:after="0"/>
              <w:rPr>
                <w:sz w:val="13"/>
                <w:szCs w:val="13"/>
                <w:color w:val="auto"/>
              </w:rPr>
            </w:pPr>
          </w:p>
        </w:tc>
        <w:tc>
          <w:tcPr>
            <w:tcW w:w="20" w:type="dxa"/>
            <w:vAlign w:val="bottom"/>
          </w:tcPr>
          <w:p>
            <w:pPr>
              <w:spacing w:after="0"/>
              <w:rPr>
                <w:sz w:val="13"/>
                <w:szCs w:val="13"/>
                <w:color w:val="auto"/>
              </w:rPr>
            </w:pPr>
          </w:p>
        </w:tc>
      </w:tr>
      <w:tr>
        <w:trPr>
          <w:trHeight w:val="142"/>
        </w:trPr>
        <w:tc>
          <w:tcPr>
            <w:tcW w:w="4000" w:type="dxa"/>
            <w:vAlign w:val="bottom"/>
            <w:tcBorders>
              <w:top w:val="single" w:sz="8" w:color="auto"/>
            </w:tcBorders>
            <w:gridSpan w:val="2"/>
          </w:tcPr>
          <w:p>
            <w:pPr>
              <w:jc w:val="center"/>
              <w:ind w:left="1660"/>
              <w:spacing w:after="0"/>
              <w:rPr>
                <w:sz w:val="20"/>
                <w:szCs w:val="20"/>
                <w:color w:val="auto"/>
              </w:rPr>
            </w:pPr>
            <w:r>
              <w:rPr>
                <w:rFonts w:ascii="Arial" w:cs="Arial" w:eastAsia="Arial" w:hAnsi="Arial"/>
                <w:sz w:val="12"/>
                <w:szCs w:val="12"/>
                <w:color w:val="auto"/>
                <w:w w:val="92"/>
              </w:rPr>
              <w:t>(Address of Principal Executive Offices)</w:t>
            </w:r>
          </w:p>
        </w:tc>
        <w:tc>
          <w:tcPr>
            <w:tcW w:w="1760" w:type="dxa"/>
            <w:vAlign w:val="bottom"/>
            <w:tcBorders>
              <w:top w:val="single" w:sz="8" w:color="auto"/>
            </w:tcBorders>
          </w:tcPr>
          <w:p>
            <w:pPr>
              <w:spacing w:after="0"/>
              <w:rPr>
                <w:sz w:val="12"/>
                <w:szCs w:val="12"/>
                <w:color w:val="auto"/>
              </w:rPr>
            </w:pPr>
          </w:p>
        </w:tc>
        <w:tc>
          <w:tcPr>
            <w:tcW w:w="340" w:type="dxa"/>
            <w:vAlign w:val="bottom"/>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3580" w:type="dxa"/>
            <w:vAlign w:val="bottom"/>
            <w:tcBorders>
              <w:top w:val="single" w:sz="8" w:color="auto"/>
            </w:tcBorders>
          </w:tcPr>
          <w:p>
            <w:pPr>
              <w:jc w:val="center"/>
              <w:ind w:right="1560"/>
              <w:spacing w:after="0"/>
              <w:rPr>
                <w:sz w:val="20"/>
                <w:szCs w:val="20"/>
                <w:color w:val="auto"/>
              </w:rPr>
            </w:pPr>
            <w:r>
              <w:rPr>
                <w:rFonts w:ascii="Arial" w:cs="Arial" w:eastAsia="Arial" w:hAnsi="Arial"/>
                <w:sz w:val="12"/>
                <w:szCs w:val="12"/>
                <w:color w:val="auto"/>
                <w:w w:val="91"/>
              </w:rPr>
              <w:t>(Zip Code)</w:t>
            </w:r>
          </w:p>
        </w:tc>
        <w:tc>
          <w:tcPr>
            <w:tcW w:w="20" w:type="dxa"/>
            <w:vAlign w:val="bottom"/>
            <w:tcBorders>
              <w:top w:val="single" w:sz="8" w:color="auto"/>
            </w:tcBorders>
          </w:tcPr>
          <w:p>
            <w:pPr>
              <w:spacing w:after="0"/>
              <w:rPr>
                <w:sz w:val="12"/>
                <w:szCs w:val="12"/>
                <w:color w:val="auto"/>
              </w:rPr>
            </w:pPr>
          </w:p>
        </w:tc>
      </w:tr>
    </w:tbl>
    <w:p>
      <w:pPr>
        <w:spacing w:after="0" w:line="19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 xml:space="preserve">Registrant’s telephone number, including area code: </w:t>
      </w:r>
      <w:r>
        <w:rPr>
          <w:rFonts w:ascii="Arial" w:cs="Arial" w:eastAsia="Arial" w:hAnsi="Arial"/>
          <w:sz w:val="12"/>
          <w:szCs w:val="12"/>
          <w:b w:val="1"/>
          <w:bCs w:val="1"/>
          <w:color w:val="auto"/>
        </w:rPr>
        <w:t>(800) 935-5961</w:t>
      </w:r>
    </w:p>
    <w:p>
      <w:pPr>
        <w:spacing w:after="0" w:line="154" w:lineRule="exact"/>
        <w:rPr>
          <w:sz w:val="24"/>
          <w:szCs w:val="24"/>
          <w:color w:val="auto"/>
        </w:rPr>
      </w:pPr>
    </w:p>
    <w:p>
      <w:pPr>
        <w:jc w:val="center"/>
        <w:ind w:right="32"/>
        <w:spacing w:after="0"/>
        <w:rPr>
          <w:sz w:val="20"/>
          <w:szCs w:val="20"/>
          <w:color w:val="auto"/>
        </w:rPr>
      </w:pPr>
      <w:r>
        <w:rPr>
          <w:rFonts w:ascii="Arial" w:cs="Arial" w:eastAsia="Arial" w:hAnsi="Arial"/>
          <w:sz w:val="12"/>
          <w:szCs w:val="12"/>
          <w:color w:val="auto"/>
        </w:rPr>
        <w:t>(Former name or former address, if changed since last report)</w:t>
      </w:r>
    </w:p>
    <w:p>
      <w:pPr>
        <w:spacing w:after="0" w:line="150" w:lineRule="exact"/>
        <w:rPr>
          <w:sz w:val="24"/>
          <w:szCs w:val="24"/>
          <w:color w:val="auto"/>
        </w:rPr>
      </w:pPr>
    </w:p>
    <w:p>
      <w:pPr>
        <w:ind w:left="8"/>
        <w:spacing w:after="0"/>
        <w:rPr>
          <w:sz w:val="20"/>
          <w:szCs w:val="20"/>
          <w:color w:val="auto"/>
        </w:rPr>
      </w:pPr>
      <w:r>
        <w:rPr>
          <w:rFonts w:ascii="Arial" w:cs="Arial" w:eastAsia="Arial" w:hAnsi="Arial"/>
          <w:sz w:val="12"/>
          <w:szCs w:val="12"/>
          <w:color w:val="auto"/>
        </w:rPr>
        <w:t>Check the appropriate box below if the Form 8-K filing is intended to simultaneously satisfy the filing obligation of the registrant under any of the following provisions (</w:t>
      </w:r>
      <w:r>
        <w:rPr>
          <w:rFonts w:ascii="Arial" w:cs="Arial" w:eastAsia="Arial" w:hAnsi="Arial"/>
          <w:sz w:val="12"/>
          <w:szCs w:val="12"/>
          <w:u w:val="single" w:color="auto"/>
          <w:color w:val="auto"/>
        </w:rPr>
        <w:t>see</w:t>
      </w:r>
      <w:r>
        <w:rPr>
          <w:rFonts w:ascii="Arial" w:cs="Arial" w:eastAsia="Arial" w:hAnsi="Arial"/>
          <w:sz w:val="12"/>
          <w:szCs w:val="12"/>
          <w:color w:val="auto"/>
        </w:rPr>
        <w:t xml:space="preserve"> General Instruction A.2. below):</w:t>
      </w:r>
    </w:p>
    <w:p>
      <w:pPr>
        <w:spacing w:after="0" w:line="150" w:lineRule="exact"/>
        <w:rPr>
          <w:sz w:val="24"/>
          <w:szCs w:val="24"/>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Written communications pursuant to Rule 425 under the Securities Act (17 CFR 230.425)</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Soliciting material pursuant to Rule 14a-12 under the Exchange Act (17 CFR 240.14a-12)</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14d-2(b) under the Exchange Act (17 CFR 240.14d-2(b))</w:t>
      </w:r>
    </w:p>
    <w:p>
      <w:pPr>
        <w:spacing w:after="0" w:line="150" w:lineRule="exact"/>
        <w:rPr>
          <w:rFonts w:ascii="MS PGothic" w:cs="MS PGothic" w:eastAsia="MS PGothic" w:hAnsi="MS PGothic"/>
          <w:sz w:val="12"/>
          <w:szCs w:val="12"/>
          <w:color w:val="auto"/>
        </w:rPr>
      </w:pPr>
    </w:p>
    <w:p>
      <w:pPr>
        <w:ind w:left="288" w:hanging="288"/>
        <w:spacing w:after="0"/>
        <w:tabs>
          <w:tab w:leader="none" w:pos="288" w:val="left"/>
        </w:tabs>
        <w:numPr>
          <w:ilvl w:val="0"/>
          <w:numId w:val="1"/>
        </w:numPr>
        <w:rPr>
          <w:rFonts w:ascii="MS PGothic" w:cs="MS PGothic" w:eastAsia="MS PGothic" w:hAnsi="MS PGothic"/>
          <w:sz w:val="12"/>
          <w:szCs w:val="12"/>
          <w:color w:val="auto"/>
        </w:rPr>
      </w:pPr>
      <w:r>
        <w:rPr>
          <w:rFonts w:ascii="Arial" w:cs="Arial" w:eastAsia="Arial" w:hAnsi="Arial"/>
          <w:sz w:val="12"/>
          <w:szCs w:val="12"/>
          <w:color w:val="auto"/>
        </w:rPr>
        <w:t>Pre-commencement communications pursuant to Rule 13e-4(c) under the Exchange Act (17 CFR 240.13e-4(c))</w:t>
      </w:r>
    </w:p>
    <w:p>
      <w:pPr>
        <w:spacing w:after="0" w:line="312" w:lineRule="exact"/>
        <w:rPr>
          <w:sz w:val="24"/>
          <w:szCs w:val="24"/>
          <w:color w:val="auto"/>
        </w:rPr>
      </w:pPr>
    </w:p>
    <w:tbl>
      <w:tblPr>
        <w:tblLayout w:type="fixed"/>
        <w:tblInd w:w="568" w:type="dxa"/>
        <w:tblCellMar>
          <w:top w:w="0" w:type="dxa"/>
          <w:left w:w="0" w:type="dxa"/>
          <w:bottom w:w="0" w:type="dxa"/>
          <w:right w:w="0" w:type="dxa"/>
        </w:tblCellMar>
      </w:tblPr>
      <w:tr>
        <w:trPr>
          <w:trHeight w:val="153"/>
        </w:trPr>
        <w:tc>
          <w:tcPr>
            <w:tcW w:w="34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060" w:type="dxa"/>
            <w:vAlign w:val="bottom"/>
            <w:gridSpan w:val="3"/>
          </w:tcPr>
          <w:p>
            <w:pPr>
              <w:ind w:left="100"/>
              <w:spacing w:after="0"/>
              <w:rPr>
                <w:sz w:val="20"/>
                <w:szCs w:val="20"/>
                <w:color w:val="auto"/>
              </w:rPr>
            </w:pPr>
            <w:r>
              <w:rPr>
                <w:rFonts w:ascii="Arial" w:cs="Arial" w:eastAsia="Arial" w:hAnsi="Arial"/>
                <w:sz w:val="12"/>
                <w:szCs w:val="12"/>
                <w:color w:val="auto"/>
                <w:w w:val="96"/>
              </w:rPr>
              <w:t>Securities registered pursuant to Section 12(b) of the Act:</w:t>
            </w:r>
          </w:p>
        </w:tc>
        <w:tc>
          <w:tcPr>
            <w:tcW w:w="3520" w:type="dxa"/>
            <w:vAlign w:val="bottom"/>
          </w:tcPr>
          <w:p>
            <w:pPr>
              <w:spacing w:after="0"/>
              <w:rPr>
                <w:sz w:val="13"/>
                <w:szCs w:val="13"/>
                <w:color w:val="auto"/>
              </w:rPr>
            </w:pPr>
          </w:p>
        </w:tc>
      </w:tr>
      <w:tr>
        <w:trPr>
          <w:trHeight w:val="225"/>
        </w:trPr>
        <w:tc>
          <w:tcPr>
            <w:tcW w:w="340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88"/>
              </w:rPr>
              <w:t>Title of each class</w:t>
            </w:r>
          </w:p>
        </w:tc>
        <w:tc>
          <w:tcPr>
            <w:tcW w:w="200" w:type="dxa"/>
            <w:vAlign w:val="bottom"/>
          </w:tcPr>
          <w:p>
            <w:pPr>
              <w:spacing w:after="0"/>
              <w:rPr>
                <w:sz w:val="19"/>
                <w:szCs w:val="19"/>
                <w:color w:val="auto"/>
              </w:rPr>
            </w:pPr>
          </w:p>
        </w:tc>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2"/>
                <w:szCs w:val="12"/>
                <w:b w:val="1"/>
                <w:bCs w:val="1"/>
                <w:color w:val="auto"/>
                <w:w w:val="90"/>
              </w:rPr>
              <w:t>Trading Symbol</w:t>
            </w:r>
          </w:p>
        </w:tc>
        <w:tc>
          <w:tcPr>
            <w:tcW w:w="180" w:type="dxa"/>
            <w:vAlign w:val="bottom"/>
          </w:tcPr>
          <w:p>
            <w:pPr>
              <w:spacing w:after="0"/>
              <w:rPr>
                <w:sz w:val="19"/>
                <w:szCs w:val="19"/>
                <w:color w:val="auto"/>
              </w:rPr>
            </w:pPr>
          </w:p>
        </w:tc>
        <w:tc>
          <w:tcPr>
            <w:tcW w:w="900" w:type="dxa"/>
            <w:vAlign w:val="bottom"/>
            <w:tcBorders>
              <w:bottom w:val="single" w:sz="8" w:color="auto"/>
            </w:tcBorders>
          </w:tcPr>
          <w:p>
            <w:pPr>
              <w:spacing w:after="0"/>
              <w:rPr>
                <w:sz w:val="19"/>
                <w:szCs w:val="19"/>
                <w:color w:val="auto"/>
              </w:rPr>
            </w:pPr>
          </w:p>
        </w:tc>
        <w:tc>
          <w:tcPr>
            <w:tcW w:w="3520" w:type="dxa"/>
            <w:vAlign w:val="bottom"/>
            <w:tcBorders>
              <w:bottom w:val="single" w:sz="8" w:color="auto"/>
            </w:tcBorders>
          </w:tcPr>
          <w:p>
            <w:pPr>
              <w:jc w:val="center"/>
              <w:ind w:right="840"/>
              <w:spacing w:after="0"/>
              <w:rPr>
                <w:sz w:val="20"/>
                <w:szCs w:val="20"/>
                <w:color w:val="auto"/>
              </w:rPr>
            </w:pPr>
            <w:r>
              <w:rPr>
                <w:rFonts w:ascii="Arial" w:cs="Arial" w:eastAsia="Arial" w:hAnsi="Arial"/>
                <w:sz w:val="12"/>
                <w:szCs w:val="12"/>
                <w:b w:val="1"/>
                <w:bCs w:val="1"/>
                <w:color w:val="auto"/>
                <w:w w:val="87"/>
              </w:rPr>
              <w:t>Name of each exchange on which registered</w:t>
            </w:r>
          </w:p>
        </w:tc>
      </w:tr>
      <w:tr>
        <w:trPr>
          <w:trHeight w:val="142"/>
        </w:trPr>
        <w:tc>
          <w:tcPr>
            <w:tcW w:w="3600" w:type="dxa"/>
            <w:vAlign w:val="bottom"/>
            <w:gridSpan w:val="2"/>
          </w:tcPr>
          <w:p>
            <w:pPr>
              <w:jc w:val="center"/>
              <w:ind w:right="200"/>
              <w:spacing w:after="0"/>
              <w:rPr>
                <w:sz w:val="20"/>
                <w:szCs w:val="20"/>
                <w:color w:val="auto"/>
              </w:rPr>
            </w:pPr>
            <w:r>
              <w:rPr>
                <w:rFonts w:ascii="Arial" w:cs="Arial" w:eastAsia="Arial" w:hAnsi="Arial"/>
                <w:sz w:val="12"/>
                <w:szCs w:val="12"/>
                <w:color w:val="auto"/>
                <w:w w:val="90"/>
              </w:rPr>
              <w:t>Common stock, $0.001 par value</w:t>
            </w:r>
          </w:p>
        </w:tc>
        <w:tc>
          <w:tcPr>
            <w:tcW w:w="3060" w:type="dxa"/>
            <w:vAlign w:val="bottom"/>
            <w:gridSpan w:val="3"/>
          </w:tcPr>
          <w:p>
            <w:pPr>
              <w:jc w:val="center"/>
              <w:ind w:right="1080"/>
              <w:spacing w:after="0"/>
              <w:rPr>
                <w:sz w:val="20"/>
                <w:szCs w:val="20"/>
                <w:color w:val="auto"/>
              </w:rPr>
            </w:pPr>
            <w:r>
              <w:rPr>
                <w:rFonts w:ascii="Arial" w:cs="Arial" w:eastAsia="Arial" w:hAnsi="Arial"/>
                <w:sz w:val="12"/>
                <w:szCs w:val="12"/>
                <w:color w:val="auto"/>
                <w:w w:val="91"/>
              </w:rPr>
              <w:t>PRTH</w:t>
            </w:r>
          </w:p>
        </w:tc>
        <w:tc>
          <w:tcPr>
            <w:tcW w:w="3520" w:type="dxa"/>
            <w:vAlign w:val="bottom"/>
          </w:tcPr>
          <w:p>
            <w:pPr>
              <w:jc w:val="center"/>
              <w:ind w:right="840"/>
              <w:spacing w:after="0"/>
              <w:rPr>
                <w:sz w:val="20"/>
                <w:szCs w:val="20"/>
                <w:color w:val="auto"/>
              </w:rPr>
            </w:pPr>
            <w:r>
              <w:rPr>
                <w:rFonts w:ascii="Arial" w:cs="Arial" w:eastAsia="Arial" w:hAnsi="Arial"/>
                <w:sz w:val="12"/>
                <w:szCs w:val="12"/>
                <w:color w:val="auto"/>
                <w:w w:val="92"/>
              </w:rPr>
              <w:t>Nasdaq Global Market</w:t>
            </w:r>
          </w:p>
        </w:tc>
      </w:tr>
    </w:tbl>
    <w:p>
      <w:pPr>
        <w:spacing w:after="0" w:line="216" w:lineRule="exact"/>
        <w:rPr>
          <w:sz w:val="24"/>
          <w:szCs w:val="24"/>
          <w:color w:val="auto"/>
        </w:rPr>
      </w:pPr>
    </w:p>
    <w:p>
      <w:pPr>
        <w:ind w:left="8" w:right="20"/>
        <w:spacing w:after="0" w:line="276" w:lineRule="auto"/>
        <w:rPr>
          <w:sz w:val="20"/>
          <w:szCs w:val="20"/>
          <w:color w:val="auto"/>
        </w:rPr>
      </w:pPr>
      <w:r>
        <w:rPr>
          <w:rFonts w:ascii="Arial" w:cs="Arial" w:eastAsia="Arial" w:hAnsi="Arial"/>
          <w:sz w:val="12"/>
          <w:szCs w:val="12"/>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10" w:lineRule="exact"/>
        <w:rPr>
          <w:sz w:val="24"/>
          <w:szCs w:val="24"/>
          <w:color w:val="auto"/>
        </w:rPr>
      </w:pPr>
    </w:p>
    <w:p>
      <w:pPr>
        <w:ind w:left="1208"/>
        <w:spacing w:after="0" w:line="138" w:lineRule="exact"/>
        <w:rPr>
          <w:sz w:val="20"/>
          <w:szCs w:val="20"/>
          <w:color w:val="auto"/>
        </w:rPr>
      </w:pPr>
      <w:r>
        <w:rPr>
          <w:rFonts w:ascii="Arial" w:cs="Arial" w:eastAsia="Arial" w:hAnsi="Arial"/>
          <w:sz w:val="12"/>
          <w:szCs w:val="12"/>
          <w:color w:val="auto"/>
        </w:rPr>
        <w:t xml:space="preserve">Emerging growth company </w:t>
      </w:r>
      <w:r>
        <w:rPr>
          <w:rFonts w:ascii="MS PGothic" w:cs="MS PGothic" w:eastAsia="MS PGothic" w:hAnsi="MS PGothic"/>
          <w:sz w:val="12"/>
          <w:szCs w:val="12"/>
          <w:color w:val="auto"/>
        </w:rPr>
        <w:t>☒</w:t>
      </w:r>
    </w:p>
    <w:p>
      <w:pPr>
        <w:spacing w:after="0" w:line="190" w:lineRule="exact"/>
        <w:rPr>
          <w:sz w:val="24"/>
          <w:szCs w:val="24"/>
          <w:color w:val="auto"/>
        </w:rPr>
      </w:pPr>
    </w:p>
    <w:p>
      <w:pPr>
        <w:ind w:left="8" w:right="20"/>
        <w:spacing w:after="0" w:line="155" w:lineRule="exact"/>
        <w:rPr>
          <w:sz w:val="20"/>
          <w:szCs w:val="20"/>
          <w:color w:val="auto"/>
        </w:rPr>
      </w:pPr>
      <w:r>
        <w:rPr>
          <w:rFonts w:ascii="Arial" w:cs="Arial" w:eastAsia="Arial" w:hAnsi="Arial"/>
          <w:sz w:val="12"/>
          <w:szCs w:val="12"/>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351790</wp:posOffset>
            </wp:positionV>
            <wp:extent cx="7203440" cy="368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36830"/>
                    </a:xfrm>
                    <a:prstGeom prst="rect">
                      <a:avLst/>
                    </a:prstGeom>
                    <a:noFill/>
                  </pic:spPr>
                </pic:pic>
              </a:graphicData>
            </a:graphic>
          </wp:anchor>
        </w:drawing>
      </w:r>
    </w:p>
    <w:p>
      <w:pPr>
        <w:sectPr>
          <w:pgSz w:w="11900" w:h="16838" w:orient="portrait"/>
          <w:cols w:equalWidth="0" w:num="1">
            <w:col w:w="11308"/>
          </w:cols>
          <w:pgMar w:left="292" w:top="712" w:right="299" w:bottom="1440" w:gutter="0" w:footer="0" w:header="0"/>
        </w:sectPr>
      </w:pPr>
    </w:p>
    <w:bookmarkStart w:id="1" w:name="page2"/>
    <w:bookmarkEnd w:id="1"/>
    <w:p>
      <w:pPr>
        <w:spacing w:after="0"/>
        <w:rPr>
          <w:sz w:val="20"/>
          <w:szCs w:val="20"/>
          <w:color w:val="auto"/>
        </w:rPr>
      </w:pPr>
      <w:r>
        <w:rPr>
          <w:rFonts w:ascii="Arial" w:cs="Arial" w:eastAsia="Arial" w:hAnsi="Arial"/>
          <w:sz w:val="12"/>
          <w:szCs w:val="12"/>
          <w:b w:val="1"/>
          <w:bCs w:val="1"/>
          <w:color w:val="auto"/>
        </w:rPr>
        <w:t>Item 7.01 Regulation FD Disclosure</w:t>
      </w:r>
    </w:p>
    <w:p>
      <w:pPr>
        <w:spacing w:after="0" w:line="172" w:lineRule="exact"/>
        <w:rPr>
          <w:sz w:val="20"/>
          <w:szCs w:val="20"/>
          <w:color w:val="auto"/>
        </w:rPr>
      </w:pPr>
    </w:p>
    <w:p>
      <w:pPr>
        <w:jc w:val="both"/>
        <w:spacing w:after="0" w:line="340" w:lineRule="auto"/>
        <w:rPr>
          <w:sz w:val="20"/>
          <w:szCs w:val="20"/>
          <w:color w:val="auto"/>
        </w:rPr>
      </w:pPr>
      <w:r>
        <w:rPr>
          <w:rFonts w:ascii="Arial" w:cs="Arial" w:eastAsia="Arial" w:hAnsi="Arial"/>
          <w:sz w:val="11"/>
          <w:szCs w:val="11"/>
          <w:color w:val="auto"/>
        </w:rPr>
        <w:t>Priority Technology Holdings, Inc. (the “Company”) posted to its website, under the Investor Relations tab, a presentation which will be used by Thomas C. Priore, Chairman &amp; Chief Executive Officer and Michael Vollkommer, Chief Financial Officer, in meetings with certain institutional investors and On October 28, 2021 in New York, New York. The investor presentation is attached hereto pursuant to Regulation FD as Exhibit 99.1.</w:t>
      </w:r>
    </w:p>
    <w:p>
      <w:pPr>
        <w:spacing w:after="0" w:line="110" w:lineRule="exact"/>
        <w:rPr>
          <w:sz w:val="20"/>
          <w:szCs w:val="20"/>
          <w:color w:val="auto"/>
        </w:rPr>
      </w:pPr>
    </w:p>
    <w:p>
      <w:pPr>
        <w:spacing w:after="0"/>
        <w:rPr>
          <w:sz w:val="20"/>
          <w:szCs w:val="20"/>
          <w:color w:val="auto"/>
        </w:rPr>
      </w:pPr>
      <w:r>
        <w:rPr>
          <w:rFonts w:ascii="Arial" w:cs="Arial" w:eastAsia="Arial" w:hAnsi="Arial"/>
          <w:sz w:val="11"/>
          <w:szCs w:val="11"/>
          <w:color w:val="auto"/>
        </w:rPr>
        <w:t>The information in this report is being furnished, not filed, pursuant to Regulation FD. Accordingly, the information in Items 7.01 and 9.01 of this report will not be incorporated by reference into any registration stated filed by the</w:t>
      </w:r>
    </w:p>
    <w:p>
      <w:pPr>
        <w:spacing w:after="0" w:line="27" w:lineRule="exact"/>
        <w:rPr>
          <w:sz w:val="20"/>
          <w:szCs w:val="20"/>
          <w:color w:val="auto"/>
        </w:rPr>
      </w:pPr>
    </w:p>
    <w:p>
      <w:pPr>
        <w:jc w:val="both"/>
        <w:spacing w:after="0" w:line="234" w:lineRule="auto"/>
        <w:rPr>
          <w:sz w:val="20"/>
          <w:szCs w:val="20"/>
          <w:color w:val="auto"/>
        </w:rPr>
      </w:pPr>
      <w:r>
        <w:rPr>
          <w:rFonts w:ascii="Arial" w:cs="Arial" w:eastAsia="Arial" w:hAnsi="Arial"/>
          <w:sz w:val="12"/>
          <w:szCs w:val="12"/>
          <w:color w:val="auto"/>
        </w:rPr>
        <w:t>Company under the Securities Act of 1933, as amended, unless specifically identified therein as being incorporated by reference. The furnishing of the information in this report is not intended to, and does not, constitute a determination or admission by the Company that the information in this report is material or complete, or that investors should consider this information before making an investment decision with respect to any security of the Company.</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Item 9.01 Financial Statements and Exhibits.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57"/>
        </w:trPr>
        <w:tc>
          <w:tcPr>
            <w:tcW w:w="1200" w:type="dxa"/>
            <w:vAlign w:val="bottom"/>
            <w:gridSpan w:val="2"/>
          </w:tcPr>
          <w:p>
            <w:pPr>
              <w:spacing w:after="0"/>
              <w:rPr>
                <w:sz w:val="20"/>
                <w:szCs w:val="20"/>
                <w:color w:val="auto"/>
              </w:rPr>
            </w:pPr>
            <w:r>
              <w:rPr>
                <w:rFonts w:ascii="Arial" w:cs="Arial" w:eastAsia="Arial" w:hAnsi="Arial"/>
                <w:sz w:val="12"/>
                <w:szCs w:val="12"/>
                <w:b w:val="1"/>
                <w:bCs w:val="1"/>
                <w:color w:val="auto"/>
              </w:rPr>
              <w:t>Exhibit No.</w:t>
            </w:r>
          </w:p>
        </w:tc>
        <w:tc>
          <w:tcPr>
            <w:tcW w:w="5420" w:type="dxa"/>
            <w:vAlign w:val="bottom"/>
          </w:tcPr>
          <w:p>
            <w:pPr>
              <w:ind w:left="60"/>
              <w:spacing w:after="0"/>
              <w:rPr>
                <w:sz w:val="20"/>
                <w:szCs w:val="20"/>
                <w:color w:val="auto"/>
              </w:rPr>
            </w:pPr>
            <w:r>
              <w:rPr>
                <w:rFonts w:ascii="Arial" w:cs="Arial" w:eastAsia="Arial" w:hAnsi="Arial"/>
                <w:sz w:val="12"/>
                <w:szCs w:val="12"/>
                <w:b w:val="1"/>
                <w:bCs w:val="1"/>
                <w:color w:val="auto"/>
              </w:rPr>
              <w:t>Description of Exhibit</w:t>
            </w:r>
          </w:p>
        </w:tc>
      </w:tr>
      <w:tr>
        <w:trPr>
          <w:trHeight w:val="126"/>
        </w:trPr>
        <w:tc>
          <w:tcPr>
            <w:tcW w:w="1200" w:type="dxa"/>
            <w:vAlign w:val="bottom"/>
            <w:gridSpan w:val="2"/>
          </w:tcPr>
          <w:p>
            <w:pPr>
              <w:spacing w:after="0" w:line="126" w:lineRule="exact"/>
              <w:rPr>
                <w:rFonts w:ascii="Arial" w:cs="Arial" w:eastAsia="Arial" w:hAnsi="Arial"/>
                <w:sz w:val="12"/>
                <w:szCs w:val="12"/>
                <w:color w:val="0000FF"/>
              </w:rPr>
            </w:pPr>
            <w:hyperlink w:anchor="page3">
              <w:r>
                <w:rPr>
                  <w:rFonts w:ascii="Arial" w:cs="Arial" w:eastAsia="Arial" w:hAnsi="Arial"/>
                  <w:sz w:val="12"/>
                  <w:szCs w:val="12"/>
                  <w:color w:val="0000FF"/>
                </w:rPr>
                <w:t>99.</w:t>
              </w:r>
              <w:r>
                <w:rPr>
                  <w:rFonts w:ascii="Arial" w:cs="Arial" w:eastAsia="Arial" w:hAnsi="Arial"/>
                  <w:sz w:val="12"/>
                  <w:szCs w:val="12"/>
                  <w:u w:val="single" w:color="auto"/>
                  <w:color w:val="0000FF"/>
                </w:rPr>
                <w:t>2</w:t>
              </w:r>
            </w:hyperlink>
          </w:p>
        </w:tc>
        <w:tc>
          <w:tcPr>
            <w:tcW w:w="5420" w:type="dxa"/>
            <w:vAlign w:val="bottom"/>
          </w:tcPr>
          <w:p>
            <w:pPr>
              <w:ind w:left="20"/>
              <w:spacing w:after="0" w:line="126" w:lineRule="exact"/>
              <w:rPr>
                <w:rFonts w:ascii="Arial" w:cs="Arial" w:eastAsia="Arial" w:hAnsi="Arial"/>
                <w:sz w:val="12"/>
                <w:szCs w:val="12"/>
                <w:color w:val="0000FF"/>
                <w:w w:val="90"/>
              </w:rPr>
            </w:pPr>
            <w:hyperlink w:anchor="page3">
              <w:r>
                <w:rPr>
                  <w:rFonts w:ascii="Arial" w:cs="Arial" w:eastAsia="Arial" w:hAnsi="Arial"/>
                  <w:sz w:val="12"/>
                  <w:szCs w:val="12"/>
                  <w:color w:val="0000FF"/>
                  <w:w w:val="90"/>
                </w:rPr>
                <w:t>Investor Presentation to be used in meeting with certain institutional investors and analysts on October 28, 2021.</w:t>
              </w:r>
            </w:hyperlink>
          </w:p>
        </w:tc>
      </w:tr>
      <w:tr>
        <w:trPr>
          <w:trHeight w:val="169"/>
        </w:trPr>
        <w:tc>
          <w:tcPr>
            <w:tcW w:w="220" w:type="dxa"/>
            <w:vAlign w:val="bottom"/>
            <w:tcBorders>
              <w:top w:val="single" w:sz="8" w:color="0000FF"/>
            </w:tcBorders>
          </w:tcPr>
          <w:p>
            <w:pPr>
              <w:spacing w:after="0"/>
              <w:rPr>
                <w:sz w:val="20"/>
                <w:szCs w:val="20"/>
                <w:color w:val="auto"/>
              </w:rPr>
            </w:pPr>
            <w:r>
              <w:rPr>
                <w:rFonts w:ascii="Arial" w:cs="Arial" w:eastAsia="Arial" w:hAnsi="Arial"/>
                <w:sz w:val="12"/>
                <w:szCs w:val="12"/>
                <w:color w:val="auto"/>
                <w:w w:val="99"/>
              </w:rPr>
              <w:t>104</w:t>
            </w:r>
          </w:p>
        </w:tc>
        <w:tc>
          <w:tcPr>
            <w:tcW w:w="980" w:type="dxa"/>
            <w:vAlign w:val="bottom"/>
          </w:tcPr>
          <w:p>
            <w:pPr>
              <w:spacing w:after="0"/>
              <w:rPr>
                <w:sz w:val="14"/>
                <w:szCs w:val="14"/>
                <w:color w:val="auto"/>
              </w:rPr>
            </w:pPr>
          </w:p>
        </w:tc>
        <w:tc>
          <w:tcPr>
            <w:tcW w:w="5420" w:type="dxa"/>
            <w:vAlign w:val="bottom"/>
            <w:tcBorders>
              <w:top w:val="single" w:sz="8" w:color="0000FF"/>
            </w:tcBorders>
          </w:tcPr>
          <w:p>
            <w:pPr>
              <w:ind w:left="20"/>
              <w:spacing w:after="0"/>
              <w:rPr>
                <w:sz w:val="20"/>
                <w:szCs w:val="20"/>
                <w:color w:val="auto"/>
              </w:rPr>
            </w:pPr>
            <w:r>
              <w:rPr>
                <w:rFonts w:ascii="Arial" w:cs="Arial" w:eastAsia="Arial" w:hAnsi="Arial"/>
                <w:sz w:val="12"/>
                <w:szCs w:val="12"/>
                <w:color w:val="auto"/>
              </w:rPr>
              <w:t>The cover page from this Current Report on Form 8-K, formatted in Inline XBRL.</w:t>
            </w:r>
          </w:p>
        </w:tc>
      </w:tr>
    </w:tbl>
    <w:p>
      <w:pPr>
        <w:spacing w:after="0" w:line="392"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SIGNATURE</w:t>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Pursuant to the requirements of the Securities Exchange Act of 1934, the registrant has duly caused this report to be signed on its behalf by the undersigned hereunto duly authorized.</w:t>
      </w:r>
    </w:p>
    <w:p>
      <w:pPr>
        <w:spacing w:after="0" w:line="240" w:lineRule="exact"/>
        <w:rPr>
          <w:sz w:val="20"/>
          <w:szCs w:val="20"/>
          <w:color w:val="auto"/>
        </w:rPr>
      </w:pPr>
    </w:p>
    <w:p>
      <w:pPr>
        <w:spacing w:after="0"/>
        <w:rPr>
          <w:sz w:val="20"/>
          <w:szCs w:val="20"/>
          <w:color w:val="auto"/>
        </w:rPr>
      </w:pPr>
      <w:r>
        <w:rPr>
          <w:rFonts w:ascii="Arial" w:cs="Arial" w:eastAsia="Arial" w:hAnsi="Arial"/>
          <w:sz w:val="12"/>
          <w:szCs w:val="12"/>
          <w:color w:val="auto"/>
        </w:rPr>
        <w:t>Dated: October 28, 2021</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PRIORITY TECHNOLOGY HOLDINGS, INC.</w:t>
      </w:r>
    </w:p>
    <w:p>
      <w:pPr>
        <w:spacing w:after="0" w:line="168" w:lineRule="exact"/>
        <w:rPr>
          <w:sz w:val="20"/>
          <w:szCs w:val="20"/>
          <w:color w:val="auto"/>
        </w:rPr>
      </w:pPr>
    </w:p>
    <w:p>
      <w:pPr>
        <w:ind w:left="5840"/>
        <w:spacing w:after="0"/>
        <w:rPr>
          <w:sz w:val="20"/>
          <w:szCs w:val="20"/>
          <w:color w:val="auto"/>
        </w:rPr>
      </w:pPr>
      <w:r>
        <w:rPr>
          <w:rFonts w:ascii="Arial" w:cs="Arial" w:eastAsia="Arial" w:hAnsi="Arial"/>
          <w:sz w:val="12"/>
          <w:szCs w:val="12"/>
          <w:u w:val="single" w:color="auto"/>
          <w:color w:val="auto"/>
        </w:rPr>
        <w:t>By: /s/ Michael Vollkommer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Name: Michael Vollkommer</w:t>
      </w:r>
    </w:p>
    <w:p>
      <w:pPr>
        <w:spacing w:after="0" w:line="15" w:lineRule="exact"/>
        <w:rPr>
          <w:sz w:val="20"/>
          <w:szCs w:val="20"/>
          <w:color w:val="auto"/>
        </w:rPr>
      </w:pPr>
    </w:p>
    <w:p>
      <w:pPr>
        <w:ind w:left="5840"/>
        <w:spacing w:after="0"/>
        <w:rPr>
          <w:sz w:val="20"/>
          <w:szCs w:val="20"/>
          <w:color w:val="auto"/>
        </w:rPr>
      </w:pPr>
      <w:r>
        <w:rPr>
          <w:rFonts w:ascii="Arial" w:cs="Arial" w:eastAsia="Arial" w:hAnsi="Arial"/>
          <w:sz w:val="12"/>
          <w:szCs w:val="12"/>
          <w:color w:val="auto"/>
        </w:rPr>
        <w:t>Title:  Chief Financial Officer</w:t>
      </w:r>
    </w:p>
    <w:p>
      <w:pPr>
        <w:sectPr>
          <w:pgSz w:w="11900" w:h="16838" w:orient="portrait"/>
          <w:cols w:equalWidth="0" w:num="1">
            <w:col w:w="11300"/>
          </w:cols>
          <w:pgMar w:left="300" w:top="649" w:right="299" w:bottom="1440" w:gutter="0" w:footer="0" w:header="0"/>
        </w:sectPr>
      </w:pPr>
    </w:p>
    <w:bookmarkStart w:id="2" w:name="page3"/>
    <w:bookmarkEnd w:id="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271780</wp:posOffset>
            </wp:positionV>
            <wp:extent cx="7130415" cy="34042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 w:name="page4"/>
    <w:bookmarkEnd w:id="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156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0415" cy="34156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 w:name="page5"/>
    <w:bookmarkEnd w:id="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273050</wp:posOffset>
            </wp:positionH>
            <wp:positionV relativeFrom="page">
              <wp:posOffset>374650</wp:posOffset>
            </wp:positionV>
            <wp:extent cx="7130415" cy="34042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0415" cy="340423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2021-10-28T07:32:06Z</dcterms:created>
  <dcterms:modified xsi:type="dcterms:W3CDTF">2021-10-28T07:32:06Z</dcterms:modified>
</cp:coreProperties>
</file>