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Check this box if no longer subject to Section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-6350</wp:posOffset>
            </wp:positionV>
            <wp:extent cx="98425" cy="984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" cy="98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280" w:right="180" w:firstLine="3"/>
        <w:spacing w:after="0" w:line="265" w:lineRule="auto"/>
        <w:tabs>
          <w:tab w:leader="none" w:pos="436" w:val="left"/>
        </w:tabs>
        <w:numPr>
          <w:ilvl w:val="0"/>
          <w:numId w:val="1"/>
        </w:numPr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Form 4 or Form 5 obligations may continue.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 xml:space="preserve">See </w:t>
      </w:r>
      <w:r>
        <w:rPr>
          <w:rFonts w:ascii="Arial" w:cs="Arial" w:eastAsia="Arial" w:hAnsi="Arial"/>
          <w:sz w:val="9"/>
          <w:szCs w:val="9"/>
          <w:color w:val="auto"/>
        </w:rPr>
        <w:t>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5740" w:type="dxa"/>
            <w:vAlign w:val="bottom"/>
          </w:tcPr>
          <w:p>
            <w:pPr>
              <w:jc w:val="center"/>
              <w:ind w:right="8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5740" w:type="dxa"/>
            <w:vAlign w:val="bottom"/>
            <w:vMerge w:val="restart"/>
          </w:tcPr>
          <w:p>
            <w:pPr>
              <w:jc w:val="center"/>
              <w:ind w:right="8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5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40" w:type="dxa"/>
            <w:vAlign w:val="bottom"/>
            <w:vMerge w:val="restart"/>
          </w:tcPr>
          <w:p>
            <w:pPr>
              <w:jc w:val="center"/>
              <w:ind w:right="814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5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5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40" w:type="dxa"/>
            <w:vAlign w:val="bottom"/>
            <w:vMerge w:val="restart"/>
          </w:tcPr>
          <w:p>
            <w:pPr>
              <w:jc w:val="center"/>
              <w:ind w:right="8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57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4936490</wp:posOffset>
            </wp:positionH>
            <wp:positionV relativeFrom="paragraph">
              <wp:posOffset>-505460</wp:posOffset>
            </wp:positionV>
            <wp:extent cx="51435" cy="518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3627120</wp:posOffset>
            </wp:positionH>
            <wp:positionV relativeFrom="paragraph">
              <wp:posOffset>-505460</wp:posOffset>
            </wp:positionV>
            <wp:extent cx="51435" cy="518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-2004060</wp:posOffset>
            </wp:positionH>
            <wp:positionV relativeFrom="paragraph">
              <wp:posOffset>19685</wp:posOffset>
            </wp:positionV>
            <wp:extent cx="7019290" cy="32359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3235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420" w:space="720"/>
            <w:col w:w="7880"/>
          </w:cols>
          <w:pgMar w:left="440" w:top="202" w:right="439" w:bottom="1440" w:gutter="0" w:footer="0" w:header="0"/>
        </w:sect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1. Name and Address of Reporting Person</w:t>
      </w:r>
      <w:r>
        <w:rPr>
          <w:rFonts w:ascii="Arial" w:cs="Arial" w:eastAsia="Arial" w:hAnsi="Arial"/>
          <w:sz w:val="17"/>
          <w:szCs w:val="17"/>
          <w:color w:val="auto"/>
          <w:vertAlign w:val="superscript"/>
        </w:rPr>
        <w:t>*</w:t>
      </w:r>
    </w:p>
    <w:p>
      <w:pPr>
        <w:ind w:left="100"/>
        <w:spacing w:after="0"/>
        <w:rPr>
          <w:rFonts w:ascii="Times New Roman" w:cs="Times New Roman" w:eastAsia="Times New Roman" w:hAnsi="Times New Roman"/>
          <w:sz w:val="17"/>
          <w:szCs w:val="17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17"/>
            <w:szCs w:val="17"/>
            <w:u w:val="single" w:color="auto"/>
            <w:color w:val="0000EE"/>
          </w:rPr>
          <w:t>Ram Ranjana</w:t>
        </w:r>
      </w:hyperlink>
    </w:p>
    <w:p>
      <w:pPr>
        <w:spacing w:after="0" w:line="232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30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C/O PRIORITY TECHNOLOGY HOLDINGS, INC.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2001 WESTSIDE PARKWAY, SUITE 155</w:t>
      </w:r>
    </w:p>
    <w:p>
      <w:pPr>
        <w:spacing w:after="0" w:line="233" w:lineRule="exact"/>
        <w:rPr>
          <w:sz w:val="24"/>
          <w:szCs w:val="24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8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ALPHARETTA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GA</w:t>
            </w:r>
          </w:p>
        </w:tc>
        <w:tc>
          <w:tcPr>
            <w:tcW w:w="16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30004</w:t>
            </w:r>
          </w:p>
        </w:tc>
      </w:tr>
      <w:tr>
        <w:trPr>
          <w:trHeight w:val="11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2.</w:t>
            </w:r>
          </w:p>
        </w:tc>
        <w:tc>
          <w:tcPr>
            <w:tcW w:w="3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 w:line="114" w:lineRule="exact"/>
              <w:rPr>
                <w:rFonts w:ascii="Times New Roman" w:cs="Times New Roman" w:eastAsia="Times New Roman" w:hAnsi="Times New Roman"/>
                <w:sz w:val="13"/>
                <w:szCs w:val="13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3"/>
                  <w:szCs w:val="13"/>
                  <w:color w:val="0000EE"/>
                </w:rPr>
                <w:t xml:space="preserve">Priority Technology Holdings, Inc. </w:t>
              </w:r>
            </w:hyperlink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FF"/>
              </w:rPr>
              <w:t>PRTH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00"/>
              </w:rPr>
              <w:t>]</w:t>
            </w:r>
          </w:p>
        </w:tc>
        <w:tc>
          <w:tcPr>
            <w:tcW w:w="1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(Check all applicable)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156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156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1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3.</w:t>
            </w:r>
          </w:p>
        </w:tc>
        <w:tc>
          <w:tcPr>
            <w:tcW w:w="36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 of Earliest Transaction (Month/Day/Year)</w:t>
            </w: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580"/>
              <w:spacing w:after="0" w:line="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3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06/05/2024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Chief Operating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4.</w:t>
            </w:r>
          </w:p>
        </w:tc>
        <w:tc>
          <w:tcPr>
            <w:tcW w:w="3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0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Rule 10b5-1(c) Transaction Indication</w:t>
      </w:r>
    </w:p>
    <w:p>
      <w:pPr>
        <w:spacing w:after="0" w:line="168" w:lineRule="exact"/>
        <w:rPr>
          <w:sz w:val="24"/>
          <w:szCs w:val="24"/>
          <w:color w:val="auto"/>
        </w:rPr>
      </w:pPr>
    </w:p>
    <w:p>
      <w:pPr>
        <w:ind w:left="260" w:right="620"/>
        <w:spacing w:after="0" w:line="2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3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80" w:space="80"/>
            <w:col w:w="7160"/>
          </w:cols>
          <w:pgMar w:left="440" w:top="202" w:right="4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Securities Acquired (A) or Disposed Of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Amount of 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1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   (D) (Instr. 3, 4 and 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 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V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(D)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Transaction(s)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and 4)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06/05/2024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J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408,013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788,782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0" w:type="dxa"/>
            <w:vAlign w:val="bottom"/>
            <w:tcBorders>
              <w:top w:val="single" w:sz="8" w:color="2C2C2C"/>
            </w:tcBorders>
            <w:gridSpan w:val="10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1. Title of Derivative</w:t>
            </w: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Transaction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Title and Amount of 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11.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 (Instr. 3)</w:t>
            </w: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 Acquired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Disposed of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 (Instr. 3, 4 and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6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1. The Reporting Person disposed of 241 Preferred Units in Priority Hospitality Technology, LLC in exchange for 408,013 shares of common stock in a negotiated stock exchange.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Remarks: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/s/ Bradley J. Miller (Attorney-In-Fact)  06/18/2024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4199255</wp:posOffset>
            </wp:positionH>
            <wp:positionV relativeFrom="paragraph">
              <wp:posOffset>-2540</wp:posOffset>
            </wp:positionV>
            <wp:extent cx="1791335" cy="63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1335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620"/>
        <w:spacing w:after="0"/>
        <w:tabs>
          <w:tab w:leader="none" w:pos="8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Date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Reminder: Report on a separate line for each class of securities beneficially owned directly or indirectly.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4 (b)(v).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both"/>
        <w:ind w:left="40" w:right="5000" w:hanging="6"/>
        <w:spacing w:after="0" w:line="324" w:lineRule="auto"/>
        <w:tabs>
          <w:tab w:leader="none" w:pos="149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027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02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6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2" Type="http://schemas.openxmlformats.org/officeDocument/2006/relationships/hyperlink" Target="http://www.sec.gov/cgi-bin/browse-edgar?action=getcompany&amp;CIK=0001828071" TargetMode="External"/><Relationship Id="rId13" Type="http://schemas.openxmlformats.org/officeDocument/2006/relationships/hyperlink" Target="http://www.sec.gov/cgi-bin/browse-edgar?action=getcompany&amp;CIK=00016535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2024-06-18T16:46:09Z</dcterms:created>
  <dcterms:modified xsi:type="dcterms:W3CDTF">2024-06-18T16:46:09Z</dcterms:modified>
</cp:coreProperties>
</file>