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064315854830.xml.htm"/>
      <w:bookmarkStart w:id="1" w:name="kswfform4_1680643158548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Favilla Christina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PRTH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88,575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6,528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6,528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19,582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March 22, 2023, the Reporting Person was granted 26,110 restricted stock units which vest 25% on April 1, 2023, 25% on July 1, 2023, 25% on October 1, 2023, and 25% on January 1, 2024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Christina M Favilla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Bradley J. Miller, Attorney-in-Fact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04/04/2023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1487" TargetMode="External"/><Relationship Id="rId4" Type="http://schemas.openxmlformats.org/officeDocument/2006/relationships/hyperlink" Target="http://www.sec.gov/cgi-bin/browse-edgar?action=getcompany&amp;CIK=00016535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612</Words>
  <CharactersWithSpaces>3829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