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001-37872</w:t>
            </w: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 incorporation)</w:t>
            </w:r>
          </w:p>
        </w:tc>
        <w:tc>
          <w:tcPr>
            <w:tcW w:w="328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03"/>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8"/>
              </w:rPr>
              <w:t>Suite 155</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3"/>
              </w:rPr>
              <w:t>Alpharetta, Georgia</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2370"/>
              <w:spacing w:after="0"/>
              <w:rPr>
                <w:sz w:val="20"/>
                <w:szCs w:val="20"/>
                <w:color w:val="auto"/>
              </w:rPr>
            </w:pPr>
            <w:r>
              <w:rPr>
                <w:rFonts w:ascii="Arial" w:cs="Arial" w:eastAsia="Arial" w:hAnsi="Arial"/>
                <w:sz w:val="18"/>
                <w:szCs w:val="18"/>
                <w:b w:val="1"/>
                <w:bCs w:val="1"/>
                <w:color w:val="auto"/>
              </w:rPr>
              <w:t>30004</w:t>
            </w:r>
          </w:p>
        </w:tc>
      </w:tr>
      <w:tr>
        <w:trPr>
          <w:trHeight w:val="27"/>
        </w:trPr>
        <w:tc>
          <w:tcPr>
            <w:tcW w:w="45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ectPr>
          <w:pgSz w:w="11900" w:h="16838" w:orient="portrait"/>
          <w:cols w:equalWidth="0" w:num="1">
            <w:col w:w="11420"/>
          </w:cols>
          <w:pgMar w:left="240" w:top="68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13, 2019, Priority Technology Holdings, Inc. issued a press release announcing its financial results for the quarter ended March 31, 2019. A copy of that press release is attached as Exhibit 99.1 to this Current Report on Form 8-K.</w:t>
      </w:r>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of Priority Technology Holdings, Inc. dated May 13,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13,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580" w:right="239" w:bottom="1440" w:gutter="0" w:footer="0" w:header="0"/>
        </w:sectPr>
      </w:pPr>
    </w:p>
    <w:bookmarkStart w:id="2" w:name="page3"/>
    <w:bookmarkEnd w:id="2"/>
    <w:p>
      <w:pPr>
        <w:ind w:left="1000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Priority Technology Holdings, Inc. Announces First Quarter 2019 Financial Results</w:t>
      </w:r>
    </w:p>
    <w:p>
      <w:pPr>
        <w:spacing w:after="0" w:line="340"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ALPHARETTA, GA - May 13, 2019 -- Priority Technology Holdings, Inc. (NASDAQ: PRTH) (“Priority” or the “Company”), a leading fintech enterprise with strong core payments technology, today announced its first quarter 2019 financial results.</w:t>
      </w:r>
    </w:p>
    <w:p>
      <w:pPr>
        <w:spacing w:after="0" w:line="191"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Highlights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Highlights of the first quarter 2019 financial results as compared with the first quarter of 2018 include:</w:t>
      </w:r>
    </w:p>
    <w:p>
      <w:pPr>
        <w:spacing w:after="0" w:line="205" w:lineRule="exact"/>
        <w:rPr>
          <w:sz w:val="20"/>
          <w:szCs w:val="20"/>
          <w:color w:val="auto"/>
        </w:rPr>
      </w:pPr>
    </w:p>
    <w:p>
      <w:pPr>
        <w:ind w:left="660" w:right="300" w:hanging="328"/>
        <w:spacing w:after="0" w:line="21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Consolidated revenue of $100.0 million declined 13.5%. Adjusted consolidated revenue</w:t>
      </w:r>
      <w:r>
        <w:rPr>
          <w:rFonts w:ascii="Arial" w:cs="Arial" w:eastAsia="Arial" w:hAnsi="Arial"/>
          <w:sz w:val="25"/>
          <w:szCs w:val="25"/>
          <w:color w:val="auto"/>
          <w:vertAlign w:val="superscript"/>
        </w:rPr>
        <w:t>(1)</w:t>
      </w:r>
      <w:r>
        <w:rPr>
          <w:rFonts w:ascii="Arial" w:cs="Arial" w:eastAsia="Arial" w:hAnsi="Arial"/>
          <w:sz w:val="20"/>
          <w:szCs w:val="20"/>
          <w:color w:val="auto"/>
        </w:rPr>
        <w:t>, a non-GAAP measure, which excludes the impact of subscription-billing e-commerce merchants, of $96.1 million increased 14.5%.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Total merchant bankcard processing dollar value grew 8.8% to $9.9 billion from $9.1 billion.</w:t>
      </w:r>
    </w:p>
    <w:p>
      <w:pPr>
        <w:ind w:left="660" w:right="320" w:hanging="328"/>
        <w:spacing w:after="0" w:line="225"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Gross profit margin increased 290 basis points from 24.6% to 27.5%. The Company’s non-GAAP gross profit metric represents consolidated revenue less costs of merchant card fees and other costs of services. Adjusted gross profit margin</w:t>
      </w:r>
      <w:r>
        <w:rPr>
          <w:rFonts w:ascii="Arial" w:cs="Arial" w:eastAsia="Arial" w:hAnsi="Arial"/>
          <w:sz w:val="25"/>
          <w:szCs w:val="25"/>
          <w:color w:val="auto"/>
          <w:vertAlign w:val="superscript"/>
        </w:rPr>
        <w:t>(1)</w:t>
      </w:r>
      <w:r>
        <w:rPr>
          <w:rFonts w:ascii="Arial" w:cs="Arial" w:eastAsia="Arial" w:hAnsi="Arial"/>
          <w:sz w:val="20"/>
          <w:szCs w:val="20"/>
          <w:color w:val="auto"/>
        </w:rPr>
        <w:t>, excluding the impact of subscription-billing e-commerce merchants, increased 510 basis points from 21.9% to 27.0%.</w:t>
      </w:r>
    </w:p>
    <w:p>
      <w:pPr>
        <w:spacing w:after="0" w:line="2" w:lineRule="exact"/>
        <w:rPr>
          <w:rFonts w:ascii="Arial" w:cs="Arial" w:eastAsia="Arial" w:hAnsi="Arial"/>
          <w:sz w:val="18"/>
          <w:szCs w:val="18"/>
          <w:color w:val="auto"/>
        </w:rPr>
      </w:pPr>
    </w:p>
    <w:p>
      <w:pPr>
        <w:ind w:left="660" w:right="60" w:hanging="328"/>
        <w:spacing w:after="0" w:line="225"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Consolidated adjusted EBITDA of $12.5 million decreased $2.8 million. The Company’s non-GAAP Consolidated adjusted EBITDA measure is earnings before interest, taxes, depreciation and amortization (EBITDA), further adjusted for non-cash compensation and certain other expenses considered non-recurring. Consolidated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excluding the impact of subscription-billing e-commerce merchants, of $10.8 million increased $5.6 million.</w:t>
      </w:r>
    </w:p>
    <w:p>
      <w:pPr>
        <w:spacing w:after="0" w:line="2" w:lineRule="exact"/>
        <w:rPr>
          <w:rFonts w:ascii="Arial" w:cs="Arial" w:eastAsia="Arial" w:hAnsi="Arial"/>
          <w:sz w:val="18"/>
          <w:szCs w:val="18"/>
          <w:color w:val="auto"/>
        </w:rPr>
      </w:pPr>
    </w:p>
    <w:p>
      <w:pPr>
        <w:jc w:val="both"/>
        <w:ind w:left="660" w:hanging="328"/>
        <w:spacing w:after="0" w:line="243"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In March 2019, the Company entered into a real estate payments operating partnership with Yapstone, Inc. and acquired assets from them that enables Priority to provide a single platform to meet the needs of all landlord constituents - from integrated enterprise property managers, middle market partners and small/local landlords for rent, dues and storage.</w:t>
      </w:r>
    </w:p>
    <w:p>
      <w:pPr>
        <w:spacing w:after="0" w:line="178"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See “Reconciliation of Non-GAAP Financial Measures” at the end of this earnings release for details regarding these measures.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“Priority’s first quarter results continued to reflect positive fundamentals and solid underlying growth, despite the previously discussed suspension in the boarding of subscription-billing e-commerce merchants. Core acquiring remains consistent, with strong merchant boarding trends throughout the quarter, and market adoption of our Commercial Payments platform is accelerating. Our Integrated Partners business group is also gaining significant traction across all verticals, including Hospitality, Healthcare and Real Estate - and most recently fueled by our operating partnership with Yapstone. As we strive to distinguish Priority from traditional merchant service providers by extending our success into software-based transaction technology,” said Tom Priore, Executive Chairman and CEO of Priority.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u w:val="single" w:color="auto"/>
          <w:color w:val="auto"/>
        </w:rPr>
        <w:t>Discussion of First Quarter Results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comparative revenue and gross profit for the first quarter was negatively affected by the wind-down of high-margin accounts with certain subscription-billing e-commerce merchants. The wind-down of merchants in this channel was due to industry-wide changes for enhanced card association compliance. This revenue, which is included entirely within the Consumer Payments reportable segment, was $3.9 million and $31.7 million in the first quarters of 2019 and 2018, respectively. The corresponding gross profit and income from operations associated with this revenue was $1.6 million and $10.0 million in the first quarters of 2019 and 2018, respectively.</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Income from operations includes certain expenses that the Company considers non-recurring in nature, largely associated with conversion to a public company, such as legal, accounting, advisory and consulting expenses plus certain litigation costs. Non-recurring expenses, which are contained within Corporate, were $1.2 million and $3.3 million in the first quarters of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Consolidated revenue in the first quarter of 2019 amounted to $100.0 million, a decline of $15.6 million compared with the 2018 first quarter. This decline was driven by the previously discussed wind-down of the subscription-billing e-commerce merchants. Adjusted consolidated revenue of $96.1 million, which excludes the impact of subscription-billing e-commerce merchants, increased $12.1 million, or 14.5%.</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Total merchant bankcard volume processed in the first quarter of 2019 of $9.9 billion grew by 8.8%, as compared with $ 9.1 billion in the first quarter of 2018. Merchant bankcard transaction volume of 117.9 million in the first quarter of 2019 grew by 6.7%, as compared with 110.4 million in the 2018 first quarter. Average ticket (calculated by dividing bankcard volume processed by the associated number of transactions processed) of $84.40 grew 2.0% in the first quarter of 2019, as compared with $82.76 in the comparable 2018 quarter.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Consumer Payments revenue in the first quarter of 2019 was $89.8 million, a decline of $19.2 million compared with the 2018 first quarter. Excluding the subscription-billing e-commerce business, adjusted Consumer Payments reportable segment revenue increased $8.6 million, or 11.1%, from $77.3 million in the first quarter of 2018 to $85.9 million in the first quarter of 2019.</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Merchant bankcard volume processed in the first quarter of 2019 of $9.9 billion grew by 8.7%, as compared with $9.1 billion in the first quarter of 2018. Merchant bankcard transaction volume of 117.8 million in the first quarter of 2019 grew by 6.7%, as compared with 110.4 million in the 2018 first quarter. Average ticket of $83.82 grew 1.9% in the first quarter of 2019, as compared with $82.28 in the comparable 2018 quarter.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and Managed Services Reportable Segment</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Commercial Payments and Managed Services revenue in the first quarter of 2019 amounted to $10.2 million, a 53.5% increase over $6.6 million in the 2018 first quarter. Revenue in the first quarter of 2019 included $3.2 million from the recently established Integrated Partners business group within this reportable segment. Commercial Payments revenue of $1.5 million in the first quarter of 2019 increased 54.2% compared with the 2018 first quarter. Managed Services revenue of $5.5 million in the first quarter of 2019 was in line with the 2018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Income from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Consolidated income from operations was $1.0 million in the first quarter of 2019, compared with $7.9 million in the 2018 first quarter. This decline of $6.9 million was due to a decrease in gross profit of $0.9 million, an increase in depreciation and amortization of $5.2 million and an increase in salaries and employee benefits of $1.9 million, partially offset by a $1.0 million decrease in selling, general and administrative expenses. Included in selling, general and administrative expenses in the first quarters of 2019 and 2018 were $1.2 million and $3.3 million, respectively, of certain expenses the Company considers non-recurring in nature. Non-cash equity-based compensation of $1.2 million, included in salaries and employee benefits, increased $1.0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Consumer Payments income from operations in the first quarter of 2019 was $7.7 million, a decline of $7.5 million compared with the 2018 first quarter. Income from operations from the subscription-billing e-commerce merchants declined $8.4 million. Depreciation and amortization of $7.8 million in the first quarter of 2019 increased $4.4 million compared with $ 3.4 million in the first quarter of 2018, due largely to amortization related to merchant portfolio acquisitions subsequent to the first quarter of 2018. Adjusted Consumer Payments reportable segment income from operations, which excludes the impact of subscription-billing e-commerce merchants, grew 17.7% to $6.1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and Managed Services Reportable Segment</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Commercial Payments and Managed Services reflected a loss from operations of $0.7 million in the first quarter of 2019 due to $0.8 million of depreciation and amortization. This compares with a loss from operations of $0.3 million in the first quarter of 2018, which included depreciation and amortization of $0.1 million. The increased depreciation and amortization is attributable to amortization of intangible assets acquired within the Integrated Partners business group.</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Corporate expense in the first quarter of 2019 amounted to $6.1 million, compared with $7.0 million in the first quarter of 2018.</w:t>
      </w:r>
    </w:p>
    <w:p>
      <w:pPr>
        <w:spacing w:after="0"/>
        <w:rPr>
          <w:sz w:val="20"/>
          <w:szCs w:val="20"/>
          <w:color w:val="auto"/>
        </w:rPr>
      </w:pPr>
      <w:r>
        <w:rPr>
          <w:rFonts w:ascii="Arial" w:cs="Arial" w:eastAsia="Arial" w:hAnsi="Arial"/>
          <w:sz w:val="20"/>
          <w:szCs w:val="20"/>
          <w:color w:val="auto"/>
        </w:rPr>
        <w:t>Non-recurring expenses amounted to $1.2 million and $3.3 million in the first quarters of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Interest expense of $9.4 million in the first quarter of 2019 increased by $2.4 million from $6.9 million in the 2018 first quarter. The increase is due to higher outstanding borrowings driven by acquisition financing.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40"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Other income, net of $0.2 million in the first quarter of 2019, compares with other expense, net of $4.1 million in the first quarter of 2018. The 2018 first quarter includes $3.5 million of expense related to the change in fair value of the Goldman Sachs warrant and $0.8 million of debt modification costs.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Acquisition / Partnership Updates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Priority’s acquisition strategy continues to identify and purchase integrated product channels and existing reselling partners. The Company continued purchases of merchant portfolios in the first quarter of 2019 with the execution of a handful of tuck-in acquisitions. In addition, Priority Real Estate Technology (“PRET”), an operating subsidiary of the Company, acquired assets from and entered into a real estate payments operating partnership with Yapstone, Inc., a leading provider of online and mobile payment solutions. Priority is the majority owner in the partnership with a preferred equity position and has assumed responsibility for the management and daily operation of the newly combined assets. PRET will provide critical operating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55" w:right="2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20"/>
          <w:szCs w:val="20"/>
          <w:color w:val="auto"/>
        </w:rPr>
        <w:t>infrastructure, marketing and sales support and real estate technology assets, including products and services derived from the previous acquisitions of RadPad and Landlord Station. Together, the Company believes that the new entity will provide a single platform that meets the needs of all landlord constituents - from integrated enterprise property managers, middle market partners and small/local landlords for rent, dues and storage.</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Priority funded these transactions through a $70.0 million delayed draw under its December 24, 2018 amended Senior Secured Credit Facility, $10.0 million borrowing from a revolving credit agreement and cash on hand.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Liquidity</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Working capital (defined as current assets less current liabilities) was $11.7 million at March 31, 2019, compared with $21.1 million at December 31, 2018. Unrestricted cash amounted to $9.1 million at March 31, 2019, compared with $15.6 million at December 31, 2018. These unrestricted balances do not include cash of $20.1 million at March 31, 2019 and $18.2 million at December 31, 2018 related to customer settlement funds. At March 31, 2019, the Company had availability of $15.0 million under a revolving credit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Debt</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March 31, 2019, total term debt amounted to $ 483.1 million, compared to $412.7 million at December 31, 2018. The debt balance consisted of outstanding term debt of $391.8 million under the Senior Credit Facility and $91.2 million in term debt under the subordinated Goldman Sachs Credit Agreement (including accrued payment-in-kind (“PIK”) interest through March 31,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2019 Outlook</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Priore concluded, “Priority’s future remains bright as we look to build on strong underlying growth throughout our business. Our industry-leading technology and service offering, combined with our recent partnership with Yapstone and acquisition of Direct Connect’s portfolio assets, have positioned the Company well for long-term growth and profitability. We remain confident in our ability to deliver modest revenue growth over 2018, despite a forecasted $50 million revenue decline from the subscription e-commerce business year over year, while continuing to target Earn-out Adjusted EBITDA (a non-GAAP measure) of $75 million for the full year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40" w:lineRule="exact"/>
        <w:rPr>
          <w:sz w:val="20"/>
          <w:szCs w:val="20"/>
          <w:color w:val="auto"/>
        </w:rPr>
      </w:pPr>
    </w:p>
    <w:p>
      <w:pPr>
        <w:jc w:val="both"/>
        <w:ind w:right="180"/>
        <w:spacing w:after="0" w:line="243" w:lineRule="auto"/>
        <w:rPr>
          <w:sz w:val="20"/>
          <w:szCs w:val="20"/>
          <w:color w:val="auto"/>
        </w:rPr>
      </w:pPr>
      <w:r>
        <w:rPr>
          <w:rFonts w:ascii="Arial" w:cs="Arial" w:eastAsia="Arial" w:hAnsi="Arial"/>
          <w:sz w:val="20"/>
          <w:szCs w:val="20"/>
          <w:color w:val="0A0A0A"/>
        </w:rPr>
        <w:t xml:space="preserve">Priority Technology Holdings Inc.’s leadership will host a conference call on Monday, May 13, 2019 at 8:30 a.m. ET to discuss its first quarter 2019 financial results. Participants can access the call by </w:t>
      </w:r>
      <w:r>
        <w:rPr>
          <w:rFonts w:ascii="Arial" w:cs="Arial" w:eastAsia="Arial" w:hAnsi="Arial"/>
          <w:sz w:val="20"/>
          <w:szCs w:val="20"/>
          <w:color w:val="000000"/>
        </w:rPr>
        <w:t>Phone: US/Canada: (877) 501-3161 or International: (786)</w:t>
      </w:r>
      <w:r>
        <w:rPr>
          <w:rFonts w:ascii="Arial" w:cs="Arial" w:eastAsia="Arial" w:hAnsi="Arial"/>
          <w:sz w:val="20"/>
          <w:szCs w:val="20"/>
          <w:color w:val="0A0A0A"/>
        </w:rPr>
        <w:t xml:space="preserve"> </w:t>
      </w:r>
      <w:r>
        <w:rPr>
          <w:rFonts w:ascii="Arial" w:cs="Arial" w:eastAsia="Arial" w:hAnsi="Arial"/>
          <w:sz w:val="20"/>
          <w:szCs w:val="20"/>
          <w:color w:val="000000"/>
        </w:rPr>
        <w:t>815-8443.</w:t>
      </w:r>
    </w:p>
    <w:p>
      <w:pPr>
        <w:spacing w:after="0" w:line="206"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 xml:space="preserve">Internet webcast link and accompanying slide presentation can be accessed at </w:t>
      </w:r>
      <w:r>
        <w:rPr>
          <w:rFonts w:ascii="Arial" w:cs="Arial" w:eastAsia="Arial" w:hAnsi="Arial"/>
          <w:sz w:val="20"/>
          <w:szCs w:val="20"/>
          <w:u w:val="single" w:color="auto"/>
          <w:color w:val="auto"/>
        </w:rPr>
        <w:t>https://edge.media-server.com/m6/p/myfikjd7</w:t>
      </w:r>
      <w:r>
        <w:rPr>
          <w:rFonts w:ascii="Arial" w:cs="Arial" w:eastAsia="Arial" w:hAnsi="Arial"/>
          <w:sz w:val="20"/>
          <w:szCs w:val="20"/>
          <w:color w:val="auto"/>
        </w:rPr>
        <w:t xml:space="preserve"> and will also be posted in the “Investor Relations” section of the Company’s website at </w:t>
      </w:r>
      <w:r>
        <w:rPr>
          <w:rFonts w:ascii="Arial" w:cs="Arial" w:eastAsia="Arial" w:hAnsi="Arial"/>
          <w:sz w:val="20"/>
          <w:szCs w:val="20"/>
          <w:u w:val="single" w:color="auto"/>
          <w:color w:val="auto"/>
        </w:rPr>
        <w:t>www.PRTH.com</w:t>
      </w:r>
      <w:r>
        <w:rPr>
          <w:rFonts w:ascii="Arial" w:cs="Arial" w:eastAsia="Arial" w:hAnsi="Arial"/>
          <w:sz w:val="20"/>
          <w:szCs w:val="20"/>
          <w:color w:val="auto"/>
        </w:rPr>
        <w:t>.</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 audio replay of the call will be available shortly after the conference call until May 16, 2019 at 11:30 am Eastern Time. To listen to the audio replay, dial (855) 859-2056 or (404) 537-3406 and enter conference ID number 9081924. Alternatively, you may access the webcast replay in the “Investor Relations” section of the Company’s website at </w:t>
      </w:r>
      <w:r>
        <w:rPr>
          <w:rFonts w:ascii="Arial" w:cs="Arial" w:eastAsia="Arial" w:hAnsi="Arial"/>
          <w:sz w:val="20"/>
          <w:szCs w:val="20"/>
          <w:u w:val="single" w:color="auto"/>
          <w:color w:val="auto"/>
        </w:rPr>
        <w:t>www.PRTH.com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regularly review the following key non-GAAP measures to evaluate our business and trends, measure our performance, prepare financial projections, allocate resources, and make strategic decisions. We believe these non-GAAP measures help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Revenue</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Revenue for the quarter ended March 31, 2019 has been negatively affected by the closure of high-margin accounts with certain subscription-billing e-commerce merchants. The closure of merchants in this channel was due to industry-wide changes for enhanced card association compliance. We refer to adjusted revenue, which excludes these revenue amounts from the periods presented. We review this non-GAAP measure to evaluate our underlying revenue and trends.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Adjusted Gross Profit</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Company’s non-GAAP gross profit metric represents revenue less costs of merchant card fees and other costs of services. Gross profit margin is gross profit divided by revenue. We also refer to adjusted gross profit and adjusted gross profit margin, which excludes gross profit from certain subscription-billing e-commerce merchants. We review these non-GAAP measures to evaluate our underlying profit trends.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Income from Operations</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Income from operations for the quarter ended March 31, 2019 has also been negatively affected by the closure of the high-margin accounts with certain subscription-billing e-commerce merchants, as well as the incurrence of non-recurring expenses largely associated with our July 2018 Business Combination and conversion to a public company, such as legal, accounting, advisory and consulting expenses plus certain litigation costs. We refer to adjusted income from operations, which excludes this income from operations and non-recurring operating expenses for the periods presented. We review this non-GAAP measure to evaluate our underlying profitability performance and trends.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EBITDA, Adjusted EBITDA and Earnout Adjusted EBITDA</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EBITDA is earnings before interest, income tax, depreciation and amortization expenses (“EBITDA”). Adjusted EBITDA begins with EBITDA but further excludes certain non-cash expenses such as equity-based compensation and fair value adjustments, debt modification costs and non-recurring expenses such as Business Combination costs, litigation settlement costs, certain legal services costs, and professional, accounting and consulting fees. The calculation of Earnout Adjusted EBITDA includes adjustments for the pro-forma impact of acquisitions, as well as adjustments to exclude other professional and consulting fees and certain tax expenses and other adjustments. We review these non-GAAP EBITDA measures to evaluate our business and trends, measure our performance, prepare financial projections, allocate resources, and make strategic decisions.</w:t>
      </w:r>
    </w:p>
    <w:p>
      <w:pPr>
        <w:spacing w:after="0" w:line="21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reconciliations of Adjusted Revenue, Gross Profit, Adjusted Gross Profit, Adjusted Income from Operations, EBITDA, Adjusted EBITDA and Earnout Adjusted EBITDA to the most directly comparable financial measure calculated and presented in accordance with GAAP, are shown in the attached schedules to this press release.</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5" w:right="2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and non-cash reconciling items that would be difficult to predict with reasonable accuracy. For example, equity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Priority is a fintech enterprise with a leading core payments technology,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t>
      </w:r>
      <w:r>
        <w:rPr>
          <w:rFonts w:ascii="Arial" w:cs="Arial" w:eastAsia="Arial" w:hAnsi="Arial"/>
          <w:sz w:val="20"/>
          <w:szCs w:val="20"/>
          <w:u w:val="single" w:color="auto"/>
          <w:color w:val="auto"/>
        </w:rPr>
        <w:t>www.PRTH.com</w:t>
      </w: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 “future,” “intends,” “could,” “estimate,” “predict,” “projects,” “targeting,” “potential” or “contingent,” the negative of these terms or other similar expressions. Our actual results could differ materially from those discussed or implied herein.</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for 2018 filed with the SEC on March 29, 2019. These filings are available online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www.PRTH.com</w:t>
      </w:r>
      <w:r>
        <w:rPr>
          <w:rFonts w:ascii="Arial" w:cs="Arial" w:eastAsia="Arial" w:hAnsi="Arial"/>
          <w:sz w:val="20"/>
          <w:szCs w:val="20"/>
          <w:color w:val="auto"/>
        </w:rPr>
        <w:t>.</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34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rPr>
              <w:t>PRIORITY TECHNOLOGY HOLDINGS, INC.</w:t>
            </w:r>
          </w:p>
        </w:tc>
        <w:tc>
          <w:tcPr>
            <w:tcW w:w="9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434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960" w:type="dxa"/>
            <w:vAlign w:val="bottom"/>
          </w:tcPr>
          <w:p>
            <w:pPr>
              <w:spacing w:after="0"/>
              <w:rPr>
                <w:sz w:val="18"/>
                <w:szCs w:val="18"/>
                <w:color w:val="auto"/>
              </w:rPr>
            </w:pPr>
          </w:p>
        </w:tc>
      </w:tr>
      <w:tr>
        <w:trPr>
          <w:trHeight w:val="220"/>
        </w:trPr>
        <w:tc>
          <w:tcPr>
            <w:tcW w:w="3380" w:type="dxa"/>
            <w:vAlign w:val="bottom"/>
          </w:tcPr>
          <w:p>
            <w:pPr>
              <w:spacing w:after="0"/>
              <w:rPr>
                <w:sz w:val="19"/>
                <w:szCs w:val="19"/>
                <w:color w:val="auto"/>
              </w:rPr>
            </w:pPr>
          </w:p>
        </w:tc>
        <w:tc>
          <w:tcPr>
            <w:tcW w:w="434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91"/>
              </w:rPr>
              <w:t>For the Quarters ended March 31, 2019 and 2018</w:t>
            </w:r>
          </w:p>
        </w:tc>
        <w:tc>
          <w:tcPr>
            <w:tcW w:w="960" w:type="dxa"/>
            <w:vAlign w:val="bottom"/>
          </w:tcPr>
          <w:p>
            <w:pPr>
              <w:spacing w:after="0"/>
              <w:rPr>
                <w:sz w:val="19"/>
                <w:szCs w:val="19"/>
                <w:color w:val="auto"/>
              </w:rPr>
            </w:pPr>
          </w:p>
        </w:tc>
      </w:tr>
      <w:tr>
        <w:trPr>
          <w:trHeight w:val="230"/>
        </w:trPr>
        <w:tc>
          <w:tcPr>
            <w:tcW w:w="3380" w:type="dxa"/>
            <w:vAlign w:val="bottom"/>
          </w:tcPr>
          <w:p>
            <w:pPr>
              <w:spacing w:after="0"/>
              <w:rPr>
                <w:sz w:val="20"/>
                <w:szCs w:val="20"/>
                <w:color w:val="auto"/>
              </w:rPr>
            </w:pPr>
          </w:p>
        </w:tc>
        <w:tc>
          <w:tcPr>
            <w:tcW w:w="2800" w:type="dxa"/>
            <w:vAlign w:val="bottom"/>
            <w:gridSpan w:val="2"/>
          </w:tcPr>
          <w:p>
            <w:pPr>
              <w:jc w:val="center"/>
              <w:ind w:left="1770"/>
              <w:spacing w:after="0"/>
              <w:rPr>
                <w:sz w:val="20"/>
                <w:szCs w:val="20"/>
                <w:color w:val="auto"/>
              </w:rPr>
            </w:pPr>
            <w:r>
              <w:rPr>
                <w:rFonts w:ascii="Arial" w:cs="Arial" w:eastAsia="Arial" w:hAnsi="Arial"/>
                <w:sz w:val="18"/>
                <w:szCs w:val="18"/>
                <w:b w:val="1"/>
                <w:bCs w:val="1"/>
                <w:i w:val="1"/>
                <w:iCs w:val="1"/>
                <w:color w:val="auto"/>
                <w:w w:val="88"/>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3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9"/>
              </w:rPr>
              <w:t>(in thousands, except per share amounts)</w:t>
            </w:r>
          </w:p>
        </w:tc>
        <w:tc>
          <w:tcPr>
            <w:tcW w:w="2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6"/>
              </w:rPr>
              <w:t>Quarter Ended March 31,</w:t>
            </w:r>
          </w:p>
        </w:tc>
      </w:tr>
      <w:tr>
        <w:trPr>
          <w:trHeight w:val="237"/>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3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91,829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108,010</w:t>
            </w: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2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r>
      <w:tr>
        <w:trPr>
          <w:trHeight w:val="237"/>
        </w:trPr>
        <w:tc>
          <w:tcPr>
            <w:tcW w:w="338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2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99,977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115,596</w:t>
            </w:r>
          </w:p>
        </w:tc>
      </w:tr>
      <w:tr>
        <w:trPr>
          <w:trHeight w:val="27"/>
        </w:trPr>
        <w:tc>
          <w:tcPr>
            <w:tcW w:w="33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3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82,813</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4,376</w:t>
            </w: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8,972</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r>
      <w:tr>
        <w:trPr>
          <w:trHeight w:val="237"/>
        </w:trPr>
        <w:tc>
          <w:tcPr>
            <w:tcW w:w="33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107,718</w:t>
            </w:r>
          </w:p>
        </w:tc>
      </w:tr>
      <w:tr>
        <w:trPr>
          <w:trHeight w:val="27"/>
        </w:trPr>
        <w:tc>
          <w:tcPr>
            <w:tcW w:w="33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3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7,878</w:t>
            </w:r>
          </w:p>
        </w:tc>
      </w:tr>
      <w:tr>
        <w:trPr>
          <w:trHeight w:val="27"/>
        </w:trPr>
        <w:tc>
          <w:tcPr>
            <w:tcW w:w="33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3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7"/>
        </w:trPr>
        <w:tc>
          <w:tcPr>
            <w:tcW w:w="33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2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169"/>
        </w:trPr>
        <w:tc>
          <w:tcPr>
            <w:tcW w:w="3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176"/>
        </w:trPr>
        <w:tc>
          <w:tcPr>
            <w:tcW w:w="3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56"/>
        </w:trPr>
        <w:tc>
          <w:tcPr>
            <w:tcW w:w="3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64"/>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6"/>
        </w:trPr>
        <w:tc>
          <w:tcPr>
            <w:tcW w:w="338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70"/>
        </w:trPr>
        <w:tc>
          <w:tcPr>
            <w:tcW w:w="33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(C-corporation basis)</w:t>
            </w:r>
            <w:r>
              <w:rPr>
                <w:rFonts w:ascii="Arial" w:cs="Arial" w:eastAsia="Arial" w:hAnsi="Arial"/>
                <w:sz w:val="18"/>
                <w:szCs w:val="18"/>
                <w:color w:val="auto"/>
              </w:rPr>
              <w:t>:</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3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135"/>
        </w:trPr>
        <w:tc>
          <w:tcPr>
            <w:tcW w:w="3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per common share:</w:t>
            </w:r>
          </w:p>
        </w:tc>
        <w:tc>
          <w:tcPr>
            <w:tcW w:w="2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36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2019 Compared to Quarter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380" w:type="dxa"/>
            <w:vAlign w:val="bottom"/>
            <w:shd w:val="clear" w:color="auto" w:fill="CCEEFF"/>
          </w:tcPr>
          <w:p>
            <w:pPr>
              <w:spacing w:after="0"/>
              <w:rPr>
                <w:sz w:val="22"/>
                <w:szCs w:val="22"/>
                <w:color w:val="auto"/>
              </w:rPr>
            </w:pPr>
          </w:p>
        </w:tc>
        <w:tc>
          <w:tcPr>
            <w:tcW w:w="3220" w:type="dxa"/>
            <w:vAlign w:val="bottom"/>
            <w:gridSpan w:val="5"/>
            <w:shd w:val="clear" w:color="auto" w:fill="CCEEFF"/>
          </w:tcPr>
          <w:p>
            <w:pPr>
              <w:ind w:left="380"/>
              <w:spacing w:after="0"/>
              <w:rPr>
                <w:sz w:val="20"/>
                <w:szCs w:val="20"/>
                <w:color w:val="auto"/>
              </w:rPr>
            </w:pPr>
            <w:r>
              <w:rPr>
                <w:rFonts w:ascii="Arial" w:cs="Arial" w:eastAsia="Arial" w:hAnsi="Arial"/>
                <w:sz w:val="18"/>
                <w:szCs w:val="18"/>
                <w:b w:val="1"/>
                <w:bCs w:val="1"/>
                <w:color w:val="auto"/>
              </w:rPr>
              <w:t>Quarter Ended March 31,</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9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82,103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93,766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(11,663)</w:t>
            </w:r>
          </w:p>
        </w:tc>
        <w:tc>
          <w:tcPr>
            <w:tcW w:w="15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324"/>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9,872,377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9,084,227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788,150</w:t>
            </w:r>
          </w:p>
        </w:tc>
        <w:tc>
          <w:tcPr>
            <w:tcW w:w="156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117,781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324"/>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4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53.5 %</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10,839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3,897</w:t>
            </w:r>
          </w:p>
        </w:tc>
        <w:tc>
          <w:tcPr>
            <w:tcW w:w="1560" w:type="dxa"/>
            <w:vAlign w:val="bottom"/>
          </w:tcPr>
          <w:p>
            <w:pPr>
              <w:jc w:val="right"/>
              <w:spacing w:after="0"/>
              <w:rPr>
                <w:sz w:val="20"/>
                <w:szCs w:val="20"/>
                <w:color w:val="auto"/>
              </w:rPr>
            </w:pPr>
            <w:r>
              <w:rPr>
                <w:rFonts w:ascii="Arial" w:cs="Arial" w:eastAsia="Arial" w:hAnsi="Arial"/>
                <w:sz w:val="18"/>
                <w:szCs w:val="18"/>
                <w:color w:val="auto"/>
              </w:rPr>
              <w:t>56.1 %</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324"/>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73,854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55,536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18,318</w:t>
            </w:r>
          </w:p>
        </w:tc>
        <w:tc>
          <w:tcPr>
            <w:tcW w:w="156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169.2 %</w:t>
            </w:r>
          </w:p>
        </w:tc>
      </w:tr>
      <w:tr>
        <w:trPr>
          <w:trHeight w:val="324"/>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segments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Less: Corporate expenses</w:t>
            </w:r>
          </w:p>
        </w:tc>
        <w:tc>
          <w:tcPr>
            <w:tcW w:w="38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5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5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9,946,231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9,139,763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806,468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117,851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110,431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7,420</w:t>
            </w:r>
          </w:p>
        </w:tc>
        <w:tc>
          <w:tcPr>
            <w:tcW w:w="1560" w:type="dxa"/>
            <w:vAlign w:val="bottom"/>
          </w:tcPr>
          <w:p>
            <w:pPr>
              <w:jc w:val="right"/>
              <w:spacing w:after="0"/>
              <w:rPr>
                <w:sz w:val="20"/>
                <w:szCs w:val="20"/>
                <w:color w:val="auto"/>
              </w:rPr>
            </w:pPr>
            <w:r>
              <w:rPr>
                <w:rFonts w:ascii="Arial" w:cs="Arial" w:eastAsia="Arial" w:hAnsi="Arial"/>
                <w:sz w:val="18"/>
                <w:szCs w:val="18"/>
                <w:color w:val="auto"/>
              </w:rPr>
              <w:t>6.7 %</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15,631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45,651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49,692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r>
      <w:tr>
        <w:trPr>
          <w:trHeight w:val="297"/>
        </w:trPr>
        <w:tc>
          <w:tcPr>
            <w:tcW w:w="720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472,115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30"/>
        </w:trPr>
        <w:tc>
          <w:tcPr>
            <w:tcW w:w="7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23,568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27,638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3,282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outstanding on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472,537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402,095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484,948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7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557,220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474,091</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(85,540)</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64"/>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472,115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Quarters ended March 31, 2019 and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22"/>
                <w:szCs w:val="22"/>
                <w:color w:val="auto"/>
              </w:rPr>
            </w:pPr>
          </w:p>
        </w:tc>
        <w:tc>
          <w:tcPr>
            <w:tcW w:w="2900" w:type="dxa"/>
            <w:vAlign w:val="bottom"/>
            <w:tcBorders>
              <w:bottom w:val="single" w:sz="8" w:color="auto"/>
            </w:tcBorders>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8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losses and impairment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Provision for deferred tax benefit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1,193</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4,797</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2,879</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3,230</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12,614</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prior year business acquisition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Additions to property, equipment and software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merchant portfolios and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net of issue discount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67,113</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members prior to July 25, 2018 recapitalization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Redemption of membership interest prior to July 25, 2018 recapitalization</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(74,093)</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r>
      <w:tr>
        <w:trPr>
          <w:trHeight w:val="291"/>
        </w:trPr>
        <w:tc>
          <w:tcPr>
            <w:tcW w:w="80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(6,030)</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restricted cash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44,159</w:t>
            </w:r>
          </w:p>
        </w:tc>
      </w:tr>
      <w:tr>
        <w:trPr>
          <w:trHeight w:val="297"/>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restricted cash at March 31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29,240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38,129</w:t>
            </w:r>
          </w:p>
        </w:tc>
      </w:tr>
      <w:tr>
        <w:trPr>
          <w:trHeight w:val="284"/>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5,355</w:t>
            </w:r>
          </w:p>
        </w:tc>
      </w:tr>
      <w:tr>
        <w:trPr>
          <w:trHeight w:val="27"/>
        </w:trPr>
        <w:tc>
          <w:tcPr>
            <w:tcW w:w="8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240" w:top="580"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20"/>
          </w:cols>
          <w:pgMar w:left="240" w:top="580"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reconciliations of Adjusted Consolidated Revenue, Consolidated Gross Profit and Gross Profit Margin, Adjusted Consolidated Gross Profit and Gross Profit Margin, Adjusted Consolidated Income from Operations, Adjusted Consolidated Net Loss, Adjusted Consumer Payments Revenue, Adjusted Consumer Payments Income from Operations, Consolidated EBITDA, Consolidated Adjusted EBITDA, and Consolidated Earnout Adjusted EBITDA to the most directly comparable financial measures calculated and presented in accordance with GAAP, are shown in the following tables: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gridSpan w:val="4"/>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7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Consolidated revenue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99,977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115,596</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(31,664)</w:t>
            </w:r>
          </w:p>
        </w:tc>
      </w:tr>
      <w:tr>
        <w:trPr>
          <w:trHeight w:val="297"/>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revenue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96,071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83,932</w:t>
            </w:r>
          </w:p>
        </w:tc>
      </w:tr>
      <w:tr>
        <w:trPr>
          <w:trHeight w:val="311"/>
        </w:trPr>
        <w:tc>
          <w:tcPr>
            <w:tcW w:w="7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Consolidated costs of services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costs of merchant card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82,813</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Consolidated costs of outsourced services and other</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4,376</w:t>
            </w: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72,437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87,189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28,407</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Less: Gross profit of certain subscription-billing e-commerce merchants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(10,035)</w:t>
            </w: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gross profit (non-GAAP)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25,918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18,372</w:t>
            </w: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7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margin (non-GAAP)</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91"/>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gross profit margin (non-GAAP)</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57"/>
        </w:trPr>
        <w:tc>
          <w:tcPr>
            <w:tcW w:w="7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Consolidated income from operations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966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7,878</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(31,664)</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21,629</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non-recurring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3,330</w:t>
            </w:r>
          </w:p>
        </w:tc>
      </w:tr>
      <w:tr>
        <w:trPr>
          <w:trHeight w:val="297"/>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1,173</w:t>
            </w:r>
          </w:p>
        </w:tc>
      </w:tr>
      <w:tr>
        <w:trPr>
          <w:trHeight w:val="311"/>
        </w:trPr>
        <w:tc>
          <w:tcPr>
            <w:tcW w:w="7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(6,446)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(3,177)</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(31,664)</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21,629</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non-recurring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3,330</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Add: income tax benefit of non-GAAP adjustments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net loss (non-GAAP)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(9,882)</w:t>
            </w: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 revenue (GAAP)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108,981</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(31,664)</w:t>
            </w:r>
          </w:p>
        </w:tc>
      </w:tr>
      <w:tr>
        <w:trPr>
          <w:trHeight w:val="27"/>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Consumer Payments revenue (non-GAAP)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85,916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77,317</w:t>
            </w: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 income from operations (GAAP)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15,215</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(31,664)</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21,629</w:t>
            </w:r>
          </w:p>
        </w:tc>
      </w:tr>
      <w:tr>
        <w:trPr>
          <w:trHeight w:val="25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Adjusted Consumer Payments income from operations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6,097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5,180</w:t>
            </w: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EBITDA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reconciliations of Consolidated EBITDA, Consolidated Adjusted EBITDA , and Consolidated Earnout Adjusted EBITDA to net loss, the most directly comparable financial measure calculated and presented in accordance with GAAP, are shown in the table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gridSpan w:val="4"/>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Quarter Ended March 31,</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 Non-cash equity-based compensation</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Debt modification costs and warrant fair value changes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 Certain legal expenses (2)</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 Pro-forma impacts for acquisitions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Earnout Adjusted EBITDA (non-GAAP) (4)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16,277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15,300</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Less: Gross profit from certain subscription-billing e-commerce merchants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Consolidated Adjusted EBITDA excluding certain subscription-billing e-commerce merchants (non-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10,841</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5,265</w:t>
            </w: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GAAP)</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issue discount.</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and settlement negotiation and other litigation expenses.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jc w:val="both"/>
        <w:ind w:firstLine="8"/>
        <w:spacing w:after="0" w:line="261" w:lineRule="auto"/>
        <w:tabs>
          <w:tab w:leader="none" w:pos="244"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definition in debt agreements entered into in connection with the January 2017 debt financing. Subsequent to the Business Combination, the Earnout Adjusted EBITDA of the Borrowers under the credit agreements excludes expenses of Priority Technology Holdings, Inc., which is neither a borrower nor a guarantor under the credit agreements. Earnout Adjusted EBITDA of the Borrowers was approximately $19.4 million for the quarter ended March 31, 2019.</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sectPr>
      <w:pgSz w:w="11900" w:h="16838" w:orient="portrait"/>
      <w:cols w:equalWidth="0" w:num="1">
        <w:col w:w="11420"/>
      </w:cols>
      <w:pgMar w:left="240" w:top="79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2019-12-02T20:30:07Z</dcterms:created>
  <dcterms:modified xsi:type="dcterms:W3CDTF">2019-12-02T20:30:07Z</dcterms:modified>
</cp:coreProperties>
</file>