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9"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26670</wp:posOffset>
            </wp:positionH>
            <wp:positionV relativeFrom="paragraph">
              <wp:posOffset>-10795</wp:posOffset>
            </wp:positionV>
            <wp:extent cx="145415" cy="1968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415" cy="196850"/>
                    </a:xfrm>
                    <a:prstGeom prst="rect">
                      <a:avLst/>
                    </a:prstGeom>
                    <a:noFill/>
                  </pic:spPr>
                </pic:pic>
              </a:graphicData>
            </a:graphic>
          </wp:anchor>
        </w:drawing>
      </w:r>
    </w:p>
    <w:p>
      <w:pPr>
        <w:jc w:val="both"/>
        <w:ind w:left="360" w:right="360" w:hanging="271"/>
        <w:spacing w:after="0" w:line="188" w:lineRule="auto"/>
        <w:tabs>
          <w:tab w:leader="none" w:pos="360" w:val="left"/>
        </w:tabs>
        <w:numPr>
          <w:ilvl w:val="0"/>
          <w:numId w:val="1"/>
        </w:numPr>
        <w:rPr>
          <w:rFonts w:ascii="Arial" w:cs="Arial" w:eastAsia="Arial" w:hAnsi="Arial"/>
          <w:sz w:val="26"/>
          <w:szCs w:val="26"/>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029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0297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40" w:space="28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jc w:val="right"/>
              <w:ind w:right="1180"/>
              <w:spacing w:after="0"/>
              <w:rPr>
                <w:sz w:val="20"/>
                <w:szCs w:val="20"/>
                <w:color w:val="auto"/>
              </w:rPr>
            </w:pPr>
            <w:r>
              <w:rPr>
                <w:rFonts w:ascii="Arial" w:cs="Arial" w:eastAsia="Arial" w:hAnsi="Arial"/>
                <w:sz w:val="14"/>
                <w:szCs w:val="14"/>
                <w:color w:val="auto"/>
                <w:w w:val="96"/>
              </w:rPr>
              <w:t xml:space="preserve">Issuer Name </w:t>
            </w:r>
            <w:r>
              <w:rPr>
                <w:rFonts w:ascii="Arial" w:cs="Arial" w:eastAsia="Arial" w:hAnsi="Arial"/>
                <w:sz w:val="14"/>
                <w:szCs w:val="14"/>
                <w:b w:val="1"/>
                <w:bCs w:val="1"/>
                <w:color w:val="auto"/>
                <w:w w:val="96"/>
              </w:rPr>
              <w:t>and</w:t>
            </w:r>
            <w:r>
              <w:rPr>
                <w:rFonts w:ascii="Arial" w:cs="Arial" w:eastAsia="Arial" w:hAnsi="Arial"/>
                <w:sz w:val="14"/>
                <w:szCs w:val="14"/>
                <w:color w:val="auto"/>
                <w:w w:val="96"/>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Hudson Bay Capital Management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jc w:val="right"/>
              <w:ind w:right="1180"/>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M I Acquisitions,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MACQ</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780" w:type="dxa"/>
            <w:vAlign w:val="bottom"/>
            <w:tcBorders>
              <w:top w:val="single" w:sz="8" w:color="0000EE"/>
            </w:tcBorders>
          </w:tcPr>
          <w:p>
            <w:pPr>
              <w:spacing w:after="0"/>
              <w:rPr>
                <w:sz w:val="5"/>
                <w:szCs w:val="5"/>
                <w:color w:val="auto"/>
              </w:rPr>
            </w:pPr>
          </w:p>
        </w:tc>
        <w:tc>
          <w:tcPr>
            <w:tcW w:w="2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16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780" w:type="dxa"/>
            <w:vAlign w:val="bottom"/>
            <w:tcBorders>
              <w:bottom w:val="single" w:sz="8" w:color="2C2C2C"/>
            </w:tcBorders>
          </w:tcPr>
          <w:p>
            <w:pPr>
              <w:spacing w:after="0"/>
              <w:rPr>
                <w:sz w:val="15"/>
                <w:szCs w:val="15"/>
                <w:color w:val="auto"/>
              </w:rPr>
            </w:pPr>
          </w:p>
        </w:tc>
        <w:tc>
          <w:tcPr>
            <w:tcW w:w="200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jc w:val="right"/>
              <w:ind w:right="1000"/>
              <w:spacing w:after="0"/>
              <w:rPr>
                <w:sz w:val="20"/>
                <w:szCs w:val="20"/>
                <w:color w:val="auto"/>
              </w:rPr>
            </w:pPr>
            <w:r>
              <w:rPr>
                <w:rFonts w:ascii="Arial" w:cs="Arial" w:eastAsia="Arial" w:hAnsi="Arial"/>
                <w:sz w:val="14"/>
                <w:szCs w:val="14"/>
                <w:color w:val="auto"/>
                <w:w w:val="96"/>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206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07/09/2018</w:t>
            </w:r>
          </w:p>
        </w:tc>
        <w:tc>
          <w:tcPr>
            <w:tcW w:w="2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60" w:type="dxa"/>
            <w:vAlign w:val="bottom"/>
            <w:gridSpan w:val="4"/>
            <w:vMerge w:val="continue"/>
          </w:tcPr>
          <w:p>
            <w:pPr>
              <w:spacing w:after="0"/>
              <w:rPr>
                <w:sz w:val="6"/>
                <w:szCs w:val="6"/>
                <w:color w:val="auto"/>
              </w:rPr>
            </w:pPr>
          </w:p>
        </w:tc>
        <w:tc>
          <w:tcPr>
            <w:tcW w:w="20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777 THIRD AVE., 30TH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20" w:type="dxa"/>
            <w:vAlign w:val="bottom"/>
            <w:gridSpan w:val="3"/>
          </w:tcPr>
          <w:p>
            <w:pPr>
              <w:jc w:val="center"/>
              <w:ind w:right="19"/>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jc w:val="right"/>
              <w:ind w:right="21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320" w:type="dxa"/>
            <w:vAlign w:val="bottom"/>
            <w:gridSpan w:val="6"/>
          </w:tcPr>
          <w:p>
            <w:pPr>
              <w:ind w:left="60"/>
              <w:spacing w:after="0"/>
              <w:rPr>
                <w:sz w:val="20"/>
                <w:szCs w:val="20"/>
                <w:color w:val="auto"/>
              </w:rPr>
            </w:pPr>
            <w:r>
              <w:rPr>
                <w:rFonts w:ascii="Arial" w:cs="Arial" w:eastAsia="Arial" w:hAnsi="Arial"/>
                <w:sz w:val="18"/>
                <w:szCs w:val="18"/>
                <w:color w:val="0000FF"/>
                <w:w w:val="93"/>
              </w:rPr>
              <w:t>Common Stock, par value $0.001 per share</w:t>
            </w:r>
          </w:p>
        </w:tc>
        <w:tc>
          <w:tcPr>
            <w:tcW w:w="1120" w:type="dxa"/>
            <w:vAlign w:val="bottom"/>
            <w:gridSpan w:val="3"/>
            <w:vMerge w:val="restart"/>
          </w:tcPr>
          <w:p>
            <w:pPr>
              <w:jc w:val="center"/>
              <w:ind w:right="19"/>
              <w:spacing w:after="0"/>
              <w:rPr>
                <w:sz w:val="20"/>
                <w:szCs w:val="20"/>
                <w:color w:val="auto"/>
              </w:rPr>
            </w:pPr>
            <w:r>
              <w:rPr>
                <w:rFonts w:ascii="Arial" w:cs="Arial" w:eastAsia="Arial" w:hAnsi="Arial"/>
                <w:sz w:val="18"/>
                <w:szCs w:val="18"/>
                <w:color w:val="0000FF"/>
                <w:w w:val="88"/>
              </w:rPr>
              <w:t>07/09/2018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color w:val="0000FF"/>
                <w:w w:val="87"/>
              </w:rPr>
              <w:t>37,500</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712,500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w w:val="98"/>
              </w:rPr>
              <w:t>("Common Stock")</w:t>
            </w: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40" w:type="dxa"/>
            <w:vAlign w:val="bottom"/>
            <w:tcBorders>
              <w:bottom w:val="single" w:sz="8" w:color="2C2C2C"/>
            </w:tcBorders>
            <w:gridSpan w:val="4"/>
            <w:vMerge w:val="continue"/>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gridSpan w:val="3"/>
            <w:vMerge w:val="restart"/>
          </w:tcPr>
          <w:p>
            <w:pPr>
              <w:jc w:val="center"/>
              <w:ind w:right="19"/>
              <w:spacing w:after="0"/>
              <w:rPr>
                <w:sz w:val="20"/>
                <w:szCs w:val="20"/>
                <w:color w:val="auto"/>
              </w:rPr>
            </w:pPr>
            <w:r>
              <w:rPr>
                <w:rFonts w:ascii="Arial" w:cs="Arial" w:eastAsia="Arial" w:hAnsi="Arial"/>
                <w:sz w:val="18"/>
                <w:szCs w:val="18"/>
                <w:color w:val="0000FF"/>
                <w:w w:val="88"/>
              </w:rPr>
              <w:t>07/10/2018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color w:val="0000FF"/>
                <w:w w:val="93"/>
              </w:rPr>
              <w:t>207</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712,293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20" w:type="dxa"/>
            <w:vAlign w:val="bottom"/>
            <w:vMerge w:val="restart"/>
          </w:tcPr>
          <w:p>
            <w:pPr>
              <w:ind w:left="20"/>
              <w:spacing w:after="0"/>
              <w:rPr>
                <w:sz w:val="20"/>
                <w:szCs w:val="20"/>
                <w:color w:val="auto"/>
              </w:rPr>
            </w:pPr>
            <w:r>
              <w:rPr>
                <w:rFonts w:ascii="Arial" w:cs="Arial" w:eastAsia="Arial" w:hAnsi="Arial"/>
                <w:sz w:val="18"/>
                <w:szCs w:val="18"/>
                <w:color w:val="0000FF"/>
                <w:w w:val="93"/>
              </w:rPr>
              <w:t>footnote</w:t>
            </w:r>
            <w:r>
              <w:rPr>
                <w:rFonts w:ascii="Arial" w:cs="Arial" w:eastAsia="Arial" w:hAnsi="Arial"/>
                <w:sz w:val="22"/>
                <w:szCs w:val="22"/>
                <w:color w:val="008000"/>
                <w:w w:val="93"/>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4"/>
            <w:vMerge w:val="restart"/>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20" w:type="dxa"/>
            <w:vAlign w:val="bottom"/>
            <w:gridSpan w:val="3"/>
            <w:vMerge w:val="restart"/>
          </w:tcPr>
          <w:p>
            <w:pPr>
              <w:jc w:val="center"/>
              <w:ind w:right="19"/>
              <w:spacing w:after="0"/>
              <w:rPr>
                <w:sz w:val="20"/>
                <w:szCs w:val="20"/>
                <w:color w:val="auto"/>
              </w:rPr>
            </w:pPr>
            <w:r>
              <w:rPr>
                <w:rFonts w:ascii="Arial" w:cs="Arial" w:eastAsia="Arial" w:hAnsi="Arial"/>
                <w:sz w:val="18"/>
                <w:szCs w:val="18"/>
                <w:color w:val="0000FF"/>
                <w:w w:val="88"/>
              </w:rPr>
              <w:t>07/12/2018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60" w:type="dxa"/>
            <w:vAlign w:val="bottom"/>
            <w:vMerge w:val="restart"/>
          </w:tcPr>
          <w:p>
            <w:pPr>
              <w:jc w:val="center"/>
              <w:ind w:left="90"/>
              <w:spacing w:after="0"/>
              <w:rPr>
                <w:sz w:val="20"/>
                <w:szCs w:val="20"/>
                <w:color w:val="auto"/>
              </w:rPr>
            </w:pPr>
            <w:r>
              <w:rPr>
                <w:rFonts w:ascii="Arial" w:cs="Arial" w:eastAsia="Arial" w:hAnsi="Arial"/>
                <w:sz w:val="18"/>
                <w:szCs w:val="18"/>
                <w:color w:val="0000FF"/>
                <w:w w:val="86"/>
              </w:rPr>
              <w:t>160,000</w:t>
            </w:r>
          </w:p>
        </w:tc>
        <w:tc>
          <w:tcPr>
            <w:tcW w:w="680" w:type="dxa"/>
            <w:vAlign w:val="bottom"/>
            <w:vMerge w:val="restart"/>
          </w:tcPr>
          <w:p>
            <w:pPr>
              <w:ind w:left="320"/>
              <w:spacing w:after="0"/>
              <w:rPr>
                <w:sz w:val="20"/>
                <w:szCs w:val="20"/>
                <w:color w:val="auto"/>
              </w:rPr>
            </w:pPr>
            <w:r>
              <w:rPr>
                <w:rFonts w:ascii="Arial" w:cs="Arial" w:eastAsia="Arial" w:hAnsi="Arial"/>
                <w:sz w:val="18"/>
                <w:szCs w:val="18"/>
                <w:color w:val="0000FF"/>
              </w:rPr>
              <w:t>D</w:t>
            </w:r>
          </w:p>
        </w:tc>
        <w:tc>
          <w:tcPr>
            <w:tcW w:w="620" w:type="dxa"/>
            <w:vAlign w:val="bottom"/>
            <w:gridSpan w:val="2"/>
            <w:vMerge w:val="restart"/>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10.6</w:t>
            </w:r>
          </w:p>
        </w:tc>
        <w:tc>
          <w:tcPr>
            <w:tcW w:w="1240" w:type="dxa"/>
            <w:vAlign w:val="bottom"/>
            <w:gridSpan w:val="2"/>
            <w:vMerge w:val="restart"/>
          </w:tcPr>
          <w:p>
            <w:pPr>
              <w:ind w:left="300"/>
              <w:spacing w:after="0"/>
              <w:rPr>
                <w:sz w:val="20"/>
                <w:szCs w:val="20"/>
                <w:color w:val="auto"/>
              </w:rPr>
            </w:pPr>
            <w:r>
              <w:rPr>
                <w:rFonts w:ascii="Arial" w:cs="Arial" w:eastAsia="Arial" w:hAnsi="Arial"/>
                <w:sz w:val="18"/>
                <w:szCs w:val="18"/>
                <w:color w:val="0000FF"/>
              </w:rPr>
              <w:t>552,293</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4"/>
            <w:vMerge w:val="continue"/>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6"/>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660" w:type="dxa"/>
            <w:vAlign w:val="bottom"/>
            <w:gridSpan w:val="14"/>
          </w:tcPr>
          <w:p>
            <w:pPr>
              <w:ind w:left="5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2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3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2"/>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5"/>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40" w:type="dxa"/>
            <w:vAlign w:val="bottom"/>
            <w:gridSpan w:val="7"/>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Hudson Bay Capital Management LP</w:t>
              </w:r>
            </w:hyperlink>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4"/>
          </w:tcPr>
          <w:p>
            <w:pPr>
              <w:spacing w:after="0"/>
              <w:rPr>
                <w:sz w:val="20"/>
                <w:szCs w:val="20"/>
                <w:color w:val="auto"/>
              </w:rPr>
            </w:pPr>
            <w:r>
              <w:rPr>
                <w:rFonts w:ascii="Arial" w:cs="Arial" w:eastAsia="Arial" w:hAnsi="Arial"/>
                <w:sz w:val="18"/>
                <w:szCs w:val="18"/>
                <w:color w:val="0000FF"/>
              </w:rPr>
              <w:t>777 THIRD AVE., 30TH FLOOR</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600" w:type="dxa"/>
            <w:vAlign w:val="bottom"/>
          </w:tcPr>
          <w:p>
            <w:pPr>
              <w:ind w:left="300"/>
              <w:spacing w:after="0"/>
              <w:rPr>
                <w:sz w:val="20"/>
                <w:szCs w:val="20"/>
                <w:color w:val="auto"/>
              </w:rPr>
            </w:pPr>
            <w:r>
              <w:rPr>
                <w:rFonts w:ascii="Arial" w:cs="Arial" w:eastAsia="Arial" w:hAnsi="Arial"/>
                <w:sz w:val="14"/>
                <w:szCs w:val="14"/>
                <w:color w:val="auto"/>
                <w:w w:val="97"/>
              </w:rPr>
              <w:t>(Zip)</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13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5"/>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3"/>
          </w:tcPr>
          <w:p>
            <w:pPr>
              <w:spacing w:after="0" w:line="224" w:lineRule="exact"/>
              <w:rPr>
                <w:rFonts w:ascii="Arial" w:cs="Arial" w:eastAsia="Arial" w:hAnsi="Arial"/>
                <w:sz w:val="22"/>
                <w:szCs w:val="22"/>
                <w:color w:val="0000EE"/>
                <w:w w:val="97"/>
              </w:rPr>
            </w:pPr>
            <w:hyperlink r:id="rId14">
              <w:r>
                <w:rPr>
                  <w:rFonts w:ascii="Arial" w:cs="Arial" w:eastAsia="Arial" w:hAnsi="Arial"/>
                  <w:sz w:val="22"/>
                  <w:szCs w:val="22"/>
                  <w:color w:val="0000EE"/>
                  <w:w w:val="97"/>
                </w:rPr>
                <w:t>Gerber Sander</w:t>
              </w:r>
            </w:hyperlink>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112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8"/>
          </w:tcPr>
          <w:p>
            <w:pPr>
              <w:spacing w:after="0"/>
              <w:rPr>
                <w:sz w:val="20"/>
                <w:szCs w:val="20"/>
                <w:color w:val="auto"/>
              </w:rPr>
            </w:pPr>
            <w:r>
              <w:rPr>
                <w:rFonts w:ascii="Arial" w:cs="Arial" w:eastAsia="Arial" w:hAnsi="Arial"/>
                <w:sz w:val="18"/>
                <w:szCs w:val="18"/>
                <w:color w:val="0000FF"/>
              </w:rPr>
              <w:t>C/O HUDSON BAY CAPITAL MANAGEMENT, L.P.</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20" w:type="dxa"/>
            <w:vAlign w:val="bottom"/>
            <w:gridSpan w:val="5"/>
          </w:tcPr>
          <w:p>
            <w:pPr>
              <w:spacing w:after="0"/>
              <w:rPr>
                <w:sz w:val="20"/>
                <w:szCs w:val="20"/>
                <w:color w:val="auto"/>
              </w:rPr>
            </w:pPr>
            <w:r>
              <w:rPr>
                <w:rFonts w:ascii="Arial" w:cs="Arial" w:eastAsia="Arial" w:hAnsi="Arial"/>
                <w:sz w:val="18"/>
                <w:szCs w:val="18"/>
                <w:color w:val="0000FF"/>
              </w:rPr>
              <w:t>777 THIRD AVENUE, 30TH FLOOR</w:t>
            </w: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3"/>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1120" w:type="dxa"/>
            <w:vAlign w:val="bottom"/>
            <w:gridSpan w:val="3"/>
          </w:tcPr>
          <w:p>
            <w:pPr>
              <w:ind w:left="300"/>
              <w:spacing w:after="0"/>
              <w:rPr>
                <w:sz w:val="20"/>
                <w:szCs w:val="20"/>
                <w:color w:val="auto"/>
              </w:rPr>
            </w:pPr>
            <w:r>
              <w:rPr>
                <w:rFonts w:ascii="Arial" w:cs="Arial" w:eastAsia="Arial" w:hAnsi="Arial"/>
                <w:sz w:val="18"/>
                <w:szCs w:val="18"/>
                <w:color w:val="0000FF"/>
              </w:rPr>
              <w:t>10017</w:t>
            </w: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600" w:type="dxa"/>
            <w:vAlign w:val="bottom"/>
          </w:tcPr>
          <w:p>
            <w:pPr>
              <w:ind w:left="300"/>
              <w:spacing w:after="0"/>
              <w:rPr>
                <w:sz w:val="20"/>
                <w:szCs w:val="20"/>
                <w:color w:val="auto"/>
              </w:rPr>
            </w:pPr>
            <w:r>
              <w:rPr>
                <w:rFonts w:ascii="Arial" w:cs="Arial" w:eastAsia="Arial" w:hAnsi="Arial"/>
                <w:sz w:val="14"/>
                <w:szCs w:val="14"/>
                <w:color w:val="auto"/>
                <w:w w:val="97"/>
              </w:rPr>
              <w:t>(Zip)</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The securities are held by Hudson Bay Master Fund, Ltd. (the "Fund"). Hudson Bay Capital Management LP (the "Investment Manager") serves as the investment manager of the Fund. As such, the</w:t>
      </w:r>
    </w:p>
    <w:p>
      <w:pPr>
        <w:sectPr>
          <w:pgSz w:w="11900" w:h="16838" w:orient="portrait"/>
          <w:cols w:equalWidth="0" w:num="1">
            <w:col w:w="11420"/>
          </w:cols>
          <w:pgMar w:left="240" w:top="226" w:right="239" w:bottom="0" w:gutter="0" w:footer="0" w:header="0"/>
          <w:type w:val="continuous"/>
        </w:sectPr>
      </w:pPr>
    </w:p>
    <w:bookmarkStart w:id="1" w:name="page2"/>
    <w:bookmarkEnd w:id="1"/>
    <w:p>
      <w:pPr>
        <w:spacing w:after="0" w:line="233" w:lineRule="auto"/>
        <w:rPr>
          <w:sz w:val="20"/>
          <w:szCs w:val="20"/>
          <w:color w:val="auto"/>
        </w:rPr>
      </w:pPr>
      <w:r>
        <w:rPr>
          <w:rFonts w:ascii="Arial" w:cs="Arial" w:eastAsia="Arial" w:hAnsi="Arial"/>
          <w:sz w:val="14"/>
          <w:szCs w:val="14"/>
          <w:color w:val="008000"/>
        </w:rPr>
        <w:t>Investment Manager may be deemed to have beneficial ownership of the securities held by the Fund. As the managing member of the general partner of Hudson Bay Capital Management LP, Mr. Sander Gerber may be deemed to have beneficial ownership of the securities held by the Fund. Each Reporting Person disclaims beneficial ownership of the securities held by the Fund, except to the extent of its or his pecuniary interest therein.</w:t>
      </w:r>
    </w:p>
    <w:p>
      <w:pPr>
        <w:spacing w:after="0" w:line="60"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Hudson Bay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9042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90424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Management LP, By: /s/ Sander 07/13/2018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Gerber,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233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pacing w:after="0" w:line="14" w:lineRule="exact"/>
        <w:rPr>
          <w:sz w:val="20"/>
          <w:szCs w:val="20"/>
          <w:color w:val="auto"/>
        </w:rPr>
      </w:pPr>
    </w:p>
    <w:tbl>
      <w:tblPr>
        <w:tblLayout w:type="fixed"/>
        <w:tblInd w:w="68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Arial" w:cs="Arial" w:eastAsia="Arial" w:hAnsi="Arial"/>
                <w:sz w:val="18"/>
                <w:szCs w:val="18"/>
                <w:color w:val="0000FF"/>
                <w:w w:val="85"/>
              </w:rPr>
              <w:t>/s/ Sander Gerber</w:t>
            </w:r>
          </w:p>
        </w:tc>
        <w:tc>
          <w:tcPr>
            <w:tcW w:w="880" w:type="dxa"/>
            <w:vAlign w:val="bottom"/>
          </w:tcPr>
          <w:p>
            <w:pPr>
              <w:spacing w:after="0"/>
              <w:rPr>
                <w:sz w:val="17"/>
                <w:szCs w:val="17"/>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07/13/2018</w:t>
            </w:r>
          </w:p>
        </w:tc>
      </w:tr>
      <w:tr>
        <w:trPr>
          <w:trHeight w:val="20"/>
        </w:trPr>
        <w:tc>
          <w:tcPr>
            <w:tcW w:w="124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00"/>
      </w:cols>
      <w:pgMar w:left="280" w:top="1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2" Type="http://schemas.openxmlformats.org/officeDocument/2006/relationships/hyperlink" Target="http://www.sec.gov/cgi-bin/browse-edgar?action=getcompany&amp;CIK=0001393825" TargetMode="External"/><Relationship Id="rId13" Type="http://schemas.openxmlformats.org/officeDocument/2006/relationships/hyperlink" Target="http://www.sec.gov/cgi-bin/browse-edgar?action=getcompany&amp;CIK=0001653558" TargetMode="External"/><Relationship Id="rId14" Type="http://schemas.openxmlformats.org/officeDocument/2006/relationships/hyperlink" Target="http://www.sec.gov/cgi-bin/browse-edgar?action=getcompany&amp;CIK=00014165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2020-01-13T15:19:22Z</dcterms:created>
  <dcterms:modified xsi:type="dcterms:W3CDTF">2020-01-13T15:19:22Z</dcterms:modified>
</cp:coreProperties>
</file>