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FORM 10-Q</w:t>
      </w:r>
    </w:p>
    <w:p>
      <w:pPr>
        <w:spacing w:after="0" w:line="238" w:lineRule="exact"/>
        <w:rPr>
          <w:sz w:val="24"/>
          <w:szCs w:val="24"/>
          <w:color w:val="auto"/>
        </w:rPr>
      </w:pPr>
    </w:p>
    <w:p>
      <w:pPr>
        <w:jc w:val="center"/>
        <w:ind w:left="3960" w:right="1420" w:hanging="2468"/>
        <w:spacing w:after="0" w:line="292" w:lineRule="auto"/>
        <w:tabs>
          <w:tab w:leader="none" w:pos="1698"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September 30, 2019</w:t>
      </w:r>
    </w:p>
    <w:p>
      <w:pPr>
        <w:spacing w:after="0" w:line="12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6" w:lineRule="exact"/>
        <w:rPr>
          <w:sz w:val="24"/>
          <w:szCs w:val="24"/>
          <w:color w:val="auto"/>
        </w:rPr>
      </w:pPr>
    </w:p>
    <w:p>
      <w:pPr>
        <w:ind w:left="1680" w:hanging="185"/>
        <w:spacing w:after="0"/>
        <w:tabs>
          <w:tab w:leader="none" w:pos="16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 w:lineRule="exact"/>
        <w:rPr>
          <w:sz w:val="24"/>
          <w:szCs w:val="24"/>
          <w:color w:val="auto"/>
        </w:rPr>
      </w:pPr>
    </w:p>
    <w:p>
      <w:pPr>
        <w:ind w:left="4180"/>
        <w:spacing w:after="0"/>
        <w:tabs>
          <w:tab w:leader="none" w:pos="70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001-37872</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Priority Technology Holdings, Inc.</w:t>
      </w:r>
    </w:p>
    <w:p>
      <w:pPr>
        <w:spacing w:after="0" w:line="7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tcPr>
          <w:p>
            <w:pPr>
              <w:jc w:val="right"/>
              <w:ind w:right="1393"/>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4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17"/>
        </w:trPr>
        <w:tc>
          <w:tcPr>
            <w:tcW w:w="4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82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681"/>
        </w:trPr>
        <w:tc>
          <w:tcPr>
            <w:tcW w:w="8680" w:type="dxa"/>
            <w:vAlign w:val="bottom"/>
            <w:gridSpan w:val="3"/>
          </w:tcPr>
          <w:p>
            <w:pPr>
              <w:jc w:val="right"/>
              <w:ind w:right="3373"/>
              <w:spacing w:after="0"/>
              <w:rPr>
                <w:sz w:val="20"/>
                <w:szCs w:val="20"/>
                <w:color w:val="auto"/>
              </w:rPr>
            </w:pPr>
            <w:r>
              <w:rPr>
                <w:rFonts w:ascii="Arial" w:cs="Arial" w:eastAsia="Arial" w:hAnsi="Arial"/>
                <w:sz w:val="18"/>
                <w:szCs w:val="18"/>
                <w:b w:val="1"/>
                <w:bCs w:val="1"/>
                <w:color w:val="auto"/>
              </w:rPr>
              <w:t>2001 Westside Parkway</w:t>
            </w:r>
          </w:p>
        </w:tc>
      </w:tr>
      <w:tr>
        <w:trPr>
          <w:trHeight w:val="270"/>
        </w:trPr>
        <w:tc>
          <w:tcPr>
            <w:tcW w:w="4860" w:type="dxa"/>
            <w:vAlign w:val="bottom"/>
            <w:gridSpan w:val="2"/>
          </w:tcPr>
          <w:p>
            <w:pPr>
              <w:ind w:left="4060"/>
              <w:spacing w:after="0"/>
              <w:rPr>
                <w:sz w:val="20"/>
                <w:szCs w:val="20"/>
                <w:color w:val="auto"/>
              </w:rPr>
            </w:pPr>
            <w:r>
              <w:rPr>
                <w:rFonts w:ascii="Arial" w:cs="Arial" w:eastAsia="Arial" w:hAnsi="Arial"/>
                <w:sz w:val="18"/>
                <w:szCs w:val="18"/>
                <w:b w:val="1"/>
                <w:bCs w:val="1"/>
                <w:color w:val="auto"/>
                <w:w w:val="98"/>
              </w:rPr>
              <w:t>Suite 155</w:t>
            </w:r>
          </w:p>
        </w:tc>
        <w:tc>
          <w:tcPr>
            <w:tcW w:w="3820" w:type="dxa"/>
            <w:vAlign w:val="bottom"/>
          </w:tcPr>
          <w:p>
            <w:pPr>
              <w:spacing w:after="0"/>
              <w:rPr>
                <w:sz w:val="23"/>
                <w:szCs w:val="23"/>
                <w:color w:val="auto"/>
              </w:rPr>
            </w:pPr>
          </w:p>
        </w:tc>
      </w:tr>
      <w:tr>
        <w:trPr>
          <w:trHeight w:val="270"/>
        </w:trPr>
        <w:tc>
          <w:tcPr>
            <w:tcW w:w="4860" w:type="dxa"/>
            <w:vAlign w:val="bottom"/>
            <w:gridSpan w:val="2"/>
          </w:tcPr>
          <w:p>
            <w:pPr>
              <w:ind w:left="3080"/>
              <w:spacing w:after="0"/>
              <w:rPr>
                <w:sz w:val="20"/>
                <w:szCs w:val="20"/>
                <w:color w:val="auto"/>
              </w:rPr>
            </w:pPr>
            <w:r>
              <w:rPr>
                <w:rFonts w:ascii="Arial" w:cs="Arial" w:eastAsia="Arial" w:hAnsi="Arial"/>
                <w:sz w:val="18"/>
                <w:szCs w:val="18"/>
                <w:b w:val="1"/>
                <w:bCs w:val="1"/>
                <w:color w:val="auto"/>
              </w:rPr>
              <w:t>Alpharetta, GA</w:t>
            </w:r>
          </w:p>
        </w:tc>
        <w:tc>
          <w:tcPr>
            <w:tcW w:w="3820" w:type="dxa"/>
            <w:vAlign w:val="bottom"/>
          </w:tcPr>
          <w:p>
            <w:pPr>
              <w:jc w:val="right"/>
              <w:ind w:right="3253"/>
              <w:spacing w:after="0"/>
              <w:rPr>
                <w:sz w:val="20"/>
                <w:szCs w:val="20"/>
                <w:color w:val="auto"/>
              </w:rPr>
            </w:pPr>
            <w:r>
              <w:rPr>
                <w:rFonts w:ascii="Arial" w:cs="Arial" w:eastAsia="Arial" w:hAnsi="Arial"/>
                <w:sz w:val="18"/>
                <w:szCs w:val="18"/>
                <w:b w:val="1"/>
                <w:bCs w:val="1"/>
                <w:color w:val="auto"/>
                <w:w w:val="91"/>
              </w:rPr>
              <w:t>30004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880110</wp:posOffset>
            </wp:positionH>
            <wp:positionV relativeFrom="paragraph">
              <wp:posOffset>17145</wp:posOffset>
            </wp:positionV>
            <wp:extent cx="55054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(Address of principal executive offices, including zip code)</w:t>
      </w:r>
    </w:p>
    <w:p>
      <w:pPr>
        <w:spacing w:after="0" w:line="352" w:lineRule="exact"/>
        <w:rPr>
          <w:sz w:val="24"/>
          <w:szCs w:val="24"/>
          <w:color w:val="auto"/>
        </w:rPr>
      </w:pPr>
    </w:p>
    <w:p>
      <w:pPr>
        <w:ind w:left="6260" w:hanging="1478"/>
        <w:spacing w:after="0"/>
        <w:tabs>
          <w:tab w:leader="none" w:pos="6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935-5964</w:t>
      </w:r>
    </w:p>
    <w:p>
      <w:pPr>
        <w:spacing w:after="0" w:line="81" w:lineRule="exact"/>
        <w:rPr>
          <w:rFonts w:ascii="Arial" w:cs="Arial" w:eastAsia="Arial" w:hAnsi="Arial"/>
          <w:sz w:val="18"/>
          <w:szCs w:val="18"/>
          <w:b w:val="1"/>
          <w:bCs w:val="1"/>
          <w:color w:val="auto"/>
        </w:rPr>
      </w:pPr>
    </w:p>
    <w:p>
      <w:pPr>
        <w:ind w:left="402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(Registrant's 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880110</wp:posOffset>
            </wp:positionH>
            <wp:positionV relativeFrom="paragraph">
              <wp:posOffset>-133350</wp:posOffset>
            </wp:positionV>
            <wp:extent cx="5505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32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880110</wp:posOffset>
            </wp:positionH>
            <wp:positionV relativeFrom="paragraph">
              <wp:posOffset>31750</wp:posOffset>
            </wp:positionV>
            <wp:extent cx="55054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5450" cy="8890"/>
                    </a:xfrm>
                    <a:prstGeom prst="rect">
                      <a:avLst/>
                    </a:prstGeom>
                    <a:noFill/>
                  </pic:spPr>
                </pic:pic>
              </a:graphicData>
            </a:graphic>
          </wp:anchor>
        </w:drawing>
      </w:r>
    </w:p>
    <w:p>
      <w:pPr>
        <w:spacing w:after="0" w:line="5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910" w:type="dxa"/>
        <w:tblCellMar>
          <w:top w:w="0" w:type="dxa"/>
          <w:left w:w="0" w:type="dxa"/>
          <w:bottom w:w="0" w:type="dxa"/>
          <w:right w:w="0" w:type="dxa"/>
        </w:tblCellMar>
      </w:tblPr>
      <w:tr>
        <w:trPr>
          <w:trHeight w:val="257"/>
        </w:trPr>
        <w:tc>
          <w:tcPr>
            <w:tcW w:w="33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Borders>
              <w:top w:val="single" w:sz="8" w:color="auto"/>
              <w:right w:val="single" w:sz="8" w:color="auto"/>
            </w:tcBorders>
          </w:tcPr>
          <w:p>
            <w:pPr>
              <w:spacing w:after="0"/>
              <w:rPr>
                <w:sz w:val="22"/>
                <w:szCs w:val="22"/>
                <w:color w:val="auto"/>
              </w:rPr>
            </w:pPr>
          </w:p>
        </w:tc>
        <w:tc>
          <w:tcPr>
            <w:tcW w:w="23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120" w:type="dxa"/>
            <w:vAlign w:val="bottom"/>
            <w:tcBorders>
              <w:top w:val="single" w:sz="8" w:color="auto"/>
              <w:right w:val="single" w:sz="8" w:color="auto"/>
            </w:tcBorders>
          </w:tcPr>
          <w:p>
            <w:pPr>
              <w:spacing w:after="0"/>
              <w:rPr>
                <w:sz w:val="22"/>
                <w:szCs w:val="22"/>
                <w:color w:val="auto"/>
              </w:rPr>
            </w:pP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33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120" w:type="dxa"/>
            <w:vAlign w:val="bottom"/>
            <w:tcBorders>
              <w:right w:val="single" w:sz="8" w:color="auto"/>
            </w:tcBorders>
          </w:tcPr>
          <w:p>
            <w:pPr>
              <w:spacing w:after="0"/>
              <w:rPr>
                <w:sz w:val="20"/>
                <w:szCs w:val="20"/>
                <w:color w:val="auto"/>
              </w:rPr>
            </w:pP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PRTH</w:t>
            </w:r>
          </w:p>
        </w:tc>
        <w:tc>
          <w:tcPr>
            <w:tcW w:w="12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r>
        <w:trPr>
          <w:trHeight w:val="27"/>
        </w:trPr>
        <w:tc>
          <w:tcPr>
            <w:tcW w:w="3360" w:type="dxa"/>
            <w:vAlign w:val="bottom"/>
            <w:tcBorders>
              <w:left w:val="single" w:sz="8" w:color="auto"/>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156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200" w:type="dxa"/>
            <w:vAlign w:val="bottom"/>
          </w:tcPr>
          <w:p>
            <w:pPr>
              <w:ind w:left="1060"/>
              <w:spacing w:after="0"/>
              <w:rPr>
                <w:sz w:val="20"/>
                <w:szCs w:val="20"/>
                <w:color w:val="auto"/>
              </w:rPr>
            </w:pPr>
            <w:r>
              <w:rPr>
                <w:rFonts w:ascii="Arial" w:cs="Arial" w:eastAsia="Arial" w:hAnsi="Arial"/>
                <w:sz w:val="18"/>
                <w:szCs w:val="18"/>
                <w:color w:val="auto"/>
                <w:w w:val="98"/>
              </w:rPr>
              <w:t>Smaller reporting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Arial" w:cs="Arial" w:eastAsia="Arial" w:hAnsi="Arial"/>
                <w:sz w:val="18"/>
                <w:szCs w:val="18"/>
                <w:color w:val="auto"/>
                <w:w w:val="97"/>
              </w:rPr>
              <w:t>Emerging growth company</w:t>
            </w:r>
          </w:p>
        </w:tc>
        <w:tc>
          <w:tcPr>
            <w:tcW w:w="3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ectPr>
          <w:pgSz w:w="11900" w:h="16838" w:orient="portrait"/>
          <w:cols w:equalWidth="0" w:num="1">
            <w:col w:w="11360"/>
          </w:cols>
          <w:pgMar w:left="240" w:top="364" w:right="299" w:bottom="1440" w:gutter="0" w:footer="0" w:header="0"/>
        </w:sect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8, 2019, 67,007,172 shares of common stock, par value $0.001 per share, were outstanding.</w:t>
      </w:r>
    </w:p>
    <w:p>
      <w:pPr>
        <w:sectPr>
          <w:pgSz w:w="11900" w:h="16838" w:orient="portrait"/>
          <w:cols w:equalWidth="0" w:num="1">
            <w:col w:w="11360"/>
          </w:cols>
          <w:pgMar w:left="240" w:top="364"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80" w:type="dxa"/>
            <w:vAlign w:val="bottom"/>
            <w:gridSpan w:val="8"/>
          </w:tcPr>
          <w:p>
            <w:pPr>
              <w:ind w:left="240"/>
              <w:spacing w:after="0"/>
              <w:rPr>
                <w:sz w:val="20"/>
                <w:szCs w:val="20"/>
                <w:color w:val="auto"/>
              </w:rPr>
            </w:pPr>
            <w:r>
              <w:rPr>
                <w:rFonts w:ascii="Arial" w:cs="Arial" w:eastAsia="Arial" w:hAnsi="Arial"/>
                <w:sz w:val="18"/>
                <w:szCs w:val="18"/>
                <w:b w:val="1"/>
                <w:bCs w:val="1"/>
                <w:color w:val="auto"/>
              </w:rPr>
              <w:t>Priority Technology Holdings, Inc.</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380" w:type="dxa"/>
            <w:vAlign w:val="bottom"/>
            <w:gridSpan w:val="8"/>
          </w:tcPr>
          <w:p>
            <w:pPr>
              <w:jc w:val="center"/>
              <w:ind w:right="3360"/>
              <w:spacing w:after="0"/>
              <w:rPr>
                <w:sz w:val="20"/>
                <w:szCs w:val="20"/>
                <w:color w:val="auto"/>
              </w:rPr>
            </w:pPr>
            <w:r>
              <w:rPr>
                <w:rFonts w:ascii="Arial" w:cs="Arial" w:eastAsia="Arial" w:hAnsi="Arial"/>
                <w:sz w:val="18"/>
                <w:szCs w:val="18"/>
                <w:b w:val="1"/>
                <w:bCs w:val="1"/>
                <w:color w:val="auto"/>
                <w:w w:val="94"/>
              </w:rPr>
              <w:t>Quarterly Report on Form 10-Q</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80" w:type="dxa"/>
            <w:vAlign w:val="bottom"/>
            <w:gridSpan w:val="8"/>
          </w:tcPr>
          <w:p>
            <w:pPr>
              <w:jc w:val="center"/>
              <w:ind w:right="3360"/>
              <w:spacing w:after="0"/>
              <w:rPr>
                <w:sz w:val="20"/>
                <w:szCs w:val="20"/>
                <w:color w:val="auto"/>
              </w:rPr>
            </w:pPr>
            <w:r>
              <w:rPr>
                <w:rFonts w:ascii="Arial" w:cs="Arial" w:eastAsia="Arial" w:hAnsi="Arial"/>
                <w:sz w:val="18"/>
                <w:szCs w:val="18"/>
                <w:b w:val="1"/>
                <w:bCs w:val="1"/>
                <w:color w:val="auto"/>
                <w:w w:val="89"/>
              </w:rPr>
              <w:t>September 30, 2019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554"/>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3"/>
              </w:rPr>
              <w:t>Page</w:t>
            </w:r>
          </w:p>
        </w:tc>
      </w:tr>
      <w:tr>
        <w:trPr>
          <w:trHeight w:val="520"/>
        </w:trPr>
        <w:tc>
          <w:tcPr>
            <w:tcW w:w="500" w:type="dxa"/>
            <w:vAlign w:val="bottom"/>
            <w:tcBorders>
              <w:bottom w:val="single" w:sz="8" w:color="0000EE"/>
            </w:tcBorders>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w:t>
              </w:r>
            </w:hyperlink>
          </w:p>
        </w:tc>
        <w:tc>
          <w:tcPr>
            <w:tcW w:w="300" w:type="dxa"/>
            <w:vAlign w:val="bottom"/>
            <w:gridSpan w:val="2"/>
          </w:tcPr>
          <w:p>
            <w:pPr>
              <w:spacing w:after="0"/>
              <w:rPr>
                <w:sz w:val="24"/>
                <w:szCs w:val="24"/>
                <w:color w:val="auto"/>
              </w:rPr>
            </w:pPr>
          </w:p>
        </w:tc>
        <w:tc>
          <w:tcPr>
            <w:tcW w:w="164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Financial Information</w:t>
              </w:r>
            </w:hyperlink>
          </w:p>
        </w:tc>
        <w:tc>
          <w:tcPr>
            <w:tcW w:w="8100" w:type="dxa"/>
            <w:vAlign w:val="bottom"/>
            <w:gridSpan w:val="15"/>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140" w:type="dxa"/>
            <w:vAlign w:val="bottom"/>
          </w:tcPr>
          <w:p>
            <w:pPr>
              <w:spacing w:after="0"/>
              <w:rPr>
                <w:sz w:val="24"/>
                <w:szCs w:val="24"/>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20" w:type="dxa"/>
            <w:vAlign w:val="bottom"/>
            <w:gridSpan w:val="2"/>
          </w:tcPr>
          <w:p>
            <w:pPr>
              <w:spacing w:after="0"/>
              <w:rPr>
                <w:sz w:val="21"/>
                <w:szCs w:val="21"/>
                <w:color w:val="auto"/>
              </w:rPr>
            </w:pP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200" w:type="dxa"/>
            <w:vAlign w:val="bottom"/>
            <w:gridSpan w:val="11"/>
          </w:tcPr>
          <w:p>
            <w:pPr>
              <w:spacing w:after="0"/>
              <w:rPr>
                <w:sz w:val="21"/>
                <w:szCs w:val="21"/>
                <w:color w:val="auto"/>
              </w:rPr>
            </w:pPr>
          </w:p>
        </w:tc>
        <w:tc>
          <w:tcPr>
            <w:tcW w:w="34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14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September 30, 2019 and December 31, 2018</w:t>
              </w:r>
            </w:hyperlink>
          </w:p>
        </w:tc>
        <w:tc>
          <w:tcPr>
            <w:tcW w:w="440" w:type="dxa"/>
            <w:vAlign w:val="bottom"/>
            <w:gridSpan w:val="3"/>
          </w:tcPr>
          <w:p>
            <w:pPr>
              <w:jc w:val="center"/>
              <w:ind w:left="25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5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Operations for the Quarters and Nine Months Ended September 30,</w:t>
              </w:r>
            </w:hyperlink>
          </w:p>
        </w:tc>
        <w:tc>
          <w:tcPr>
            <w:tcW w:w="180" w:type="dxa"/>
            <w:vAlign w:val="bottom"/>
          </w:tcPr>
          <w:p>
            <w:pPr>
              <w:spacing w:after="0"/>
              <w:rPr>
                <w:sz w:val="21"/>
                <w:szCs w:val="21"/>
                <w:color w:val="auto"/>
              </w:rPr>
            </w:pPr>
          </w:p>
        </w:tc>
        <w:tc>
          <w:tcPr>
            <w:tcW w:w="34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14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00" w:type="dxa"/>
            <w:vAlign w:val="bottom"/>
            <w:gridSpan w:val="1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2019 and September 30, 2018</w:t>
              </w:r>
            </w:hyperlink>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3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Cash Flows for the Nine Months Ended September 30, 2019 and</w:t>
              </w:r>
            </w:hyperlink>
          </w:p>
        </w:tc>
        <w:tc>
          <w:tcPr>
            <w:tcW w:w="380" w:type="dxa"/>
            <w:vAlign w:val="bottom"/>
            <w:gridSpan w:val="2"/>
          </w:tcPr>
          <w:p>
            <w:pPr>
              <w:spacing w:after="0"/>
              <w:rPr>
                <w:sz w:val="21"/>
                <w:szCs w:val="21"/>
                <w:color w:val="auto"/>
              </w:rPr>
            </w:pPr>
          </w:p>
        </w:tc>
        <w:tc>
          <w:tcPr>
            <w:tcW w:w="340" w:type="dxa"/>
            <w:vAlign w:val="bottom"/>
            <w:gridSpan w:val="2"/>
          </w:tcPr>
          <w:p>
            <w:pPr>
              <w:spacing w:after="0"/>
              <w:rPr>
                <w:sz w:val="21"/>
                <w:szCs w:val="21"/>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14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September 30, 2018</w:t>
              </w:r>
            </w:hyperlink>
          </w:p>
        </w:tc>
        <w:tc>
          <w:tcPr>
            <w:tcW w:w="7260" w:type="dxa"/>
            <w:vAlign w:val="bottom"/>
            <w:gridSpan w:val="12"/>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440" w:type="dxa"/>
            <w:vAlign w:val="bottom"/>
            <w:gridSpan w:val="3"/>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2.</w:t>
              </w:r>
            </w:hyperlink>
          </w:p>
        </w:tc>
        <w:tc>
          <w:tcPr>
            <w:tcW w:w="520" w:type="dxa"/>
            <w:vAlign w:val="bottom"/>
            <w:gridSpan w:val="2"/>
          </w:tcPr>
          <w:p>
            <w:pPr>
              <w:spacing w:after="0"/>
              <w:rPr>
                <w:sz w:val="21"/>
                <w:szCs w:val="21"/>
                <w:color w:val="auto"/>
              </w:rPr>
            </w:pPr>
          </w:p>
        </w:tc>
        <w:tc>
          <w:tcPr>
            <w:tcW w:w="6440" w:type="dxa"/>
            <w:vAlign w:val="bottom"/>
            <w:gridSpan w:val="13"/>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Management's Discussion and Analysis of Financial Condition and Results of Operations</w:t>
              </w:r>
            </w:hyperlink>
          </w:p>
        </w:tc>
        <w:tc>
          <w:tcPr>
            <w:tcW w:w="2260" w:type="dxa"/>
            <w:vAlign w:val="bottom"/>
            <w:gridSpan w:val="4"/>
          </w:tcPr>
          <w:p>
            <w:pPr>
              <w:spacing w:after="0"/>
              <w:rPr>
                <w:sz w:val="21"/>
                <w:szCs w:val="21"/>
                <w:color w:val="auto"/>
              </w:rPr>
            </w:pPr>
          </w:p>
        </w:tc>
        <w:tc>
          <w:tcPr>
            <w:tcW w:w="440" w:type="dxa"/>
            <w:vAlign w:val="bottom"/>
            <w:gridSpan w:val="3"/>
          </w:tcPr>
          <w:p>
            <w:pPr>
              <w:jc w:val="center"/>
              <w:ind w:left="170"/>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Item 3.</w:t>
              </w:r>
            </w:hyperlink>
          </w:p>
        </w:tc>
        <w:tc>
          <w:tcPr>
            <w:tcW w:w="520" w:type="dxa"/>
            <w:vAlign w:val="bottom"/>
            <w:gridSpan w:val="2"/>
          </w:tcPr>
          <w:p>
            <w:pPr>
              <w:spacing w:after="0"/>
              <w:rPr>
                <w:sz w:val="21"/>
                <w:szCs w:val="21"/>
                <w:color w:val="auto"/>
              </w:rPr>
            </w:pPr>
          </w:p>
        </w:tc>
        <w:tc>
          <w:tcPr>
            <w:tcW w:w="6440" w:type="dxa"/>
            <w:vAlign w:val="bottom"/>
            <w:gridSpan w:val="1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2260" w:type="dxa"/>
            <w:vAlign w:val="bottom"/>
            <w:gridSpan w:val="4"/>
          </w:tcPr>
          <w:p>
            <w:pPr>
              <w:spacing w:after="0"/>
              <w:rPr>
                <w:sz w:val="21"/>
                <w:szCs w:val="21"/>
                <w:color w:val="auto"/>
              </w:rPr>
            </w:pPr>
          </w:p>
        </w:tc>
        <w:tc>
          <w:tcPr>
            <w:tcW w:w="440" w:type="dxa"/>
            <w:vAlign w:val="bottom"/>
            <w:gridSpan w:val="3"/>
          </w:tcPr>
          <w:p>
            <w:pPr>
              <w:jc w:val="center"/>
              <w:ind w:left="17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44</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Item 4.</w:t>
              </w:r>
            </w:hyperlink>
          </w:p>
        </w:tc>
        <w:tc>
          <w:tcPr>
            <w:tcW w:w="520" w:type="dxa"/>
            <w:vAlign w:val="bottom"/>
            <w:gridSpan w:val="2"/>
          </w:tcPr>
          <w:p>
            <w:pPr>
              <w:spacing w:after="0"/>
              <w:rPr>
                <w:sz w:val="21"/>
                <w:szCs w:val="21"/>
                <w:color w:val="auto"/>
              </w:rPr>
            </w:pPr>
          </w:p>
        </w:tc>
        <w:tc>
          <w:tcPr>
            <w:tcW w:w="4300" w:type="dxa"/>
            <w:vAlign w:val="bottom"/>
            <w:gridSpan w:val="10"/>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4400" w:type="dxa"/>
            <w:vAlign w:val="bottom"/>
            <w:gridSpan w:val="7"/>
          </w:tcPr>
          <w:p>
            <w:pPr>
              <w:spacing w:after="0"/>
              <w:rPr>
                <w:sz w:val="21"/>
                <w:szCs w:val="21"/>
                <w:color w:val="auto"/>
              </w:rPr>
            </w:pPr>
          </w:p>
        </w:tc>
        <w:tc>
          <w:tcPr>
            <w:tcW w:w="440" w:type="dxa"/>
            <w:vAlign w:val="bottom"/>
            <w:gridSpan w:val="3"/>
          </w:tcPr>
          <w:p>
            <w:pPr>
              <w:jc w:val="center"/>
              <w:ind w:left="17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47"/>
        </w:trPr>
        <w:tc>
          <w:tcPr>
            <w:tcW w:w="500" w:type="dxa"/>
            <w:vAlign w:val="bottom"/>
          </w:tcPr>
          <w:p>
            <w:pPr>
              <w:spacing w:after="0"/>
              <w:rPr>
                <w:rFonts w:ascii="Arial" w:cs="Arial" w:eastAsia="Arial" w:hAnsi="Arial"/>
                <w:sz w:val="18"/>
                <w:szCs w:val="18"/>
                <w:color w:val="0000EE"/>
                <w:w w:val="86"/>
              </w:rPr>
            </w:pPr>
            <w:hyperlink w:anchor="page48">
              <w:r>
                <w:rPr>
                  <w:rFonts w:ascii="Arial" w:cs="Arial" w:eastAsia="Arial" w:hAnsi="Arial"/>
                  <w:sz w:val="18"/>
                  <w:szCs w:val="18"/>
                  <w:color w:val="0000EE"/>
                  <w:w w:val="86"/>
                </w:rPr>
                <w:t>Part II.</w:t>
              </w:r>
            </w:hyperlink>
          </w:p>
        </w:tc>
        <w:tc>
          <w:tcPr>
            <w:tcW w:w="300" w:type="dxa"/>
            <w:vAlign w:val="bottom"/>
            <w:gridSpan w:val="2"/>
          </w:tcPr>
          <w:p>
            <w:pPr>
              <w:spacing w:after="0"/>
              <w:rPr>
                <w:sz w:val="24"/>
                <w:szCs w:val="24"/>
                <w:color w:val="auto"/>
              </w:rPr>
            </w:pPr>
          </w:p>
        </w:tc>
        <w:tc>
          <w:tcPr>
            <w:tcW w:w="1320" w:type="dxa"/>
            <w:vAlign w:val="bottom"/>
            <w:gridSpan w:val="4"/>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Other Information</w:t>
              </w:r>
            </w:hyperlink>
          </w:p>
        </w:tc>
        <w:tc>
          <w:tcPr>
            <w:tcW w:w="8420" w:type="dxa"/>
            <w:vAlign w:val="bottom"/>
            <w:gridSpan w:val="16"/>
          </w:tcPr>
          <w:p>
            <w:pPr>
              <w:spacing w:after="0"/>
              <w:rPr>
                <w:sz w:val="24"/>
                <w:szCs w:val="24"/>
                <w:color w:val="auto"/>
              </w:rPr>
            </w:pPr>
          </w:p>
        </w:tc>
        <w:tc>
          <w:tcPr>
            <w:tcW w:w="440" w:type="dxa"/>
            <w:vAlign w:val="bottom"/>
            <w:gridSpan w:val="3"/>
          </w:tcPr>
          <w:p>
            <w:pPr>
              <w:jc w:val="center"/>
              <w:ind w:left="1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140" w:type="dxa"/>
            <w:vAlign w:val="bottom"/>
          </w:tcPr>
          <w:p>
            <w:pPr>
              <w:spacing w:after="0"/>
              <w:rPr>
                <w:sz w:val="24"/>
                <w:szCs w:val="24"/>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1.</w:t>
              </w:r>
            </w:hyperlink>
          </w:p>
        </w:tc>
        <w:tc>
          <w:tcPr>
            <w:tcW w:w="520" w:type="dxa"/>
            <w:vAlign w:val="bottom"/>
            <w:gridSpan w:val="2"/>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440" w:type="dxa"/>
            <w:vAlign w:val="bottom"/>
            <w:gridSpan w:val="3"/>
          </w:tcPr>
          <w:p>
            <w:pPr>
              <w:jc w:val="center"/>
              <w:ind w:left="1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1A.</w:t>
              </w:r>
            </w:hyperlink>
          </w:p>
        </w:tc>
        <w:tc>
          <w:tcPr>
            <w:tcW w:w="870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Risk Factors</w:t>
              </w:r>
            </w:hyperlink>
          </w:p>
        </w:tc>
        <w:tc>
          <w:tcPr>
            <w:tcW w:w="440" w:type="dxa"/>
            <w:vAlign w:val="bottom"/>
            <w:gridSpan w:val="3"/>
          </w:tcPr>
          <w:p>
            <w:pPr>
              <w:jc w:val="center"/>
              <w:ind w:left="1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70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440" w:type="dxa"/>
            <w:vAlign w:val="bottom"/>
            <w:gridSpan w:val="3"/>
          </w:tcPr>
          <w:p>
            <w:pPr>
              <w:jc w:val="center"/>
              <w:ind w:left="1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360" w:type="dxa"/>
            <w:vAlign w:val="bottom"/>
            <w:gridSpan w:val="6"/>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520" w:type="dxa"/>
            <w:vAlign w:val="bottom"/>
            <w:gridSpan w:val="2"/>
          </w:tcPr>
          <w:p>
            <w:pPr>
              <w:spacing w:after="0"/>
              <w:rPr>
                <w:sz w:val="21"/>
                <w:szCs w:val="21"/>
                <w:color w:val="auto"/>
              </w:rPr>
            </w:pPr>
          </w:p>
        </w:tc>
        <w:tc>
          <w:tcPr>
            <w:tcW w:w="2320" w:type="dxa"/>
            <w:vAlign w:val="bottom"/>
            <w:gridSpan w:val="9"/>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Defaults Upon Senior Securities</w:t>
              </w:r>
            </w:hyperlink>
          </w:p>
        </w:tc>
        <w:tc>
          <w:tcPr>
            <w:tcW w:w="2020" w:type="dxa"/>
            <w:vAlign w:val="bottom"/>
            <w:gridSpan w:val="2"/>
          </w:tcPr>
          <w:p>
            <w:pPr>
              <w:spacing w:after="0"/>
              <w:rPr>
                <w:sz w:val="21"/>
                <w:szCs w:val="21"/>
                <w:color w:val="auto"/>
              </w:rPr>
            </w:pPr>
          </w:p>
        </w:tc>
        <w:tc>
          <w:tcPr>
            <w:tcW w:w="4360" w:type="dxa"/>
            <w:vAlign w:val="bottom"/>
            <w:gridSpan w:val="6"/>
          </w:tcPr>
          <w:p>
            <w:pPr>
              <w:spacing w:after="0"/>
              <w:rPr>
                <w:sz w:val="21"/>
                <w:szCs w:val="21"/>
                <w:color w:val="auto"/>
              </w:rPr>
            </w:pPr>
          </w:p>
        </w:tc>
        <w:tc>
          <w:tcPr>
            <w:tcW w:w="440" w:type="dxa"/>
            <w:vAlign w:val="bottom"/>
            <w:gridSpan w:val="3"/>
          </w:tcPr>
          <w:p>
            <w:pPr>
              <w:jc w:val="center"/>
              <w:ind w:left="1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5"/>
            <w:shd w:val="clear" w:color="auto" w:fill="0000EE"/>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520" w:type="dxa"/>
            <w:vAlign w:val="bottom"/>
            <w:gridSpan w:val="2"/>
          </w:tcPr>
          <w:p>
            <w:pPr>
              <w:spacing w:after="0"/>
              <w:rPr>
                <w:sz w:val="21"/>
                <w:szCs w:val="21"/>
                <w:color w:val="auto"/>
              </w:rPr>
            </w:pPr>
          </w:p>
        </w:tc>
        <w:tc>
          <w:tcPr>
            <w:tcW w:w="2320" w:type="dxa"/>
            <w:vAlign w:val="bottom"/>
            <w:gridSpan w:val="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Mine Safety Disclosures</w:t>
              </w:r>
            </w:hyperlink>
          </w:p>
        </w:tc>
        <w:tc>
          <w:tcPr>
            <w:tcW w:w="6380" w:type="dxa"/>
            <w:vAlign w:val="bottom"/>
            <w:gridSpan w:val="8"/>
          </w:tcPr>
          <w:p>
            <w:pPr>
              <w:spacing w:after="0"/>
              <w:rPr>
                <w:sz w:val="21"/>
                <w:szCs w:val="21"/>
                <w:color w:val="auto"/>
              </w:rPr>
            </w:pPr>
          </w:p>
        </w:tc>
        <w:tc>
          <w:tcPr>
            <w:tcW w:w="440" w:type="dxa"/>
            <w:vAlign w:val="bottom"/>
            <w:gridSpan w:val="3"/>
          </w:tcPr>
          <w:p>
            <w:pPr>
              <w:jc w:val="center"/>
              <w:ind w:left="1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6940" w:type="dxa"/>
            <w:vAlign w:val="bottom"/>
            <w:gridSpan w:val="10"/>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5.</w:t>
              </w:r>
            </w:hyperlink>
          </w:p>
        </w:tc>
        <w:tc>
          <w:tcPr>
            <w:tcW w:w="520" w:type="dxa"/>
            <w:vAlign w:val="bottom"/>
            <w:gridSpan w:val="2"/>
          </w:tcPr>
          <w:p>
            <w:pPr>
              <w:spacing w:after="0"/>
              <w:rPr>
                <w:sz w:val="21"/>
                <w:szCs w:val="21"/>
                <w:color w:val="auto"/>
              </w:rPr>
            </w:pPr>
          </w:p>
        </w:tc>
        <w:tc>
          <w:tcPr>
            <w:tcW w:w="176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6940" w:type="dxa"/>
            <w:vAlign w:val="bottom"/>
            <w:gridSpan w:val="10"/>
          </w:tcPr>
          <w:p>
            <w:pPr>
              <w:spacing w:after="0"/>
              <w:rPr>
                <w:sz w:val="21"/>
                <w:szCs w:val="21"/>
                <w:color w:val="auto"/>
              </w:rPr>
            </w:pPr>
          </w:p>
        </w:tc>
        <w:tc>
          <w:tcPr>
            <w:tcW w:w="440" w:type="dxa"/>
            <w:vAlign w:val="bottom"/>
            <w:gridSpan w:val="3"/>
          </w:tcPr>
          <w:p>
            <w:pPr>
              <w:jc w:val="center"/>
              <w:ind w:left="17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14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400" w:type="dxa"/>
            <w:vAlign w:val="bottom"/>
            <w:gridSpan w:val="13"/>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74"/>
        </w:trPr>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49">
              <w:r>
                <w:rPr>
                  <w:rFonts w:ascii="Arial" w:cs="Arial" w:eastAsia="Arial" w:hAnsi="Arial"/>
                  <w:sz w:val="18"/>
                  <w:szCs w:val="18"/>
                  <w:color w:val="0000EE"/>
                  <w:w w:val="90"/>
                </w:rPr>
                <w:t>Item 6.</w:t>
              </w:r>
            </w:hyperlink>
          </w:p>
        </w:tc>
        <w:tc>
          <w:tcPr>
            <w:tcW w:w="520" w:type="dxa"/>
            <w:vAlign w:val="bottom"/>
            <w:gridSpan w:val="2"/>
          </w:tcPr>
          <w:p>
            <w:pPr>
              <w:spacing w:after="0"/>
              <w:rPr>
                <w:sz w:val="24"/>
                <w:szCs w:val="24"/>
                <w:color w:val="auto"/>
              </w:rPr>
            </w:pPr>
          </w:p>
        </w:tc>
        <w:tc>
          <w:tcPr>
            <w:tcW w:w="600" w:type="dxa"/>
            <w:vAlign w:val="bottom"/>
            <w:gridSpan w:val="2"/>
          </w:tcPr>
          <w:p>
            <w:pPr>
              <w:spacing w:after="0"/>
              <w:rPr>
                <w:rFonts w:ascii="Arial" w:cs="Arial" w:eastAsia="Arial" w:hAnsi="Arial"/>
                <w:sz w:val="18"/>
                <w:szCs w:val="18"/>
                <w:color w:val="0000EE"/>
                <w:w w:val="88"/>
              </w:rPr>
            </w:pPr>
            <w:hyperlink w:anchor="page49">
              <w:r>
                <w:rPr>
                  <w:rFonts w:ascii="Arial" w:cs="Arial" w:eastAsia="Arial" w:hAnsi="Arial"/>
                  <w:sz w:val="18"/>
                  <w:szCs w:val="18"/>
                  <w:color w:val="0000EE"/>
                  <w:w w:val="88"/>
                </w:rPr>
                <w:t>Exhibits</w:t>
              </w:r>
            </w:hyperlink>
          </w:p>
        </w:tc>
        <w:tc>
          <w:tcPr>
            <w:tcW w:w="700" w:type="dxa"/>
            <w:vAlign w:val="bottom"/>
            <w:gridSpan w:val="2"/>
          </w:tcPr>
          <w:p>
            <w:pPr>
              <w:spacing w:after="0"/>
              <w:rPr>
                <w:sz w:val="24"/>
                <w:szCs w:val="24"/>
                <w:color w:val="auto"/>
              </w:rPr>
            </w:pPr>
          </w:p>
        </w:tc>
        <w:tc>
          <w:tcPr>
            <w:tcW w:w="7400" w:type="dxa"/>
            <w:vAlign w:val="bottom"/>
            <w:gridSpan w:val="13"/>
          </w:tcPr>
          <w:p>
            <w:pPr>
              <w:spacing w:after="0"/>
              <w:rPr>
                <w:sz w:val="24"/>
                <w:szCs w:val="24"/>
                <w:color w:val="auto"/>
              </w:rPr>
            </w:pPr>
          </w:p>
        </w:tc>
        <w:tc>
          <w:tcPr>
            <w:tcW w:w="440" w:type="dxa"/>
            <w:vAlign w:val="bottom"/>
            <w:gridSpan w:val="3"/>
          </w:tcPr>
          <w:p>
            <w:pPr>
              <w:jc w:val="center"/>
              <w:ind w:left="17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140" w:type="dxa"/>
            <w:vAlign w:val="bottom"/>
          </w:tcPr>
          <w:p>
            <w:pPr>
              <w:spacing w:after="0"/>
              <w:rPr>
                <w:sz w:val="24"/>
                <w:szCs w:val="24"/>
                <w:color w:val="auto"/>
              </w:rPr>
            </w:pPr>
          </w:p>
        </w:tc>
      </w:tr>
      <w:tr>
        <w:trPr>
          <w:trHeight w:val="20"/>
        </w:trPr>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547"/>
        </w:trPr>
        <w:tc>
          <w:tcPr>
            <w:tcW w:w="760" w:type="dxa"/>
            <w:vAlign w:val="bottom"/>
            <w:gridSpan w:val="2"/>
          </w:tcPr>
          <w:p>
            <w:pPr>
              <w:spacing w:after="0"/>
              <w:rPr>
                <w:rFonts w:ascii="Arial" w:cs="Arial" w:eastAsia="Arial" w:hAnsi="Arial"/>
                <w:sz w:val="18"/>
                <w:szCs w:val="18"/>
                <w:color w:val="0000EE"/>
                <w:w w:val="85"/>
              </w:rPr>
            </w:pPr>
            <w:hyperlink w:anchor="page50">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gridSpan w:val="3"/>
          </w:tcPr>
          <w:p>
            <w:pPr>
              <w:jc w:val="center"/>
              <w:ind w:left="17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140" w:type="dxa"/>
            <w:vAlign w:val="bottom"/>
          </w:tcPr>
          <w:p>
            <w:pPr>
              <w:spacing w:after="0"/>
              <w:rPr>
                <w:sz w:val="24"/>
                <w:szCs w:val="24"/>
                <w:color w:val="auto"/>
              </w:rPr>
            </w:pPr>
          </w:p>
        </w:tc>
      </w:tr>
      <w:tr>
        <w:trPr>
          <w:trHeight w:val="20"/>
        </w:trPr>
        <w:tc>
          <w:tcPr>
            <w:tcW w:w="5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20"/>
          </w:cols>
          <w:pgMar w:left="280" w:top="364"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shd w:val="clear" w:color="auto" w:fill="CCEEFF"/>
          </w:tcPr>
          <w:p>
            <w:pPr>
              <w:spacing w:after="0"/>
              <w:rPr>
                <w:sz w:val="23"/>
                <w:szCs w:val="23"/>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September 30, 2019</w:t>
            </w:r>
          </w:p>
        </w:tc>
        <w:tc>
          <w:tcPr>
            <w:tcW w:w="18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15,631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$581 and $511</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47,491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45,651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Current portion of notes receivable</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80,769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85,145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Notes receivable, less current portion</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109,515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109,515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124,637</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47,206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49,692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97"/>
        </w:trPr>
        <w:tc>
          <w:tcPr>
            <w:tcW w:w="7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452,277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388,618</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DEFICIT</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22,033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27,638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residual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18,715</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Customer deposits and advance payments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3,532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outstanding under revolving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11,132</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76,466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64,060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Long-term debt, net of current portion, discounts and debt issuance costs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473,344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402,095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37"/>
        </w:trPr>
        <w:tc>
          <w:tcPr>
            <w:tcW w:w="732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481,084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410,031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600"/>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557,550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474,091</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Commitments and Contingencies (Notes 9 and 10)</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stock, at cost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(111,960)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(85,540)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Priority Technology Holdings, Inc.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(85,473)</w:t>
            </w:r>
          </w:p>
        </w:tc>
        <w:tc>
          <w:tcPr>
            <w:tcW w:w="0" w:type="dxa"/>
            <w:vAlign w:val="bottom"/>
          </w:tcPr>
          <w:p>
            <w:pPr>
              <w:spacing w:after="0"/>
              <w:rPr>
                <w:sz w:val="1"/>
                <w:szCs w:val="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5,654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stockholders' deficit</w:t>
            </w: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(85,473)</w:t>
            </w:r>
          </w:p>
        </w:tc>
        <w:tc>
          <w:tcPr>
            <w:tcW w:w="0" w:type="dxa"/>
            <w:vAlign w:val="bottom"/>
          </w:tcPr>
          <w:p>
            <w:pPr>
              <w:spacing w:after="0"/>
              <w:rPr>
                <w:sz w:val="1"/>
                <w:szCs w:val="1"/>
                <w:color w:val="auto"/>
              </w:rPr>
            </w:pPr>
          </w:p>
        </w:tc>
      </w:tr>
      <w:tr>
        <w:trPr>
          <w:trHeight w:val="169"/>
        </w:trPr>
        <w:tc>
          <w:tcPr>
            <w:tcW w:w="7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 and stockholders'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452,277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388,618</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3180"/>
              <w:spacing w:after="0"/>
              <w:rPr>
                <w:sz w:val="20"/>
                <w:szCs w:val="20"/>
                <w:color w:val="auto"/>
              </w:rPr>
            </w:pPr>
            <w:r>
              <w:rPr>
                <w:rFonts w:ascii="Arial" w:cs="Arial" w:eastAsia="Arial" w:hAnsi="Arial"/>
                <w:sz w:val="18"/>
                <w:szCs w:val="18"/>
                <w:color w:val="auto"/>
                <w:w w:val="86"/>
              </w:rPr>
              <w:t>See Notes to Unaudited Condensed Consolidated Financial</w:t>
            </w:r>
          </w:p>
        </w:tc>
        <w:tc>
          <w:tcPr>
            <w:tcW w:w="206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20" w:type="dxa"/>
            <w:vAlign w:val="bottom"/>
            <w:vMerge w:val="continue"/>
          </w:tcPr>
          <w:p>
            <w:pPr>
              <w:spacing w:after="0"/>
              <w:rPr>
                <w:sz w:val="18"/>
                <w:szCs w:val="18"/>
                <w:color w:val="auto"/>
              </w:rPr>
            </w:pPr>
          </w:p>
        </w:tc>
        <w:tc>
          <w:tcPr>
            <w:tcW w:w="2060" w:type="dxa"/>
            <w:vAlign w:val="bottom"/>
            <w:gridSpan w:val="2"/>
          </w:tcPr>
          <w:p>
            <w:pPr>
              <w:jc w:val="right"/>
              <w:ind w:right="1010"/>
              <w:spacing w:after="0"/>
              <w:rPr>
                <w:sz w:val="20"/>
                <w:szCs w:val="20"/>
                <w:color w:val="auto"/>
              </w:rPr>
            </w:pPr>
            <w:r>
              <w:rPr>
                <w:rFonts w:ascii="Arial" w:cs="Arial" w:eastAsia="Arial" w:hAnsi="Arial"/>
                <w:sz w:val="18"/>
                <w:szCs w:val="18"/>
                <w:color w:val="auto"/>
              </w:rPr>
              <w:t>Statements</w:t>
            </w:r>
          </w:p>
        </w:tc>
        <w:tc>
          <w:tcPr>
            <w:tcW w:w="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- 1 -</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Unaudited</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0" w:type="dxa"/>
            <w:vAlign w:val="bottom"/>
            <w:gridSpan w:val="5"/>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94"/>
              </w:rPr>
              <w:t>Quarter Ended</w:t>
            </w:r>
          </w:p>
        </w:tc>
        <w:tc>
          <w:tcPr>
            <w:tcW w:w="300" w:type="dxa"/>
            <w:vAlign w:val="bottom"/>
            <w:shd w:val="clear" w:color="auto" w:fill="CCEEFF"/>
          </w:tcPr>
          <w:p>
            <w:pPr>
              <w:spacing w:after="0"/>
              <w:rPr>
                <w:sz w:val="19"/>
                <w:szCs w:val="19"/>
                <w:color w:val="auto"/>
              </w:rPr>
            </w:pPr>
          </w:p>
        </w:tc>
        <w:tc>
          <w:tcPr>
            <w:tcW w:w="2480" w:type="dxa"/>
            <w:vAlign w:val="bottom"/>
            <w:gridSpan w:val="4"/>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Nine Months Ended</w:t>
            </w:r>
          </w:p>
        </w:tc>
      </w:tr>
      <w:tr>
        <w:trPr>
          <w:trHeight w:val="261"/>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30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gridSpan w:val="5"/>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gridSpan w:val="4"/>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37"/>
        </w:trPr>
        <w:tc>
          <w:tcPr>
            <w:tcW w:w="5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Merchant card fees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101,720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94,915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292,694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299,661</w:t>
            </w: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Outsourced services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24,288</w:t>
            </w:r>
          </w:p>
        </w:tc>
      </w:tr>
      <w:tr>
        <w:trPr>
          <w:trHeight w:val="237"/>
        </w:trPr>
        <w:tc>
          <w:tcPr>
            <w:tcW w:w="5480" w:type="dxa"/>
            <w:vAlign w:val="bottom"/>
          </w:tcPr>
          <w:p>
            <w:pPr>
              <w:ind w:left="280"/>
              <w:spacing w:after="0"/>
              <w:rPr>
                <w:sz w:val="20"/>
                <w:szCs w:val="20"/>
                <w:color w:val="auto"/>
              </w:rPr>
            </w:pPr>
            <w:r>
              <w:rPr>
                <w:rFonts w:ascii="Arial" w:cs="Arial" w:eastAsia="Arial" w:hAnsi="Arial"/>
                <w:sz w:val="18"/>
                <w:szCs w:val="18"/>
                <w:b w:val="1"/>
                <w:bCs w:val="1"/>
                <w:color w:val="auto"/>
              </w:rPr>
              <w:t>Total revenue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109,954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103,591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317,356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323,949</w:t>
            </w: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merchant card fees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215,433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230,276</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Costs of outsourced services and other</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13,518</w:t>
            </w: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Salary and employee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28,406</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10,077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28,763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12,679</w:t>
            </w: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24,427</w:t>
            </w:r>
          </w:p>
        </w:tc>
      </w:tr>
      <w:tr>
        <w:trPr>
          <w:trHeight w:val="237"/>
        </w:trPr>
        <w:tc>
          <w:tcPr>
            <w:tcW w:w="548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107,229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100,031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311,229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309,306</w:t>
            </w: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56"/>
        </w:trPr>
        <w:tc>
          <w:tcPr>
            <w:tcW w:w="5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14,643</w:t>
            </w: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5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(21,893)</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(5,108)</w:t>
            </w:r>
          </w:p>
        </w:tc>
      </w:tr>
      <w:tr>
        <w:trPr>
          <w:trHeight w:val="27"/>
        </w:trPr>
        <w:tc>
          <w:tcPr>
            <w:tcW w:w="5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expenses, net</w:t>
            </w: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(27,001)</w:t>
            </w:r>
          </w:p>
        </w:tc>
      </w:tr>
      <w:tr>
        <w:trPr>
          <w:trHeight w:val="169"/>
        </w:trPr>
        <w:tc>
          <w:tcPr>
            <w:tcW w:w="54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(12,358)</w:t>
            </w:r>
          </w:p>
        </w:tc>
      </w:tr>
      <w:tr>
        <w:trPr>
          <w:trHeight w:val="176"/>
        </w:trPr>
        <w:tc>
          <w:tcPr>
            <w:tcW w:w="5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156"/>
        </w:trPr>
        <w:tc>
          <w:tcPr>
            <w:tcW w:w="54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r>
      <w:tr>
        <w:trPr>
          <w:trHeight w:val="26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(11,367)</w:t>
            </w:r>
          </w:p>
        </w:tc>
      </w:tr>
      <w:tr>
        <w:trPr>
          <w:trHeight w:val="20"/>
        </w:trPr>
        <w:tc>
          <w:tcPr>
            <w:tcW w:w="5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5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6"/>
        </w:trPr>
        <w:tc>
          <w:tcPr>
            <w:tcW w:w="5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60,339</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67,007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67,109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60,339</w:t>
            </w: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4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PRO FORMA (C-corporation basis)</w:t>
            </w: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 forma 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Pro forma net loss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(10,740)</w:t>
            </w: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76"/>
        </w:trPr>
        <w:tc>
          <w:tcPr>
            <w:tcW w:w="5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5480" w:type="dxa"/>
            <w:vAlign w:val="bottom"/>
          </w:tcPr>
          <w:p>
            <w:pPr>
              <w:ind w:left="180"/>
              <w:spacing w:after="0"/>
              <w:rPr>
                <w:sz w:val="20"/>
                <w:szCs w:val="20"/>
                <w:color w:val="auto"/>
              </w:rPr>
            </w:pPr>
            <w:r>
              <w:rPr>
                <w:rFonts w:ascii="Arial" w:cs="Arial" w:eastAsia="Arial" w:hAnsi="Arial"/>
                <w:sz w:val="18"/>
                <w:szCs w:val="18"/>
                <w:color w:val="auto"/>
              </w:rPr>
              <w:t>Pro forma loss per common share: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4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r>
      <w:tr>
        <w:trPr>
          <w:trHeight w:val="27"/>
        </w:trPr>
        <w:tc>
          <w:tcPr>
            <w:tcW w:w="5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5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160"/>
          </w:cols>
          <w:pgMar w:left="240" w:top="125" w:right="4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Unaudited</w:t>
      </w:r>
    </w:p>
    <w:p>
      <w:pPr>
        <w:spacing w:after="0" w:line="144" w:lineRule="exact"/>
        <w:rPr>
          <w:sz w:val="20"/>
          <w:szCs w:val="20"/>
          <w:color w:val="auto"/>
        </w:rPr>
      </w:pPr>
    </w:p>
    <w:tbl>
      <w:tblPr>
        <w:tblLayout w:type="fixed"/>
        <w:tblInd w:w="260" w:type="dxa"/>
        <w:tblCellMar>
          <w:top w:w="0" w:type="dxa"/>
          <w:left w:w="0" w:type="dxa"/>
          <w:bottom w:w="0" w:type="dxa"/>
          <w:right w:w="0" w:type="dxa"/>
        </w:tblCellMar>
      </w:tblPr>
      <w:tr>
        <w:trPr>
          <w:trHeight w:val="264"/>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auto"/>
            </w:tcBorders>
            <w:shd w:val="clear" w:color="auto" w:fill="CCEEFF"/>
          </w:tcPr>
          <w:p>
            <w:pPr>
              <w:spacing w:after="0"/>
              <w:rPr>
                <w:sz w:val="22"/>
                <w:szCs w:val="22"/>
                <w:color w:val="auto"/>
              </w:rPr>
            </w:pPr>
          </w:p>
        </w:tc>
        <w:tc>
          <w:tcPr>
            <w:tcW w:w="2820" w:type="dxa"/>
            <w:vAlign w:val="bottom"/>
            <w:tcBorders>
              <w:bottom w:val="single" w:sz="8" w:color="auto"/>
            </w:tcBorders>
            <w:gridSpan w:val="4"/>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243"/>
        </w:trPr>
        <w:tc>
          <w:tcPr>
            <w:tcW w:w="7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(11,367)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 to reconcile net loss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Depreciation and amortization of assets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28,763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12,679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Amortization of debt issuance costs and discounts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 in loss and impairment of unconsolidated entities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Provision for deferred income tax</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Provisions for allowance for deferred tax assets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7,844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debt extinguishment</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Payment-in-kind interest</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non-cash</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 net of business combinations: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Settlement assets and obligations, net</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Notes receivable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Customer deposits and advance payments</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 and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37"/>
        </w:trPr>
        <w:tc>
          <w:tcPr>
            <w:tcW w:w="7960" w:type="dxa"/>
            <w:vAlign w:val="bottom"/>
          </w:tcPr>
          <w:p>
            <w:pPr>
              <w:ind w:left="28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10,617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24,836</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7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Payments for business acquisitions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Additions to property, equipment and software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Acquisitions of merchant portfolios and assets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(26,431)</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Note receivable loan funding</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(93,623)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(42,345)</w:t>
            </w:r>
          </w:p>
        </w:tc>
        <w:tc>
          <w:tcPr>
            <w:tcW w:w="0" w:type="dxa"/>
            <w:vAlign w:val="bottom"/>
          </w:tcPr>
          <w:p>
            <w:pPr>
              <w:spacing w:after="0"/>
              <w:rPr>
                <w:sz w:val="1"/>
                <w:szCs w:val="1"/>
                <w:color w:val="auto"/>
              </w:rPr>
            </w:pPr>
          </w:p>
        </w:tc>
      </w:tr>
      <w:tr>
        <w:trPr>
          <w:trHeight w:val="169"/>
        </w:trPr>
        <w:tc>
          <w:tcPr>
            <w:tcW w:w="7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 net of issue discount</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69,650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67,113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Debt issuance costs refunded (paid)</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Borrowings under revolving credit facility</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Repayments under revolving credit facility</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Distributions to members prior to July 25, 2018 recapitalization</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(7,075)</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Redemptions of membership interests prior to July 25, 2018 recapitalization</w:t>
            </w:r>
          </w:p>
        </w:tc>
        <w:tc>
          <w:tcPr>
            <w:tcW w:w="1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(74,093)</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Recapitalization proceeds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49,389</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Repurchases of common stock</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Founders shares redemptions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Redemption of warrants</w:t>
            </w:r>
          </w:p>
        </w:tc>
        <w:tc>
          <w:tcPr>
            <w:tcW w:w="1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(12,701)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Recapitalization costs</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37"/>
        </w:trPr>
        <w:tc>
          <w:tcPr>
            <w:tcW w:w="7960" w:type="dxa"/>
            <w:vAlign w:val="bottom"/>
          </w:tcPr>
          <w:p>
            <w:pPr>
              <w:ind w:left="28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76,018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8,827</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b w:val="1"/>
                <w:bCs w:val="1"/>
                <w:color w:val="auto"/>
              </w:rPr>
              <w:t>Net change in cash and restricted cash:</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decrease in cash and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0" w:type="dxa"/>
            <w:vAlign w:val="bottom"/>
          </w:tcPr>
          <w:p>
            <w:pPr>
              <w:spacing w:after="0"/>
              <w:rPr>
                <w:sz w:val="1"/>
                <w:szCs w:val="1"/>
                <w:color w:val="auto"/>
              </w:rPr>
            </w:pPr>
          </w:p>
        </w:tc>
      </w:tr>
      <w:tr>
        <w:trPr>
          <w:trHeight w:val="243"/>
        </w:trPr>
        <w:tc>
          <w:tcPr>
            <w:tcW w:w="7960" w:type="dxa"/>
            <w:vAlign w:val="bottom"/>
          </w:tcPr>
          <w:p>
            <w:pPr>
              <w:ind w:left="160"/>
              <w:spacing w:after="0"/>
              <w:rPr>
                <w:sz w:val="20"/>
                <w:szCs w:val="20"/>
                <w:color w:val="auto"/>
              </w:rPr>
            </w:pPr>
            <w:r>
              <w:rPr>
                <w:rFonts w:ascii="Arial" w:cs="Arial" w:eastAsia="Arial" w:hAnsi="Arial"/>
                <w:sz w:val="18"/>
                <w:szCs w:val="18"/>
                <w:color w:val="auto"/>
              </w:rPr>
              <w:t>Cash and restricted cash at beginning of year</w:t>
            </w:r>
          </w:p>
        </w:tc>
        <w:tc>
          <w:tcPr>
            <w:tcW w:w="1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33,831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44,159</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restricted cash at September 30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35,477</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5300"/>
              <w:spacing w:after="0"/>
              <w:rPr>
                <w:sz w:val="20"/>
                <w:szCs w:val="20"/>
                <w:color w:val="auto"/>
              </w:rPr>
            </w:pPr>
            <w:r>
              <w:rPr>
                <w:rFonts w:ascii="Arial" w:cs="Arial" w:eastAsia="Arial" w:hAnsi="Arial"/>
                <w:sz w:val="18"/>
                <w:szCs w:val="18"/>
                <w:color w:val="auto"/>
              </w:rPr>
              <w:t>- 3 -</w:t>
            </w: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60"/>
          </w:cols>
          <w:pgMar w:left="240" w:top="125" w:right="499" w:bottom="792"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529590</wp:posOffset>
            </wp:positionV>
            <wp:extent cx="683514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51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Supplemental cash flow information:</w:t>
      </w:r>
    </w:p>
    <w:p>
      <w:pPr>
        <w:spacing w:after="0" w:line="6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86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25,527</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16,537</w:t>
            </w:r>
          </w:p>
        </w:tc>
      </w:tr>
      <w:tr>
        <w:trPr>
          <w:trHeight w:val="27"/>
        </w:trPr>
        <w:tc>
          <w:tcPr>
            <w:tcW w:w="7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Recognition of initial net deferred income tax asset</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47,478</w:t>
            </w:r>
          </w:p>
        </w:tc>
      </w:tr>
      <w:tr>
        <w:trPr>
          <w:trHeight w:val="189"/>
        </w:trPr>
        <w:tc>
          <w:tcPr>
            <w:tcW w:w="7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160"/>
              <w:spacing w:after="0"/>
              <w:rPr>
                <w:sz w:val="20"/>
                <w:szCs w:val="20"/>
                <w:color w:val="auto"/>
              </w:rPr>
            </w:pPr>
            <w:r>
              <w:rPr>
                <w:rFonts w:ascii="Arial" w:cs="Arial" w:eastAsia="Arial" w:hAnsi="Arial"/>
                <w:sz w:val="18"/>
                <w:szCs w:val="18"/>
                <w:color w:val="auto"/>
              </w:rPr>
              <w:t>Purchases of property, equipment and software through accounts payable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119</w:t>
            </w:r>
          </w:p>
        </w:tc>
      </w:tr>
      <w:tr>
        <w:trPr>
          <w:trHeight w:val="27"/>
        </w:trPr>
        <w:tc>
          <w:tcPr>
            <w:tcW w:w="7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 assets acquired by issuing non-controlling interest in a subsidiary</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160"/>
              <w:spacing w:after="0"/>
              <w:rPr>
                <w:sz w:val="20"/>
                <w:szCs w:val="20"/>
                <w:color w:val="auto"/>
              </w:rPr>
            </w:pPr>
            <w:r>
              <w:rPr>
                <w:rFonts w:ascii="Arial" w:cs="Arial" w:eastAsia="Arial" w:hAnsi="Arial"/>
                <w:sz w:val="18"/>
                <w:szCs w:val="18"/>
                <w:color w:val="auto"/>
              </w:rPr>
              <w:t>Notes receivable from sellers used as partial consideration for business acquisitions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560</w:t>
            </w:r>
          </w:p>
        </w:tc>
      </w:tr>
      <w:tr>
        <w:trPr>
          <w:trHeight w:val="27"/>
        </w:trPr>
        <w:tc>
          <w:tcPr>
            <w:tcW w:w="7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consideration payable for business acquisition</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7860" w:type="dxa"/>
            <w:vAlign w:val="bottom"/>
          </w:tcPr>
          <w:p>
            <w:pPr>
              <w:ind w:left="160"/>
              <w:spacing w:after="0"/>
              <w:rPr>
                <w:sz w:val="20"/>
                <w:szCs w:val="20"/>
                <w:color w:val="auto"/>
              </w:rPr>
            </w:pPr>
            <w:r>
              <w:rPr>
                <w:rFonts w:ascii="Arial" w:cs="Arial" w:eastAsia="Arial" w:hAnsi="Arial"/>
                <w:sz w:val="18"/>
                <w:szCs w:val="18"/>
                <w:color w:val="auto"/>
              </w:rPr>
              <w:t>Recapitalization cost remaining in accounts payable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7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issued as partial consideration in business acquisitions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16"/>
        </w:trPr>
        <w:tc>
          <w:tcPr>
            <w:tcW w:w="7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and restricted cash:</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60"/>
              <w:spacing w:after="0"/>
              <w:rPr>
                <w:sz w:val="20"/>
                <w:szCs w:val="20"/>
                <w:color w:val="auto"/>
              </w:rPr>
            </w:pPr>
            <w:r>
              <w:rPr>
                <w:rFonts w:ascii="Arial" w:cs="Arial" w:eastAsia="Arial" w:hAnsi="Arial"/>
                <w:sz w:val="18"/>
                <w:szCs w:val="18"/>
                <w:color w:val="auto"/>
              </w:rPr>
              <w:t>Cash</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4,191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17,203</w:t>
            </w:r>
          </w:p>
        </w:tc>
      </w:tr>
      <w:tr>
        <w:trPr>
          <w:trHeight w:val="27"/>
        </w:trPr>
        <w:tc>
          <w:tcPr>
            <w:tcW w:w="7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Restricted cash</w:t>
            </w: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18,274</w:t>
            </w:r>
          </w:p>
        </w:tc>
      </w:tr>
      <w:tr>
        <w:trPr>
          <w:trHeight w:val="257"/>
        </w:trPr>
        <w:tc>
          <w:tcPr>
            <w:tcW w:w="7860" w:type="dxa"/>
            <w:vAlign w:val="bottom"/>
          </w:tcPr>
          <w:p>
            <w:pPr>
              <w:ind w:left="380"/>
              <w:spacing w:after="0"/>
              <w:rPr>
                <w:sz w:val="20"/>
                <w:szCs w:val="20"/>
                <w:color w:val="auto"/>
              </w:rPr>
            </w:pPr>
            <w:r>
              <w:rPr>
                <w:rFonts w:ascii="Arial" w:cs="Arial" w:eastAsia="Arial" w:hAnsi="Arial"/>
                <w:sz w:val="18"/>
                <w:szCs w:val="18"/>
                <w:color w:val="auto"/>
              </w:rPr>
              <w:t>Total cash and restricted cash</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26,843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35,477</w:t>
            </w:r>
          </w:p>
        </w:tc>
      </w:tr>
      <w:tr>
        <w:trPr>
          <w:trHeight w:val="20"/>
        </w:trPr>
        <w:tc>
          <w:tcPr>
            <w:tcW w:w="7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100"/>
          </w:cols>
          <w:pgMar w:left="240" w:top="125" w:right="5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Quarters and Nine Months Ended September 30,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as of September 30, 2019 and December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NATURE OF BUSINESS AND BASIS OF PRESENTATION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Priority Technology Holdings, Inc. and its subsidiaries (the "Company") are a leading fintech enterprise with strong core payments technology. The Company is headquartered in Alpharetta, Georgia and operates other facilities in Texas, Tennessee, Arizona, and New York. Operations began in 2005 with a mission to build a merchant-inspired payments platform that would advance the goals of its customers and partners. Today, the Company is a leading provider of merchant acquiring and commercial payment solutions, offering unique product capabilities to small and medium size businesses and enterprises and distribution partners in the United States. The Company operates from a purpose-built business platform that includes tailored customer service offerings and bespoke technology development, allowing the Company to provide end-to-end solutions for payment and payment-adjacent needs.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payments processing solutions for business-to-consumer ("B2C") transactions through independent sales organizations ("ISOs"), financial institutions, independent software vendors ("ISVs"), and other referral partners. The Company's proprietary MX platform for B2C payments provides merchants a fully customizable suite of business management solutions.</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Commercial payments solutions such as automated vendor payments and professionally curated managed services to industry leading financial institutions and networks. The Company's proprietary business-to-business ("B2B") Commercial Payment Exchange (CPX) platform was developed to be a best-in-class solution for buyer/supplier payment enablement.</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Institutional services (also known as Managed Services) solutions that provide audience-specific programs for institutional partners and other third parties looking to leverage the Company's professionally trained and managed call center teams for customer onboarding, assistance, and support, including marketing and direct-sales resources.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partner solutions for ISVs and other third-parties that allow them to leverage the Company's core payments engine via robust application program interfaces resources and high-utility embeddable code.</w:t>
      </w: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Consulting and development solutions focused on the increasing demand for integrated payments solutions for transitioning to the digital economy.</w:t>
      </w:r>
    </w:p>
    <w:p>
      <w:pPr>
        <w:spacing w:after="0" w:line="23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Company provides its services through three reportable segments: (1) Consumer Payments, (2) Commercial Payments (which includes institutional and managed services described above), and (3) Integrated Partners. For additional information about our reportable segments, see Note 15, </w:t>
      </w:r>
      <w:r>
        <w:rPr>
          <w:rFonts w:ascii="Arial" w:cs="Arial" w:eastAsia="Arial" w:hAnsi="Arial"/>
          <w:sz w:val="16"/>
          <w:szCs w:val="16"/>
          <w:i w:val="1"/>
          <w:iCs w:val="1"/>
          <w:color w:val="auto"/>
        </w:rPr>
        <w:t>Segment Information</w:t>
      </w:r>
      <w:r>
        <w:rPr>
          <w:rFonts w:ascii="Arial" w:cs="Arial" w:eastAsia="Arial" w:hAnsi="Arial"/>
          <w:sz w:val="16"/>
          <w:szCs w:val="16"/>
          <w:color w:val="auto"/>
        </w:rPr>
        <w:t>.</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provide many of its services,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itself a registered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Matters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July 25, 2018, MI Acquisitions, Inc. ("MI Acquisitions"), which was formed under the laws of the State of Delaware on April 23, 2015, acquired all of the outstanding member equity interests of Priority Holdings, LLC ("Holdings") in exchange for the issuance of MI Acquisitions' common stock. As a result, Holdings which was previously a privately-owned company, became a wholly-owned subsidiary of MI Acquisitions (the "Business Combination"). Simultaneously, MI Acquisitions changed its name to Priority Technology Holdings, Inc. For financial accounting and reporting purposes under generally accepted accounting principles in the United States ("GAAP"), the acquisition was accounted for as a "reverse merger." Under this method of accounting, MI Acquisitions is treated as the acquired entity whereby Holdings was deemed to have issued common stock for the net assets and equity of MI Acquisitions accompanied by a simultaneous equity recapitalization (the "Recapitalization") of Holdings. Net assets of the Company are stated at historical cost and accordingly the equity and net assets of the Company have not been adjusted to fair value. As of July 25, 2018, the consolidated financial statements of the Company include the combined operations, cash flows, and financial positions of both MI Acquisitions and Holdings. Prior to July 25, 2018, the results of operations, cash flows, and financial position are those of Holdings. The units and corresponding capital amounts and earnings per unit of Holdings prior to July 25, 2018 have been retroactively restated as shares reflecting the exchange ratio established in the Recapitalization.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common stock is traded on The Nasdaq Global Market under the symbol "PRTH." Certain shares of the Company's common stock are restricted shares, meaning that there are certain regulatory restrictions on the holders' abilities to sell, transfer, pledge or otherwise dispose of shares. Common shares of the Company issued to certain non-affiliates may become unrestricted common shares in the future due to the lapse of certain regulatory restrictions on the holders' ability to sell, transfer, pledge, or dispose of the unregistered shares.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Chairman and Chief Executive Officer controls a majority of the voting power of the Company's outstanding common stock. As a result, the Company is a "controlled company" within the meaning of corporate governance standards of the Nasdaq Stock Market LLC ("Nasdaq").</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unaudited condensed consolidated financial statements include those of the Company and its consolidated subsidiaries. All material inter-company accounts and transactions have been eliminated in consolidation. The Company operates on a calendar year ending each December 31 and on four calendar quarters ending on March 31, June 30, September 30, and December 31 of each year.</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condensed consolidated financial statements have been prepared in accordance with GAAP for interim financial information and the rules and regulations of the Securities and Exchange Commission ("SEC").</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condensed consolidated financial statements are unaudited; however, in the opinion of management they include all normal and recurring adjustments necessary for a fair presentation of the Company's unaudited condensed consolidated financial statements for the periods presented. The accompanying unaudited condensed consolidated balance sheet and related footnote disclosures as of December 31, 2018 were derived from the Company's audited consolidated financial statements and accompanying footnotes as of and for the year ended December 31, 2018. Results of operations reported for interim periods are not necessarily indicative of results for the entire year.</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reported period. Actual results could differ materially from those estimates.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July 25, 2018, substantially all of the Company's operations were conducted through pass-through entities for income tax purposes, and as such the Company had no material income tax accounting reflected in its financial statements for financial reporting purposes since substantially all taxable income and deductions were "passed through" to unconsolidated owners. Effective July 25, 2018, the Company is a "C Corp" and reports its income and deductions for income tax purposes. Accordingly, effective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July 25, 2018 the consolidated financial statements of the Company now account for income taxes in accordance with Accounting Standards Codification ("ASC") 740, Income Taxes ("ASC 740").</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an "emerging growth company" (EGC), as defined in the Jumpstart Our Business Startups Act of 2012. The Company may remain an EGC until December 31, 2021. However, if the Company's non-convertible debt issued within a rolling three-year period exceeds $1.0 billion, the Company would cease to be an EGC immediately, or if its revenue for any fiscal year exceed $1.07 billion, or the market value of its common stock that is held by non-affiliates exceeds $700.0 million on the last day of the second quarter of any given year, the Company would cease to be an EGC as of the beginning of the following year. As an EGC, the Company is not required to comply with the auditor attestation requirements of section 404 of the Sarbanes-Oxley Act of 2002. Additionally, the Company as an EGC may continue to elect to delay the adoption of any new or revised accounting standards that have different effective dates for public and private companies until those standards apply to private companies. As such, the Company's financial statements may not be comparable to companies that comply with public company effective 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Comprehensive income (loss) represents the sum of net income (loss) and other amounts that are not included in the unaudited condensed consolidated statement of operations as the amounts have not been realized. For the quarters and nine months ended September 30, 2019 and September 30, 2018, there were no differences between the Company's net loss and comprehensive loss. Therefore, no separate Statement of Comprehensive Income (Loss) is included in the consolidated financial statements for the reporting periods.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Restricted Cash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includes cash held at financial institutions that is owned by the Company. Restricted cash is held by the Company in financial institutions for the purpose of in-process customer settlements or reserves held per contact terms.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Notes receivable are comprised of a $3.0 million loan to another entity (see Note 10, </w:t>
      </w:r>
      <w:r>
        <w:rPr>
          <w:rFonts w:ascii="Arial" w:cs="Arial" w:eastAsia="Arial" w:hAnsi="Arial"/>
          <w:sz w:val="18"/>
          <w:szCs w:val="18"/>
          <w:i w:val="1"/>
          <w:iCs w:val="1"/>
          <w:color w:val="auto"/>
        </w:rPr>
        <w:t>Related Party and Other Transactions</w:t>
      </w:r>
      <w:r>
        <w:rPr>
          <w:rFonts w:ascii="Arial" w:cs="Arial" w:eastAsia="Arial" w:hAnsi="Arial"/>
          <w:sz w:val="18"/>
          <w:szCs w:val="18"/>
          <w:color w:val="auto"/>
        </w:rPr>
        <w:t>) and advances to ISOs. Substantially all of the notes receivable bear interest and are secured. ISO advances are generally repaid via reductions in future commissions paid to the ISO, thus cash flows from these activities are reported as cash flows from operations.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period amounts in these unaudited condensed consolidated financial statements have been reclassified to conform to the current period presentation, with no net effect on the Company's stockholders' deficit or net loss for any period.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There have been no material changes to the Company's accounting policies from December 31, 2018 through September 30, 2019, except for the addition of an accounting policy for repurchased stock. Also, see Note 2, </w:t>
      </w:r>
      <w:r>
        <w:rPr>
          <w:rFonts w:ascii="Arial" w:cs="Arial" w:eastAsia="Arial" w:hAnsi="Arial"/>
          <w:sz w:val="18"/>
          <w:szCs w:val="18"/>
          <w:i w:val="1"/>
          <w:iCs w:val="1"/>
          <w:color w:val="auto"/>
        </w:rPr>
        <w:t>Acquisitions and Contributions of Assets</w:t>
      </w:r>
      <w:r>
        <w:rPr>
          <w:rFonts w:ascii="Arial" w:cs="Arial" w:eastAsia="Arial" w:hAnsi="Arial"/>
          <w:sz w:val="18"/>
          <w:szCs w:val="18"/>
          <w:color w:val="auto"/>
        </w:rPr>
        <w:t>, for information on the non-controlling interest issued in connection with certain net assets acquired from YapStone, Inc. ("YapStone").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Merchant card fees revenue consists mainly of fees for processing electronic payments, including credit, debit and electronic benefit transaction card processing. The fees are generally based on a variable percentage of the dollar amount of each transaction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our Consumer Payments segment.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Outsourced services and other revenue consist mainly of cost-plus fees related to B2B services, merchant financing and buyer-initiated payment programs sold on behalf of certain enterprise customers, originated through our in-house sales force, including incentives for meeting sales targets. Outsourced services revenue is attributable primarily to our Commercial Payments reportable segment. Other revenue include revenue from the sales of equipment (primarily point of sale terminals) and processing of automated clearing house ("ACH") transactions.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of Merchant Card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Costs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 generated from merchant transactions.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of Outsourced Services and Other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outsourced services and other revenue consist of salaries directly related to outsourced services revenue, the cost of equipment (point of sale terminals) sold, and third-party fees and commissions related to the Company's ACH processing activities.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("SG&amp;A")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SG&amp;A expenses include mainly professional services, advertising, rent, </w:t>
      </w:r>
      <w:r>
        <w:rPr>
          <w:rFonts w:ascii="Arial" w:cs="Arial" w:eastAsia="Arial" w:hAnsi="Arial"/>
          <w:sz w:val="18"/>
          <w:szCs w:val="18"/>
          <w:color w:val="1A1A1A"/>
        </w:rPr>
        <w:t>office supplies, software licenses, utilities, state and local franchise and sales taxes,</w:t>
      </w:r>
      <w:r>
        <w:rPr>
          <w:rFonts w:ascii="Arial" w:cs="Arial" w:eastAsia="Arial" w:hAnsi="Arial"/>
          <w:sz w:val="18"/>
          <w:szCs w:val="18"/>
          <w:color w:val="auto"/>
        </w:rPr>
        <w:t xml:space="preserve"> </w:t>
      </w:r>
      <w:r>
        <w:rPr>
          <w:rFonts w:ascii="Arial" w:cs="Arial" w:eastAsia="Arial" w:hAnsi="Arial"/>
          <w:sz w:val="18"/>
          <w:szCs w:val="18"/>
          <w:color w:val="1A1A1A"/>
        </w:rPr>
        <w:t xml:space="preserve">litigation settlements, executive travel, insurance, </w:t>
      </w:r>
      <w:r>
        <w:rPr>
          <w:rFonts w:ascii="Arial" w:cs="Arial" w:eastAsia="Arial" w:hAnsi="Arial"/>
          <w:sz w:val="18"/>
          <w:szCs w:val="18"/>
          <w:color w:val="000000"/>
        </w:rPr>
        <w:t>and expenses related to the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of interest on outstanding debt and amortization of deferred financing costs and original issue discounts.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net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net is composed of interest income, debt modification and extinguishment expenses, changes in fair value of warrant liabilities, and equity in losses and impairment of unconsolidated entities. Interest income consists mainly of interest received pursuant to notes receivable from independent sales agents. Debt modification and extinguishment expenses includes write-offs of unamortized deferred financing costs and original issue discount relating to the extinguished debt. Equity in loss and impairment of unconsolidated entities consists of the Company's share of the income or loss of its equity method investment as well as any impairment charges related to such investments.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Adopted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did not adopt any new accounting standards during the quarter or nine months ended September 30, 2019, except for ASU 2016-01, </w:t>
      </w:r>
      <w:r>
        <w:rPr>
          <w:rFonts w:ascii="Arial" w:cs="Arial" w:eastAsia="Arial" w:hAnsi="Arial"/>
          <w:sz w:val="18"/>
          <w:szCs w:val="18"/>
          <w:i w:val="1"/>
          <w:iCs w:val="1"/>
          <w:color w:val="auto"/>
        </w:rPr>
        <w:t>Recognition and Measurement of Financial Assets and Financial Liabilities-Subtopic 825-10</w:t>
      </w:r>
      <w:r>
        <w:rPr>
          <w:rFonts w:ascii="Arial" w:cs="Arial" w:eastAsia="Arial" w:hAnsi="Arial"/>
          <w:sz w:val="18"/>
          <w:szCs w:val="18"/>
          <w:color w:val="auto"/>
        </w:rPr>
        <w:t>, and the policy for repurchased common stock based on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GAAP.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ASU 2016-01 </w:t>
      </w:r>
      <w:r>
        <w:rPr>
          <w:rFonts w:ascii="Arial" w:cs="Arial" w:eastAsia="Arial" w:hAnsi="Arial"/>
          <w:sz w:val="18"/>
          <w:szCs w:val="18"/>
          <w:color w:val="auto"/>
        </w:rPr>
        <w:t>and</w:t>
      </w:r>
      <w:r>
        <w:rPr>
          <w:rFonts w:ascii="Arial" w:cs="Arial" w:eastAsia="Arial" w:hAnsi="Arial"/>
          <w:sz w:val="18"/>
          <w:szCs w:val="18"/>
          <w:i w:val="1"/>
          <w:iCs w:val="1"/>
          <w:color w:val="auto"/>
        </w:rPr>
        <w:t xml:space="preserve"> ASU 2018-09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Under ASU 2016-01, </w:t>
      </w:r>
      <w:r>
        <w:rPr>
          <w:rFonts w:ascii="Arial" w:cs="Arial" w:eastAsia="Arial" w:hAnsi="Arial"/>
          <w:sz w:val="18"/>
          <w:szCs w:val="18"/>
          <w:i w:val="1"/>
          <w:iCs w:val="1"/>
          <w:color w:val="auto"/>
        </w:rPr>
        <w:t>Recognition and Measurement of Financial Assets and Financial Liabilities</w:t>
      </w:r>
      <w:r>
        <w:rPr>
          <w:rFonts w:ascii="Arial" w:cs="Arial" w:eastAsia="Arial" w:hAnsi="Arial"/>
          <w:sz w:val="18"/>
          <w:szCs w:val="18"/>
          <w:color w:val="auto"/>
        </w:rPr>
        <w:t>, entities have to measure equity investments (except those accounted for under the equity method, those that result in consolidation of the investee and certain other investments) at fair value and recognize any changes in fair value in net income. However, for equity investments that do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not have readily determinable fair values and do not qualify for the existing practical expedient in ASC 820 to estimate fair value using the net asset value per share (or its equivalent) of the investment, the guidance provides a new measurement alternative. Entities may choose to measure those investments at cost, less any impairment, plus or minus changes resulting from observable price changes in orderly transactions for the identical or a similar investment of the same issuer. The Company early adopted the provisions of ASU 2016-01 on April 1, 2019 and applied them to an acquired warrant to purchase equity of another entity, the same entity that borrowed $3.0 million from the Company during the second quarter of 2019 under a loan and loan commitment agreement. The carrying value, at cost, and fair value of the warrant were not material. See Note 10, </w:t>
      </w:r>
      <w:r>
        <w:rPr>
          <w:rFonts w:ascii="Arial" w:cs="Arial" w:eastAsia="Arial" w:hAnsi="Arial"/>
          <w:sz w:val="16"/>
          <w:szCs w:val="16"/>
          <w:i w:val="1"/>
          <w:iCs w:val="1"/>
          <w:color w:val="auto"/>
        </w:rPr>
        <w:t>Related Party and Other Transactions</w:t>
      </w:r>
      <w:r>
        <w:rPr>
          <w:rFonts w:ascii="Arial" w:cs="Arial" w:eastAsia="Arial" w:hAnsi="Arial"/>
          <w:sz w:val="16"/>
          <w:szCs w:val="16"/>
          <w:color w:val="auto"/>
        </w:rPr>
        <w: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Company was also required to adopt ASU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at the same time it adopted ASU 2016-01. The adoption of ASU 2018-09 had no material effect on the Company's financial position, operations, or cash flows.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Repurchased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the provisions of ASC 505-30, </w:t>
      </w:r>
      <w:r>
        <w:rPr>
          <w:rFonts w:ascii="Arial" w:cs="Arial" w:eastAsia="Arial" w:hAnsi="Arial"/>
          <w:sz w:val="18"/>
          <w:szCs w:val="18"/>
          <w:i w:val="1"/>
          <w:iCs w:val="1"/>
          <w:color w:val="auto"/>
        </w:rPr>
        <w:t>Treasury Stock</w:t>
      </w:r>
      <w:r>
        <w:rPr>
          <w:rFonts w:ascii="Arial" w:cs="Arial" w:eastAsia="Arial" w:hAnsi="Arial"/>
          <w:sz w:val="18"/>
          <w:szCs w:val="18"/>
          <w:color w:val="auto"/>
        </w:rPr>
        <w:t xml:space="preserve">, the Company has elected to apply the cost method when accounting for treasury stock resulting from the repurchase of its common stock. Under the cost method, the gross cost of the shares reacquired is charged to a contra equity account labeled Treasury Stock. The equity accounts that were originally credited for the original shares issuance, common stock and additional paid-in capital, remain intact. See Note 12, </w:t>
      </w:r>
      <w:r>
        <w:rPr>
          <w:rFonts w:ascii="Arial" w:cs="Arial" w:eastAsia="Arial" w:hAnsi="Arial"/>
          <w:sz w:val="18"/>
          <w:szCs w:val="18"/>
          <w:i w:val="1"/>
          <w:iCs w:val="1"/>
          <w:color w:val="auto"/>
        </w:rPr>
        <w:t>Equity</w:t>
      </w:r>
      <w:r>
        <w:rPr>
          <w:rFonts w:ascii="Arial" w:cs="Arial" w:eastAsia="Arial" w:hAnsi="Arial"/>
          <w:sz w:val="18"/>
          <w:szCs w:val="18"/>
          <w:color w:val="auto"/>
        </w:rPr>
        <w:t>.</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the treasury shares are ever reissued in the future, proceeds in excess of repurchased cost will be credited to additional paid-in capital. Any deficiency will be charged to retained earnings (accumulated deficit), unless additional paid-in capital from previous treasury stock transactions exists, in which case the deficiency will be charged to that account, with any excess charged to retained earnings (accumulated deficit). If treasury stock is reissued in the future, a cost flow assumption (e.g., FIFO, LIFO, or specific identification) will be adopted to compute excesses and deficiencies upon subsequent share reissuances.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Standards Not Yet Adopted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 to July 25, 2018, the Company was defined as a non-public entity for purposes of applying transition guidance related to new or revised accounting standards under GAAP, and as such was typically required to adopt new or revised accounting standards subsequent to the required adoption dates that applied to public companies. Subsequent to July 25, 2018, the Company retains EGC status until no later than December 31, 2021. The Company will maintain the election available to an EGC to use any extended transition period applicable to non-public companies when complying with a new or revised accounting standards. Therefore, as long as the Company retains EGC status, before December 31, 2021 the Company can continue to elect to adopt any new or revised accounting standards on the adoption date (including early adoption) required for a private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standards are pending adoption and will likely apply to the Company in future periods based on the Company's current business activities: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(ASC 606, ASU 2014-09)</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since has been codified and amended in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and supplemented with other ASUs. This guidance clarifies the principles for recognizing revenue and will be applicable to all contracts with customers regardless of industry-specific or transaction-specific fact patterns. Further, the guidance will require improved disclosures as well as additional disclosures to help users of financial statements better understand the nature, amount, timing, and uncertainty of revenue that is recognized. Since its original issuance, the FASB has issued several updates to this guidance. Additionally, ASC 340, </w:t>
      </w:r>
      <w:r>
        <w:rPr>
          <w:rFonts w:ascii="Arial" w:cs="Arial" w:eastAsia="Arial" w:hAnsi="Arial"/>
          <w:sz w:val="16"/>
          <w:szCs w:val="16"/>
          <w:i w:val="1"/>
          <w:iCs w:val="1"/>
          <w:color w:val="auto"/>
        </w:rPr>
        <w:t>Other</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Deferred Costs</w:t>
      </w:r>
      <w:r>
        <w:rPr>
          <w:rFonts w:ascii="Arial" w:cs="Arial" w:eastAsia="Arial" w:hAnsi="Arial"/>
          <w:sz w:val="16"/>
          <w:szCs w:val="16"/>
          <w:color w:val="auto"/>
        </w:rPr>
        <w:t>, and ASC 705-20,</w:t>
      </w:r>
      <w:r>
        <w:rPr>
          <w:rFonts w:ascii="Arial" w:cs="Arial" w:eastAsia="Arial" w:hAnsi="Arial"/>
          <w:sz w:val="16"/>
          <w:szCs w:val="16"/>
          <w:i w:val="1"/>
          <w:iCs w:val="1"/>
          <w:color w:val="auto"/>
        </w:rPr>
        <w:t xml:space="preserve"> Cost of Sales and Services — Accounting for Consideration Received from a Vendor</w:t>
      </w:r>
      <w:r>
        <w:rPr>
          <w:rFonts w:ascii="Arial" w:cs="Arial" w:eastAsia="Arial" w:hAnsi="Arial"/>
          <w:sz w:val="16"/>
          <w:szCs w:val="16"/>
          <w:color w:val="auto"/>
        </w:rPr>
        <w:t>, are also effective upon</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of ASC 606; ASC 340 addresses costs related to revenue and ASC 705-20 addresses vendor incentives. The new standards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As an EGC, the standard is effective for the Company's 2019 annual reporting period and for interim periods after 2019. The standard permits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use of either the retrospective or modified retrospective transition method. The Company plans to use the modified retrospective transition method and is currently evaluating the effect that the standard may have on its consolidated financial statements and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(ASC 842)</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February 2016, the FASB issued new lease accounting guidance in ASU No. 2016-02, </w:t>
      </w:r>
      <w:r>
        <w:rPr>
          <w:rFonts w:ascii="Arial" w:cs="Arial" w:eastAsia="Arial" w:hAnsi="Arial"/>
          <w:sz w:val="17"/>
          <w:szCs w:val="17"/>
          <w:i w:val="1"/>
          <w:iCs w:val="1"/>
          <w:color w:val="auto"/>
        </w:rPr>
        <w:t>Leases-Topic 842</w:t>
      </w:r>
      <w:r>
        <w:rPr>
          <w:rFonts w:ascii="Arial" w:cs="Arial" w:eastAsia="Arial" w:hAnsi="Arial"/>
          <w:sz w:val="17"/>
          <w:szCs w:val="17"/>
          <w:color w:val="auto"/>
        </w:rPr>
        <w:t xml:space="preserve">, which has been codified in ASC 842, </w:t>
      </w:r>
      <w:r>
        <w:rPr>
          <w:rFonts w:ascii="Arial" w:cs="Arial" w:eastAsia="Arial" w:hAnsi="Arial"/>
          <w:sz w:val="17"/>
          <w:szCs w:val="17"/>
          <w:i w:val="1"/>
          <w:iCs w:val="1"/>
          <w:color w:val="auto"/>
        </w:rPr>
        <w:t>Leases</w:t>
      </w:r>
      <w:r>
        <w:rPr>
          <w:rFonts w:ascii="Arial" w:cs="Arial" w:eastAsia="Arial" w:hAnsi="Arial"/>
          <w:sz w:val="17"/>
          <w:szCs w:val="17"/>
          <w:color w:val="auto"/>
        </w:rPr>
        <w:t>. Other related ASUs have also been issued that will impact lessors. Under this new guidance, lessees will be required to recognize for all leases (with the exception of short-term leases): 1) a lease liability equal to the lessee's obligation to make lease payments arising from a lease, measured on a discounted basis and 2) a right-of-use asset which will represent the lessee's right to use, or control the use of, a specified asset for the lease term. As an EGC, this standard is effective for the Company's annual reporting period beginning in 2021 and interim reporting periods beginning first quarter of 2022. The adoption of ASC 842 will require the Company to recognize non-current assets and liabilities for right-of-use assets and operating lease liabilities on its consolidated balance sheet, but it is not expected to have a material effect on the Company's results of operations or cash flows. ASC 842 will also require additional footnote disclosures to the Company's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 (ASU 2016-13 and ASU 2019-05)</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later codified as ASC 326</w:t>
      </w:r>
      <w:r>
        <w:rPr>
          <w:rFonts w:ascii="Arial" w:cs="Arial" w:eastAsia="Arial" w:hAnsi="Arial"/>
          <w:sz w:val="16"/>
          <w:szCs w:val="16"/>
          <w:i w:val="1"/>
          <w:iCs w:val="1"/>
          <w:color w:val="auto"/>
        </w:rPr>
        <w:t>, Financial Instruments-Credit Losses</w:t>
      </w:r>
      <w:r>
        <w:rPr>
          <w:rFonts w:ascii="Arial" w:cs="Arial" w:eastAsia="Arial" w:hAnsi="Arial"/>
          <w:sz w:val="16"/>
          <w:szCs w:val="16"/>
          <w:color w:val="auto"/>
        </w:rPr>
        <w:t xml:space="preserve">. This new guidance will change how entities account for credit impairment for trade and other receivables, as well as for certain financial assets and other instruments. ASU 2016-13 will replace the current "incurred loss" model with an "expected loss" model. Under the "incurred loss" model, a loss (or allowance) is recognized only when an event has occurred (such as a payment delinquency) that causes the entity to believe that a loss is probable (i.e., that it has been "incurred"). Under the "expected loss" model, a loss (or allowance) is recognized upon initial recognition of the asset that reflects all future events that leads to a loss being realized, regardless of whether it is probable that the future event will occur. The "incurred loss" model considers past events and current conditions, while the "expected loss" model includes expectations for the future which have yet to occur. ASU 2018-19,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was issued in November 2018 and excludes operating leases from the new guidance. The standard will require entities to record a cumulative-effect adjustment to the balance sheet as of the beginning of the first reporting period in which the guidance is effective. The Company is currently evaluating the potential impact that ASU 2016-13 may have on the timing of recognizing future provisions for expected losses on the Company's accounts receivable. Based on recent actions by the FASB, this new standard will be effective for the Company at the beginning of 2023 as long as the Company is still a Smaller Reporting Company (as defined by the SEC) on the date that the FASB issues its ASU (expected before the end of 2019) to formally extend the adoption date for this standard.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 (ASU 2016-15)</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This ASU represents a consensus of the FASB's Emerging Issues Task Force on eight separate issues that each impact classifications on the statement of cash flows. In particular, issue number three addresses the classification of contingent consideration payments made after a business combination. Under ASU 2016-15, cash payments made soon after an acquisition's consummation date (i.e., approximately three months or less) will be classified as cash outflows from investing activities. Payments made thereafter will be classified as cash outflows from financing activities up to the amount of the original contingent consideration liability. Payments made in excess of the amount of the original contingent consideration liability will be classified as cash outflows from operating activities. As an EGC, this ASU is effective for the Company for years beginning in 2019 and interim periods within years beginning in 2020. The Company is evaluating the effect this ASU will have on its consolidated statement of cash flows.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Testing (ASU 2017-04)</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ASU 2017-04 will eliminate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Any impairment charge will be limited to the amount of goodwill allocated to an impacted reporting unit. ASU 2017-04 will not change the current guidance for completing Step 1 of the goodwill impairment test, and an entity will still be able to perform the current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optional qualitative goodwill impairment assessment before determining whether to proceed to Step 1. Upon adoption, the ASU will be applied prospectively. As an EGC, this ASU will be effective for annual and interim impairment tests performed in periods beginning in 2022. The impact that ASU 2017-04 may have on the Company's financial condition or results of operations will depend on the circumstances of any goodwill impairment event that may occur after adoption.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 to Non-Employees (ASU 2018-07)</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Share-based Payments to Non-Employees</w:t>
      </w:r>
      <w:r>
        <w:rPr>
          <w:rFonts w:ascii="Arial" w:cs="Arial" w:eastAsia="Arial" w:hAnsi="Arial"/>
          <w:sz w:val="17"/>
          <w:szCs w:val="17"/>
          <w:color w:val="auto"/>
        </w:rPr>
        <w:t xml:space="preserve">, to simplify the accounting for share-based payments to non-employees by aligning it with the accounting for share-based payments to employees, with certain exceptions. As an EGC, the ASU is effective for annual reporting periods beginning in 2020 and interim periods within annual periods beginning in the first quarter of 2021, but not before the Company adopts ASC 606, </w:t>
      </w:r>
      <w:r>
        <w:rPr>
          <w:rFonts w:ascii="Arial" w:cs="Arial" w:eastAsia="Arial" w:hAnsi="Arial"/>
          <w:sz w:val="17"/>
          <w:szCs w:val="17"/>
          <w:i w:val="1"/>
          <w:iCs w:val="1"/>
          <w:color w:val="auto"/>
        </w:rPr>
        <w:t>Revenue Recognition</w:t>
      </w:r>
      <w:r>
        <w:rPr>
          <w:rFonts w:ascii="Arial" w:cs="Arial" w:eastAsia="Arial" w:hAnsi="Arial"/>
          <w:sz w:val="17"/>
          <w:szCs w:val="17"/>
          <w:color w:val="auto"/>
        </w:rPr>
        <w:t>. The Company is evaluating the impact this ASU will have on its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Disclosures for Fair Value Measurements (ASU 2018-13)</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 Changes to the Disclosure Requirements for</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This ASU eliminates, adds and modifies certain disclosure requirements for fair value measurements as part of the FASB's</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framework project. For all entities, this ASU is effective for annual and interim reporting periods beginning in 2020. Certain amendments must be applied prospectively while others are to be applied on a retrospective basis to all periods presented. As disclosure guidance, the adoption of this ASU will not have an effect on the Company's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 Incurred in Cloud Computing Arrangements (ASU 2018-15)</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Implementation Costs Incurred in Cloud Computing Arrangements</w:t>
      </w:r>
      <w:r>
        <w:rPr>
          <w:rFonts w:ascii="Arial" w:cs="Arial" w:eastAsia="Arial" w:hAnsi="Arial"/>
          <w:sz w:val="18"/>
          <w:szCs w:val="18"/>
          <w:color w:val="auto"/>
        </w:rPr>
        <w:t xml:space="preserve"> ("ASU 2018-15"),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As an EGC, this ASU is effective for the Company for annual reporting periods beginning in 2021, and interim periods within annual periods beginning in 2022. The amendments should be applied either retrospectively or prospectively to all implementation costs incurred after the date of adoption. The Company is evaluating the impact this ASU will have on its consolidated financial statements.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revenue is substantially derived from processing Visa® and MasterCard® bank card transactions. Because the Company is not a member bank, in order to process these bank card transactions, the Company maintains sponsorship agreements with member banks which require, among other things, that the Company abide by the by-laws and regulations of the card associations.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Company's revenue and receivables are attributable to merchant customer transactions, which are processed by third-party payment processors.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one merchant customer accounted for 10% or more of the Company's consolidated revenue for any period presented.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760" w:firstLine="8"/>
        <w:spacing w:after="0" w:line="644" w:lineRule="auto"/>
        <w:tabs>
          <w:tab w:leader="none" w:pos="30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CONTRIBUTIONS OF ASSETS YapStone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March 2019, the Company, through one of its subsidiaries, Priority Real Estate Technology, LLC ("PRET"), acquired certain assets and assumed certain related liabilities (the "YapStone net assets") from YapStone under an asset purchase and contribution agreement. The purchase price for the YapStone net assets was $65.0 million in cash plus a non-controlling interest in PRET. The fair value of the non-controlling interest was estimated to be approximately $5.7 million. The total purchase price was assigned to customer relationships, except for $1.0 million and $1.2 million which were assigned to a software license agreement and a services agreement, respectively. The $65.0 million of cash was funded from a draw down of the credit facilities (the "Senior Credit Facility") under a senior credit agreement with a syndicate of lenders (the "Senior Credit Agreement") on a delayed basis as provided for and pursuant to the third amendment thereto executed in December 2018. See Note 7, </w:t>
      </w:r>
      <w:r>
        <w:rPr>
          <w:rFonts w:ascii="Arial" w:cs="Arial" w:eastAsia="Arial" w:hAnsi="Arial"/>
          <w:sz w:val="17"/>
          <w:szCs w:val="17"/>
          <w:i w:val="1"/>
          <w:iCs w:val="1"/>
          <w:color w:val="auto"/>
        </w:rPr>
        <w:t>Long-Term Debt</w:t>
      </w:r>
      <w:r>
        <w:rPr>
          <w:rFonts w:ascii="Arial" w:cs="Arial" w:eastAsia="Arial" w:hAnsi="Arial"/>
          <w:sz w:val="17"/>
          <w:szCs w:val="17"/>
          <w:color w:val="auto"/>
        </w:rPr>
        <w: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and nine months ended September 30, 2019, no earnings of PRET were allocated to the non-controlling interest pursuant to the profit-sharing agreement between the Company and the non-controlling interest.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eTab and Cumulus (Related Party)</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February 2019, a subsidiary of the Company, Priority Hospitality Technology, LLC ("PHOT"), received a contribution of substantially all of the operating assets of eTab, LLC ("eTab") and CUMULUS POS, LLC ("Cumulus") under asset contribution agreements. No material liabilities were assumed by PHOT. These contributed assets were composed substantially of technology-related assets. Prior to these transactions, eTab was 80% owned by the Company's Chairman and Chief Executive Officer. No cash consideration was paid to the contributors of the eTab or Cumulus assets on the date of the transactions. As consideration for these contributed assets, the contributors were issued redeemable preferred equity interests in PHOT. Under these redeemable preferred equity interests, the contributors are eligible to receive up to $4.5 million of profits earned by PHOT, plus a preferred yield (6% per annum) on any of the $4.5 million amount that has not been distributed to them. The Company's Chairman and Chief Executive Officer owns 83.3% of the redeemable preferred equity interests in PHOT. Once a total of $4.5 million plus the preferred yield has been distributed to the holders of the redeemable preferred equity interests, the redeemable preferred equity interests will cease to exist. The Company determined that the contributor's carrying value of the eTab net assets (as a common control transaction under GAAP) was not material. Under the guidance for a common control transaction, the contribution of the eTab net assets did not result in a change of entity or the receipt of a business, therefore the Company's financial statements for prior periods have not been adjusted to reflect the historical results attributable to the eTab net assets. Additionally, no material amount was estimated for the fair value of the contributed Cumulus net assets.</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the limited liability company agreement of PHOT, any material future earnings generated by the eTab and Cumulus assets that are attributable to the holders of the preferred equity interests will be reported by the Company as a form of non-controlling interests ("NCI") classified as mezzanine equity on the Company's consolidated balance sheet until $4.5 million and the preferred yield have been distributed to the holders of the preferred equity interests. Subsequent changes, if material, in the value of the NCI will be reported as an equity transaction between the Company's consolidated retained earnings (accumulated deficit) and any carrying value of the NCI in mezzanine equity. Such amounts were not material to the Company's results of operations, financial position, or cash flows for the period covering February 1, 2019 (date the assets were contributed to the Company) and September 30, 2019, and therefore no recognition of the NCI has been reflected in the Company's unaudited condensed consolidated financial statements and accompanying footnotes.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Residual Portfolio Acquisition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March 15, 2019, a subsidiary of the Company paid $15.2 million cash to acquire certain residual portfolio rights. Of the $15.2 million, $5.0 million was funded from a delayed draw down of the Senior Credit Facility as provided for and pursuant to the third amendment thereto executed in December 2018. See Note 7, </w:t>
      </w:r>
      <w:r>
        <w:rPr>
          <w:rFonts w:ascii="Arial" w:cs="Arial" w:eastAsia="Arial" w:hAnsi="Arial"/>
          <w:sz w:val="17"/>
          <w:szCs w:val="17"/>
          <w:i w:val="1"/>
          <w:iCs w:val="1"/>
          <w:color w:val="auto"/>
        </w:rPr>
        <w:t>Long-Term Debt</w:t>
      </w:r>
      <w:r>
        <w:rPr>
          <w:rFonts w:ascii="Arial" w:cs="Arial" w:eastAsia="Arial" w:hAnsi="Arial"/>
          <w:sz w:val="17"/>
          <w:szCs w:val="17"/>
          <w:color w:val="auto"/>
        </w:rPr>
        <w:t>. Additionally, a $10.0 million draw was made against the revolving credit facility under the Senior Credit Facility and cash on hand was used to fund the remaining amount. The purchase price may be subject to an increase of up to $6.4 million in accordance with the terms of the agreement between the Company and the sellers. Through September 30, 2019, no additional purchase price has been paid. Additional purchase price, if any, will be accounted for when payment to the seller becomes probable and it will be added to the carrying value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SETTLEMENT ASSETS AND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standards of the card networks restrict non-members, such as the Company, from performing funds settlement or accessing merchant settlement funds. Instead, these funds must be in the possession of the member bank until the merchant is funded. The Company has relationships with member banks to facilitate payment transactions. These agreements allow the Company to route transactions under a member bank's control to process and clear transactions through card networks. Amounts for payment card settlements included in settlement assets and obligations on the Company's consolidated balance sheets represent intermediary balances arising in the settlement process.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Held For ACH Customers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Company's ACH business component that conducts business as ACH.com, the Company earns revenue by processing ACH transactions for financial institutions and other business customers. Certain customers establish and maintain reserves with the Company to cover potential losses in processing ACH transactions. These reserves are held in bank accounts controlled by the Company. As such, the Company recognizes the cash balances within restricted cash and settlement obligations on its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Reserves and Estimated Shortfalls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agreements between the Company and merchants, merchants assume liability for obligations such as chargebacks, customer disputes, and unfilled orders. However, under its risk-based underwriting policy, the Company may require certain merchants to establish and maintain reserves designed to protect the Company from anticipated obligations such as chargebacks, customer disputes, and unfilled orders. A merchant reserve account is funded by the merchant and held by a sponsor bank during the term of the merchant agreement. Unused merchant reserves are returned to the merchant after termination of the merchant agreement or in certain instances upon a reassessment of risks during the term of the merchant agreement. Sponsor banks held merchant reserves of approximately $135.8 million and $186.2 million at September 30, 2019 and December 31, 2018, respectively. Since these merchant reserves held at sponsor banks are not assets of the Company and the associated risks are not liabilities of the Company, neither is recognized on the Company's consolidated balance sheets.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event the amount in a merchant reserve is insufficient to cover expected or incurred losses, the Company may be liable to cover the shortfall. The Company recognized a liability for estimated shortfalls of approximately $3.2 million and $2.0 million at September 30, 2019 and December 31, 2018, respectively. The liabilities are included in the Company's consolidated balance sheet as contra balances against settlement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settlement assets and obligations at September 30, 2019 and December 31, 2018 were as follows: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shd w:val="clear" w:color="auto" w:fill="CCEEFF"/>
          </w:tcPr>
          <w:p>
            <w:pPr>
              <w:spacing w:after="0"/>
              <w:rPr>
                <w:sz w:val="22"/>
                <w:szCs w:val="22"/>
                <w:color w:val="auto"/>
              </w:rPr>
            </w:pPr>
          </w:p>
        </w:tc>
        <w:tc>
          <w:tcPr>
            <w:tcW w:w="2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As of</w:t>
            </w:r>
          </w:p>
        </w:tc>
        <w:tc>
          <w:tcPr>
            <w:tcW w:w="1820" w:type="dxa"/>
            <w:vAlign w:val="bottom"/>
            <w:tcBorders>
              <w:bottom w:val="single" w:sz="8" w:color="auto"/>
            </w:tcBorders>
            <w:shd w:val="clear" w:color="auto" w:fill="CCEEFF"/>
          </w:tcPr>
          <w:p>
            <w:pPr>
              <w:spacing w:after="0"/>
              <w:rPr>
                <w:sz w:val="22"/>
                <w:szCs w:val="22"/>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Settlement Assets:</w:t>
            </w:r>
          </w:p>
        </w:tc>
        <w:tc>
          <w:tcPr>
            <w:tcW w:w="200" w:type="dxa"/>
            <w:vAlign w:val="bottom"/>
          </w:tcPr>
          <w:p>
            <w:pPr>
              <w:spacing w:after="0"/>
              <w:rPr>
                <w:sz w:val="21"/>
                <w:szCs w:val="21"/>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1"/>
                <w:szCs w:val="21"/>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 2018</w:t>
            </w:r>
          </w:p>
        </w:tc>
      </w:tr>
      <w:tr>
        <w:trPr>
          <w:trHeight w:val="27"/>
        </w:trPr>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 settlements due from merchants, net of estimated losses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w:t>
            </w: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Card settlements due from processors</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settlement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1,042</w:t>
            </w: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71"/>
        </w:trPr>
        <w:tc>
          <w:tcPr>
            <w:tcW w:w="6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spacing w:after="0"/>
              <w:rPr>
                <w:sz w:val="23"/>
                <w:szCs w:val="23"/>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Settlement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180"/>
              <w:spacing w:after="0"/>
              <w:rPr>
                <w:sz w:val="20"/>
                <w:szCs w:val="20"/>
                <w:color w:val="auto"/>
              </w:rPr>
            </w:pPr>
            <w:r>
              <w:rPr>
                <w:rFonts w:ascii="Arial" w:cs="Arial" w:eastAsia="Arial" w:hAnsi="Arial"/>
                <w:sz w:val="18"/>
                <w:szCs w:val="18"/>
                <w:color w:val="auto"/>
              </w:rPr>
              <w:t>Card settlements due to merchants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2,915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777</w:t>
            </w:r>
          </w:p>
        </w:tc>
      </w:tr>
      <w:tr>
        <w:trPr>
          <w:trHeight w:val="27"/>
        </w:trPr>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Due to ACH payees (1)</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10,355</w:t>
            </w: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b w:val="1"/>
                <w:bCs w:val="1"/>
                <w:color w:val="auto"/>
              </w:rPr>
              <w:t>Total Settlement Obligations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17,542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11,132</w:t>
            </w:r>
          </w:p>
        </w:tc>
      </w:tr>
      <w:tr>
        <w:trPr>
          <w:trHeight w:val="20"/>
        </w:trPr>
        <w:tc>
          <w:tcPr>
            <w:tcW w:w="6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due to ACH payees are held by the Company in restricted cash.</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5620" w:hanging="101"/>
        <w:spacing w:after="0"/>
        <w:tabs>
          <w:tab w:leader="none" w:pos="5620" w:val="left"/>
        </w:tabs>
        <w:numPr>
          <w:ilvl w:val="1"/>
          <w:numId w:val="6"/>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goodwill when an acquisition is made and the purchase price is greater than the fair value assigned to the underlying tangible and intangible assets acquired and the liabilities assumed. The Company's goodwill was allocated to reportable segments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shd w:val="clear" w:color="auto" w:fill="CCEEFF"/>
          </w:tcPr>
          <w:p>
            <w:pPr>
              <w:spacing w:after="0"/>
              <w:rPr>
                <w:sz w:val="22"/>
                <w:szCs w:val="22"/>
                <w:color w:val="auto"/>
              </w:rPr>
            </w:pPr>
          </w:p>
        </w:tc>
        <w:tc>
          <w:tcPr>
            <w:tcW w:w="19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shd w:val="clear" w:color="auto" w:fill="CCEEFF"/>
          </w:tcPr>
          <w:p>
            <w:pPr>
              <w:spacing w:after="0"/>
              <w:rPr>
                <w:sz w:val="22"/>
                <w:szCs w:val="22"/>
                <w:color w:val="auto"/>
              </w:rPr>
            </w:pP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Consumer Payments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106,832</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106,832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Payments</w:t>
            </w:r>
          </w:p>
        </w:tc>
        <w:tc>
          <w:tcPr>
            <w:tcW w:w="2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Integrated Partners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2,683</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7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109,515</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in the carrying amount of goodwill for the quarter and nine months ended September 30,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intangible assets primarily include merchant portfolios and other intangible assets such as non-compete agreements, trade names, acquired technology (developed internally by acquired companies prior to acquisition by the Company) and customer relationships. As of September 30, 2019 and December 31, 2018, intangible assets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Merchant portfolios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155,287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137,576</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Non-compete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2,870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2,870</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Acquired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14,390</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124,660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55,940</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Total gross carrying value</w:t>
            </w: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301,597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214,166</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Merchant portfolios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(48,492)</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(3,390)</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Trade names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Acquired technology</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(10,222)</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(26,408)</w:t>
            </w:r>
          </w:p>
        </w:tc>
      </w:tr>
      <w:tr>
        <w:trPr>
          <w:trHeight w:val="237"/>
        </w:trPr>
        <w:tc>
          <w:tcPr>
            <w:tcW w:w="7200" w:type="dxa"/>
            <w:vAlign w:val="bottom"/>
          </w:tcPr>
          <w:p>
            <w:pPr>
              <w:ind w:left="820"/>
              <w:spacing w:after="0"/>
              <w:rPr>
                <w:sz w:val="20"/>
                <w:szCs w:val="20"/>
                <w:color w:val="auto"/>
              </w:rPr>
            </w:pPr>
            <w:r>
              <w:rPr>
                <w:rFonts w:ascii="Arial" w:cs="Arial" w:eastAsia="Arial" w:hAnsi="Arial"/>
                <w:sz w:val="18"/>
                <w:szCs w:val="18"/>
                <w:color w:val="auto"/>
              </w:rPr>
              <w:t>Total accumulated amortization</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(89,529)</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156"/>
        </w:trPr>
        <w:tc>
          <w:tcPr>
            <w:tcW w:w="7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64"/>
        </w:trPr>
        <w:tc>
          <w:tcPr>
            <w:tcW w:w="72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Net carrying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188,056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124,637</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Acquisitions and Contributions of Assets</w:t>
      </w:r>
      <w:r>
        <w:rPr>
          <w:rFonts w:ascii="Arial" w:cs="Arial" w:eastAsia="Arial" w:hAnsi="Arial"/>
          <w:sz w:val="18"/>
          <w:szCs w:val="18"/>
          <w:color w:val="auto"/>
        </w:rPr>
        <w:t>, for information about certain additions made during the first nine months of 2019.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finite-lived intangible assets was approximately $8.4 million and $24.0 million for the quarter and nine months ended September 30, 2019, respectively, and $3.8 million and $9.3 million for the quarter and nine months ended September 30, 2018, respectively. Amortization expense for future periods could differ due to new intangible asset acquisitions, changes in useful lives of existing intangible assets, and other relevant events or circumstances.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tests goodwill for impairment for each of its reporting units on an annual basis, or when events occur or circumstances indicate the fair value of a reporting unit is below its carrying value. The Company expects to perform its next annual goodwill impairment test as of November 30, 2019 using market data and discounted cash flow analysis. The Company concluded there were no indicators of impairment as of September 30, 2019 or December 31, 2018. As such, there was no accumulated impairment loss as of September 30, 2019 and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PROPERTY, EQUIPMENT AND SOFTWARE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September 30, 2019 and December 31, 2018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Equipment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10,287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8,164</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7"/>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software</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6,105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5,935</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5-10 years</w:t>
            </w: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44,157</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(31,421)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(26,675)</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21,396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17,482</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Depreciation expense for property, equipment, and software expense totaled $1.7 million and $1.1 million for the quarter ended September 30, 2019 and September 30, 2018, respectively, and $4.7 million and $3.4 million for the nine months ended September 30, 2019 and September 30, 2018, respectively.</w:t>
      </w:r>
    </w:p>
    <w:p>
      <w:pPr>
        <w:spacing w:after="0" w:line="200" w:lineRule="exact"/>
        <w:rPr>
          <w:sz w:val="20"/>
          <w:szCs w:val="20"/>
          <w:color w:val="auto"/>
        </w:rPr>
      </w:pPr>
    </w:p>
    <w:p>
      <w:pPr>
        <w:spacing w:after="0" w:line="35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ACCOUNTS PAYABLE AND ACCRUED EXPENSES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accrues for certain expenses that have been incurred and not paid, which are classified within accounts payable and accrued expenses in the accompanying consolidated balance sheets.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components of accounts payable and accrued expenses that exceeded five percent of total current liabilities at either September 30, 2019 or December 31, 2018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3,423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6,193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network fees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9,301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6,971</w:t>
            </w:r>
          </w:p>
        </w:tc>
      </w:tr>
      <w:tr>
        <w:trPr>
          <w:trHeight w:val="27"/>
        </w:trPr>
        <w:tc>
          <w:tcPr>
            <w:tcW w:w="7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LONG-TERM DEBT</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Long-term debt, excluding amounts outstanding on the revolving credit facility, as of September 30, 2019 and December 31, 2018 consisted of the following: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125"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8"/>
                <w:szCs w:val="18"/>
                <w:i w:val="1"/>
                <w:iCs w:val="1"/>
                <w:color w:val="auto"/>
              </w:rPr>
              <w:t>(in thousands)</w:t>
            </w:r>
          </w:p>
        </w:tc>
        <w:tc>
          <w:tcPr>
            <w:tcW w:w="5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2019</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2018</w:t>
            </w:r>
          </w:p>
        </w:tc>
      </w:tr>
      <w:tr>
        <w:trPr>
          <w:trHeight w:val="27"/>
        </w:trPr>
        <w:tc>
          <w:tcPr>
            <w:tcW w:w="128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9"/>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0"/>
              </w:rPr>
              <w:t>Term Loan - Senior, matures January 3, 2023 and bears interest at LIBOR plus 5.0% at September</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16"/>
        </w:trPr>
        <w:tc>
          <w:tcPr>
            <w:tcW w:w="7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30, 2019 and December 31, 2018 (rate of 7.12% at September 30, 2019 and 7.53% at December</w:t>
            </w: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r>
      <w:tr>
        <w:trPr>
          <w:trHeight w:val="237"/>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31, 2018)</w:t>
            </w:r>
          </w:p>
        </w:tc>
        <w:tc>
          <w:tcPr>
            <w:tcW w:w="5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389,839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322,666</w:t>
            </w:r>
          </w:p>
        </w:tc>
      </w:tr>
      <w:tr>
        <w:trPr>
          <w:trHeight w:val="229"/>
        </w:trPr>
        <w:tc>
          <w:tcPr>
            <w:tcW w:w="7200" w:type="dxa"/>
            <w:vAlign w:val="bottom"/>
            <w:gridSpan w:val="2"/>
          </w:tcPr>
          <w:p>
            <w:pPr>
              <w:ind w:left="40"/>
              <w:spacing w:after="0"/>
              <w:rPr>
                <w:sz w:val="20"/>
                <w:szCs w:val="20"/>
                <w:color w:val="auto"/>
              </w:rPr>
            </w:pPr>
            <w:r>
              <w:rPr>
                <w:rFonts w:ascii="Arial" w:cs="Arial" w:eastAsia="Arial" w:hAnsi="Arial"/>
                <w:sz w:val="18"/>
                <w:szCs w:val="18"/>
                <w:color w:val="auto"/>
                <w:w w:val="92"/>
              </w:rPr>
              <w:t>Term Loan - Subordinated, matures July 3, 2023 and bears interest at 5.0% plus payment-in-kind</w:t>
            </w: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30"/>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interest (rate of 10.5% at September 30, 2019 and December 31, 2018)</w:t>
            </w:r>
          </w:p>
        </w:tc>
        <w:tc>
          <w:tcPr>
            <w:tcW w:w="200" w:type="dxa"/>
            <w:vAlign w:val="bottom"/>
          </w:tcPr>
          <w:p>
            <w:pPr>
              <w:spacing w:after="0"/>
              <w:rPr>
                <w:sz w:val="20"/>
                <w:szCs w:val="20"/>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93,823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90,016</w:t>
            </w:r>
          </w:p>
        </w:tc>
      </w:tr>
      <w:tr>
        <w:trPr>
          <w:trHeight w:val="27"/>
        </w:trPr>
        <w:tc>
          <w:tcPr>
            <w:tcW w:w="128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483,662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412,682</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Less: current portion of long-term debt</w:t>
            </w: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w:t>
            </w:r>
          </w:p>
        </w:tc>
      </w:tr>
      <w:tr>
        <w:trPr>
          <w:trHeight w:val="27"/>
        </w:trPr>
        <w:tc>
          <w:tcPr>
            <w:tcW w:w="12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Less: deferred financing costs</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(3,994)</w:t>
            </w:r>
          </w:p>
        </w:tc>
      </w:tr>
      <w:tr>
        <w:trPr>
          <w:trHeight w:val="27"/>
        </w:trPr>
        <w:tc>
          <w:tcPr>
            <w:tcW w:w="128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Total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473,344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402,095</w:t>
            </w:r>
          </w:p>
        </w:tc>
      </w:tr>
      <w:tr>
        <w:trPr>
          <w:trHeight w:val="20"/>
        </w:trPr>
        <w:tc>
          <w:tcPr>
            <w:tcW w:w="12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Substantially all of the Company's assets are pledged as collateral under the Senior Credit Agreement and under a credit and guaranty agreement with Goldman Sachs Specialty Lending Group, L.P. (the "GS Credit Agreement"). However, the Company, as the parent entity, is neither a borrower nor a guarantor of this aforementioned debt. The Company's subsidiaries that are borrowers or guarantors are referred to as the "Borrowers."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December 2018 modification of the Senior Credit Agreement and the GS Credit Agreement (collectively, the "Third Amendment") included a delayed draw basis amount of $70.0 million. Until the additional $70.0 million, net of a $350,000 discount, was drawn in March 2019, the Borrowers were assessed a fee on the undrawn amounts. This fee amounted to $0.4 million in the first quarter and first nine months of 2019.</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September 30, 2019, the Senior Credit Agreement has a maximum borrowing amount of $422.5 million consisting of a $397.5 million term loan and a $25.0 million revolving credit facility. The allowed borrowings amount under the GS Credit Agreement is $80.0 million, excluding payment-in-kind interest.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Credit Facility mature on January 3, 2023, with the exception of the revolving credit facility which expires on January 2, 2022. Any amounts outstanding under the revolving credit facility must be paid in full before the maturity date of January 2, 2022. The GS Credit Agreement matures on July 3, 2023.</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2019, there was $11.5 million outstanding on the revolving credit facility; no amount was outstanding as of December 31, 2018. As of September 30, 2019, approximately $13.5 million is available under the revolving credit facility. The variable interest rate on the revolving credit facility was 7.12% at September 30, 2019. Undrawn commitment for a letter of credit under the revolving credit facility was approximately $0.1 million.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Third Amendment, borrowings under the Senior Credit Agreement are subject to an applicable margin, or percentage per annum, equal to:</w:t>
      </w:r>
    </w:p>
    <w:p>
      <w:pPr>
        <w:spacing w:after="0" w:line="46" w:lineRule="exact"/>
        <w:rPr>
          <w:sz w:val="20"/>
          <w:szCs w:val="20"/>
          <w:color w:val="auto"/>
        </w:rPr>
      </w:pPr>
    </w:p>
    <w:p>
      <w:pPr>
        <w:jc w:val="both"/>
        <w:ind w:firstLine="8"/>
        <w:spacing w:after="0" w:line="255" w:lineRule="auto"/>
        <w:tabs>
          <w:tab w:leader="none" w:pos="223"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Initial Term Loans, (a) for LIBOR Rate Loans, 5.00% per annum and (b) for Base Rate Loans, 4.00% per annum; and (ii) with respect to Revolving Loans (a) for LIBOR Rate Loans and Letter of Credit fees, 5.00% per annum, (b) for Base Rate Loans, 4.00% per annum, and (c) for unused commitment fees, 0.50% per annum.</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Senior Credit Agreement, the Borrowers are required to make quarterly principal payments of approximately $1.0 million. Additionally, the Borrowers may be obligated to make certain additional mandatory prepayments based on excess cash flow, as defined in the Senior Credit Agreement. No such prepayment was due for the year ended December 31, 2018.</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Contractual principal payments for long-term debt, excluding amounts outstanding on the revolving credit agreement, due after September 30, 2019 are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255270</wp:posOffset>
            </wp:positionV>
            <wp:extent cx="393636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36365" cy="171450"/>
                    </a:xfrm>
                    <a:prstGeom prst="rect">
                      <a:avLst/>
                    </a:prstGeom>
                    <a:noFill/>
                  </pic:spPr>
                </pic:pic>
              </a:graphicData>
            </a:graphic>
          </wp:anchor>
        </w:drawing>
      </w:r>
    </w:p>
    <w:p>
      <w:pPr>
        <w:spacing w:after="0" w:line="394" w:lineRule="exact"/>
        <w:rPr>
          <w:sz w:val="20"/>
          <w:szCs w:val="20"/>
          <w:color w:val="auto"/>
        </w:rPr>
      </w:pPr>
    </w:p>
    <w:p>
      <w:pPr>
        <w:ind w:left="264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tbl>
      <w:tblPr>
        <w:tblLayout w:type="fixed"/>
        <w:tblInd w:w="2620" w:type="dxa"/>
        <w:tblCellMar>
          <w:top w:w="0" w:type="dxa"/>
          <w:left w:w="0" w:type="dxa"/>
          <w:bottom w:w="0" w:type="dxa"/>
          <w:right w:w="0" w:type="dxa"/>
        </w:tblCellMar>
      </w:tblPr>
      <w:tr>
        <w:trPr>
          <w:trHeight w:val="234"/>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Twelve-month period ending September 30,</w:t>
            </w:r>
          </w:p>
        </w:tc>
        <w:tc>
          <w:tcPr>
            <w:tcW w:w="20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Principal Due</w:t>
            </w:r>
          </w:p>
        </w:tc>
      </w:tr>
      <w:tr>
        <w:trPr>
          <w:trHeight w:val="27"/>
        </w:trPr>
        <w:tc>
          <w:tcPr>
            <w:tcW w:w="4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3"/>
        </w:trPr>
        <w:tc>
          <w:tcPr>
            <w:tcW w:w="4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4,007</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4,007</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471,641</w:t>
            </w:r>
          </w:p>
        </w:tc>
      </w:tr>
      <w:tr>
        <w:trPr>
          <w:trHeight w:val="25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483,662</w:t>
            </w:r>
          </w:p>
        </w:tc>
      </w:tr>
      <w:tr>
        <w:trPr>
          <w:trHeight w:val="20"/>
        </w:trPr>
        <w:tc>
          <w:tcPr>
            <w:tcW w:w="4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2019 and September 30, 2018, payment-in-kind (PIK) interest under the GS Credit Agreement added $3.8 million and $3.6 million, respectively, to the principal amount of the subordinated debt.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quarters ended September 30, 2019 and September 30, 2018, interest expense, including amortization of deferred financing costs and debt discounts, was $10.5 million and $7.3 million, respectively, and these amounts for the nine months ended September 30, 2019 and September 30, 2018, were $30.6 million and $21.9 million,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financing costs and debt discounts are being amortized using the effective interest method over the remaining term of the respective debt and are recorded as a component of interest expense. Interest expense related to amortization of deferred finance costs and debt discounts was approximately $0.4 million and $0.4 million for the quarters ended September 30, 2019 and September 30, 2018, respectively, and $1.3 million and $1.1 million for the nine months ended September 30, 2019 and September 30, 2018,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Senior Credit Agreement and the GS Credit Agreement, as amended, contain representations and warranties, financial and collateral requirements, mandatory payment events, events of default, and affirmative and negative covenants, including without limitation, covenants that restrict among other things, the ability to create liens, pay dividends or distribute assets from the Company's subsidiaries to the Company, merge or consolidate, dispose of assets, incur additional indebtedness, make certain investments or acquisitions, enter into certain transactions (including with affiliates), and to enter into certain leases. Substantially all of the Borrowers' assets are pledged as collateral under the Senior Credit Agreement and GS Credit Agreement. The Borrowers are also required to comply with certain restrictions on their Total Net Leverage Ratio (as defined in the Senior Credit Agreement and GS Credit Agreement). As of September 30, 2019 and December 31, 2018, the Borrowers were in compliance with the covenants.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Borrowers are currently pursuing a refinancing of the Senior Credit Agreement and the GS Credit Agreement, which the Company expects to be completed during the fourth quarter of 2019. Based upon the current financial forecast for the fourth quarter of 2019, without a refinancing or modification of existing terms within the credit agreements, it is probable that compliance will not be achieved for the required Total Net Leverage Ratio covenant of no more than 5.25:1.00 at December 31, 2019. Noncompliance could have materially adverse impacts on the Company's financial condition, including giving the lenders the right to accelerate the debt repayment schedule and restricting access to the revolving credit facility. Based upon the progress of the refinancing efforts, the credit agreements are expected to be refinanced, and the Company expects to be in compliance with the debt covenants included therein at December 31, 2019.</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July 25, 2018, substantially all of the Company's operations were conducted through pass-through entities for income tax purposes, and as such the Company had no material income tax accounting reflected in its financial statements for financial reporting purposes since substantially all taxable income and deductions were "passed through" to unconsolidated owners. Effective July 25, 2018, the Company is a "C Corp" and reports its income and deductions for income tax purposes. Accordingly, effective July 25, 2018, the consolidated financial statements of the Company reflect the accounting for income taxes in accordance with</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ASC 740, Income Taxes. The Company's unaudited condensed consolidated financial statements for the quarter and nine months ended September 30, 2018 reflect unaudited pro-forma income tax disclosure amounts to illustrate the income tax effects had the Company been subject to federal and state income taxes.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provision (benefit) for federal and state income taxes were as follows:</w:t>
      </w:r>
    </w:p>
    <w:p>
      <w:pPr>
        <w:spacing w:after="0" w:line="375" w:lineRule="exact"/>
        <w:rPr>
          <w:sz w:val="20"/>
          <w:szCs w:val="20"/>
          <w:color w:val="auto"/>
        </w:rPr>
      </w:pPr>
    </w:p>
    <w:tbl>
      <w:tblPr>
        <w:tblLayout w:type="fixed"/>
        <w:tblInd w:w="560" w:type="dxa"/>
        <w:tblCellMar>
          <w:top w:w="0" w:type="dxa"/>
          <w:left w:w="0" w:type="dxa"/>
          <w:bottom w:w="0" w:type="dxa"/>
          <w:right w:w="0" w:type="dxa"/>
        </w:tblCellMar>
      </w:tblP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shd w:val="clear" w:color="auto" w:fill="CCEEFF"/>
          </w:tcPr>
          <w:p>
            <w:pPr>
              <w:spacing w:after="0"/>
              <w:rPr>
                <w:sz w:val="23"/>
                <w:szCs w:val="23"/>
                <w:color w:val="auto"/>
              </w:rPr>
            </w:pPr>
          </w:p>
        </w:tc>
        <w:tc>
          <w:tcPr>
            <w:tcW w:w="2240" w:type="dxa"/>
            <w:vAlign w:val="bottom"/>
            <w:gridSpan w:val="5"/>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4"/>
              </w:rPr>
              <w:t>Quarter Ended</w:t>
            </w:r>
          </w:p>
        </w:tc>
        <w:tc>
          <w:tcPr>
            <w:tcW w:w="240" w:type="dxa"/>
            <w:vAlign w:val="bottom"/>
            <w:shd w:val="clear" w:color="auto" w:fill="CCEEFF"/>
          </w:tcPr>
          <w:p>
            <w:pPr>
              <w:spacing w:after="0"/>
              <w:rPr>
                <w:sz w:val="23"/>
                <w:szCs w:val="23"/>
                <w:color w:val="auto"/>
              </w:rPr>
            </w:pPr>
          </w:p>
        </w:tc>
        <w:tc>
          <w:tcPr>
            <w:tcW w:w="2140" w:type="dxa"/>
            <w:vAlign w:val="bottom"/>
            <w:gridSpan w:val="4"/>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5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1"/>
                <w:szCs w:val="21"/>
                <w:color w:val="auto"/>
              </w:rPr>
            </w:pPr>
          </w:p>
        </w:tc>
        <w:tc>
          <w:tcPr>
            <w:tcW w:w="21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10"/>
        </w:trPr>
        <w:tc>
          <w:tcPr>
            <w:tcW w:w="54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benefit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Provision (adjustment) for DTA valuation allowance</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DTA valuation allowance - discrete item</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57"/>
        </w:trPr>
        <w:tc>
          <w:tcPr>
            <w:tcW w:w="5700" w:type="dxa"/>
            <w:vAlign w:val="bottom"/>
            <w:gridSpan w:val="2"/>
          </w:tcPr>
          <w:p>
            <w:pPr>
              <w:jc w:val="right"/>
              <w:ind w:right="50"/>
              <w:spacing w:after="0"/>
              <w:rPr>
                <w:sz w:val="20"/>
                <w:szCs w:val="20"/>
                <w:color w:val="auto"/>
              </w:rPr>
            </w:pPr>
            <w:r>
              <w:rPr>
                <w:rFonts w:ascii="Arial" w:cs="Arial" w:eastAsia="Arial" w:hAnsi="Arial"/>
                <w:sz w:val="18"/>
                <w:szCs w:val="18"/>
                <w:color w:val="auto"/>
              </w:rPr>
              <w:t>Total income tax (benefit) provision $</w:t>
            </w:r>
          </w:p>
        </w:tc>
        <w:tc>
          <w:tcPr>
            <w:tcW w:w="90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0"/>
        </w:trPr>
        <w:tc>
          <w:tcPr>
            <w:tcW w:w="5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DTA = Deferred income tax asset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Allowance for Deferred Income Tax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Company considers all available positive and negative evidence to determine whether sufficient taxable income will be generated in the future to permit realization of the existing deferred tax assets. In accordance with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the Company is required to provide a valuation allowance against deferred tax assets when it is "more likely than not" that some portion or all of the deferred tax assets will not be realized.</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Among other provisions, the Tax Cuts and Jobs Act of 2017 amended Internal Revenue Code Section 163(j) to create limitations on the deductibility of business interest expense. Section 163(j) limits the business 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 respect to recording a deferred tax benefit for the carryforward of business interest, the Company is required to apply the "more likely than not" threshold for assessing recoverability. Based on management’s assessment, the Company recorded a valuation allowance in the first nine months of 2019 of </w:t>
      </w:r>
      <w:r>
        <w:rPr>
          <w:rFonts w:ascii="Arial" w:cs="Arial" w:eastAsia="Arial" w:hAnsi="Arial"/>
          <w:sz w:val="18"/>
          <w:szCs w:val="18"/>
          <w:color w:val="222222"/>
        </w:rPr>
        <w:t xml:space="preserve">$7.8 million </w:t>
      </w:r>
      <w:r>
        <w:rPr>
          <w:rFonts w:ascii="Arial" w:cs="Arial" w:eastAsia="Arial" w:hAnsi="Arial"/>
          <w:sz w:val="18"/>
          <w:szCs w:val="18"/>
          <w:color w:val="000000"/>
        </w:rPr>
        <w:t>for the business interest carryover comprised of (i) a discrete provision of</w:t>
      </w:r>
      <w:r>
        <w:rPr>
          <w:rFonts w:ascii="Arial" w:cs="Arial" w:eastAsia="Arial" w:hAnsi="Arial"/>
          <w:sz w:val="18"/>
          <w:szCs w:val="18"/>
          <w:color w:val="222222"/>
        </w:rPr>
        <w:t xml:space="preserve"> $2.6 million </w:t>
      </w:r>
      <w:r>
        <w:rPr>
          <w:rFonts w:ascii="Arial" w:cs="Arial" w:eastAsia="Arial" w:hAnsi="Arial"/>
          <w:sz w:val="18"/>
          <w:szCs w:val="18"/>
          <w:color w:val="000000"/>
        </w:rPr>
        <w:t>associated with the 2018 business interest deferred tax</w:t>
      </w:r>
      <w:r>
        <w:rPr>
          <w:rFonts w:ascii="Arial" w:cs="Arial" w:eastAsia="Arial" w:hAnsi="Arial"/>
          <w:sz w:val="18"/>
          <w:szCs w:val="18"/>
          <w:color w:val="222222"/>
        </w:rPr>
        <w:t xml:space="preserve"> </w:t>
      </w:r>
      <w:r>
        <w:rPr>
          <w:rFonts w:ascii="Arial" w:cs="Arial" w:eastAsia="Arial" w:hAnsi="Arial"/>
          <w:sz w:val="18"/>
          <w:szCs w:val="18"/>
          <w:color w:val="000000"/>
        </w:rPr>
        <w:t xml:space="preserve">asset and (ii) a provision of </w:t>
      </w:r>
      <w:r>
        <w:rPr>
          <w:rFonts w:ascii="Arial" w:cs="Arial" w:eastAsia="Arial" w:hAnsi="Arial"/>
          <w:sz w:val="18"/>
          <w:szCs w:val="18"/>
          <w:color w:val="222222"/>
        </w:rPr>
        <w:t>$5.2 million</w:t>
      </w:r>
      <w:r>
        <w:rPr>
          <w:rFonts w:ascii="Arial" w:cs="Arial" w:eastAsia="Arial" w:hAnsi="Arial"/>
          <w:sz w:val="18"/>
          <w:szCs w:val="18"/>
          <w:color w:val="000000"/>
        </w:rPr>
        <w:t xml:space="preserve"> associated with the 2019 excess business interest.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provisions for and adjustments to the valuation allowance are a component of income tax expense (benefit) in the Company's unaudited condensed consolidated statements of operations.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continue to evaluate the realizability of the deferred tax assets on a quarterly basis and, as a result, the valuation allowance may change in future periods.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recognizes the tax effects of uncertain tax positions only if such positions are more likely than not to be sustained based solely upon its technical merits at the reporting date. The Company refers to the difference between the tax benefit recognized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its financial statements and the tax benefit claimed in the income tax return as an "unrecognized tax benefit." As of September 30, 2019, the net amount of our unrecognized tax benefits was not material.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U.S. federal income tax and income tax in multiple state jurisdictions. Tax periods for 2015 and all years thereafter remain open to examination by the federal and state taxing jurisdictions and tax periods for 2014 and all years thereafter remain open for certain state taxing jurisdictions to which the Company is subject.</w:t>
      </w:r>
    </w:p>
    <w:p>
      <w:pPr>
        <w:spacing w:after="0" w:line="3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for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information on recognized contingent consideration related to prior business acquisitions, see Note 14, </w:t>
      </w:r>
      <w:r>
        <w:rPr>
          <w:rFonts w:ascii="Arial" w:cs="Arial" w:eastAsia="Arial" w:hAnsi="Arial"/>
          <w:sz w:val="18"/>
          <w:szCs w:val="18"/>
          <w:i w:val="1"/>
          <w:iCs w:val="1"/>
          <w:color w:val="auto"/>
        </w:rPr>
        <w:t>Fair Value</w:t>
      </w:r>
      <w:r>
        <w:rPr>
          <w:rFonts w:ascii="Arial" w:cs="Arial" w:eastAsia="Arial" w:hAnsi="Arial"/>
          <w:sz w:val="18"/>
          <w:szCs w:val="18"/>
          <w:color w:val="auto"/>
        </w:rPr>
        <w: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Under GAAP that applies to asset acquisitions that do not meet the definition of a business, the portion of the unpaid purchase price that is contingent on future activities is not initially recorded by the acquirer on the date of acquisition. Rather, the acquirer generally recognizes contingent consideration when it becomes probable and estimable. For the Company's acquisition of certain merchant portfolio assets from Direct Connect Merchant Services, LLC in December 2018, the purchase price includes cash contingent consideration of up to approximately $7.3 million, determinable over a period that ends on December 31, 2019. For a separate asset acquisition from another entity that occurred in March 2019 for certain merchant portfolio residual rights (Note 2, </w:t>
      </w:r>
      <w:r>
        <w:rPr>
          <w:rFonts w:ascii="Arial" w:cs="Arial" w:eastAsia="Arial" w:hAnsi="Arial"/>
          <w:sz w:val="17"/>
          <w:szCs w:val="17"/>
          <w:i w:val="1"/>
          <w:iCs w:val="1"/>
          <w:color w:val="auto"/>
        </w:rPr>
        <w:t>Acquisitions and Contributions of Assets)</w:t>
      </w:r>
      <w:r>
        <w:rPr>
          <w:rFonts w:ascii="Arial" w:cs="Arial" w:eastAsia="Arial" w:hAnsi="Arial"/>
          <w:sz w:val="17"/>
          <w:szCs w:val="17"/>
          <w:color w:val="auto"/>
        </w:rPr>
        <w:t>, the purchase price includes cash contingent consideration of up to $6.4 million covering a period of time that</w:t>
      </w:r>
      <w:r>
        <w:rPr>
          <w:rFonts w:ascii="Arial" w:cs="Arial" w:eastAsia="Arial" w:hAnsi="Arial"/>
          <w:sz w:val="17"/>
          <w:szCs w:val="17"/>
          <w:i w:val="1"/>
          <w:iCs w:val="1"/>
          <w:color w:val="auto"/>
        </w:rPr>
        <w:t xml:space="preserve"> </w:t>
      </w:r>
      <w:r>
        <w:rPr>
          <w:rFonts w:ascii="Arial" w:cs="Arial" w:eastAsia="Arial" w:hAnsi="Arial"/>
          <w:sz w:val="17"/>
          <w:szCs w:val="17"/>
          <w:color w:val="auto"/>
        </w:rPr>
        <w:t>extends three years from the date of acquisition. Additional purchase price, if any, will be accounted for when payment to the seller becomes probable and it will be added to the carrying value of the asset.</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to Lend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w:t>
      </w:r>
      <w:r>
        <w:rPr>
          <w:rFonts w:ascii="Arial" w:cs="Arial" w:eastAsia="Arial" w:hAnsi="Arial"/>
          <w:sz w:val="18"/>
          <w:szCs w:val="18"/>
          <w:i w:val="1"/>
          <w:iCs w:val="1"/>
          <w:color w:val="auto"/>
        </w:rPr>
        <w:t>Related Party and Other Transactions</w:t>
      </w:r>
      <w:r>
        <w:rPr>
          <w:rFonts w:ascii="Arial" w:cs="Arial" w:eastAsia="Arial" w:hAnsi="Arial"/>
          <w:sz w:val="18"/>
          <w:szCs w:val="18"/>
          <w:color w:val="auto"/>
        </w:rPr>
        <w:t>, for information on a loan commitment extended by the Company to another entity.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RELATED PARTY AND OTHER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Acquisitions and Contributions of Assets</w:t>
      </w:r>
      <w:r>
        <w:rPr>
          <w:rFonts w:ascii="Arial" w:cs="Arial" w:eastAsia="Arial" w:hAnsi="Arial"/>
          <w:sz w:val="17"/>
          <w:szCs w:val="17"/>
          <w:color w:val="auto"/>
        </w:rPr>
        <w:t>, for information about the acquisitions of certain assets and liabilities of eTab and Cumulus.</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22, 2019, the Company, through one of its wholly-owned subsidiaries, executed an interest-bearing loan and commitment agreement with another entity. The Company loaned the entity $3.0 million, with a commitment to loan up to $10.0 million based on certain growth metrics of the entity and continued compliance by the entity with the terms and covenants of the agreement. The Company's commitment to make additional advances under the loan agreement is dependent upon such advances not conflicting with covenants or restrictions under any of the Company's debt or other applicable agreements. Amounts loaned to this entity by the Company are secured by substantially all of the assets of the entity and by a personal guarantee. The note receivable has an interest rate of 12.0% per annum and is repayable in full in May 2024. The Company also received a warrant to purchase a non-controlling interest in this entity's equity at a fixed amount. The loan agreement also gives the Company certain rights to purchase some or all of this entity's equity in the future, at the entity's then-current fair value. The fair values of the warrant, loan commitment, and purchase right were not material at inception or at September 30,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tab/>
        <w:t>RECONCILIATION OF STOCKHOLDERS' EQUITY (DEFICIT) AND NON-CONTROLLING INTEREST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The Company is authorized to issue 100,000,000 shares of preferred stock with such designations, voting and other rights and preferences as may be determined from time to time by the board of directors. As of September 30, 2019 and December 31, 2018, the Company has not issued any shares of preferred stock.</w:t>
      </w:r>
    </w:p>
    <w:p>
      <w:pPr>
        <w:spacing w:after="0" w:line="3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tables provide a reconciliation of the beginning and ending carrying amounts of equity (deficit) attributable to stockholders of the Company, and equity attributable to non-controlling interest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203200</wp:posOffset>
            </wp:positionV>
            <wp:extent cx="6929120" cy="857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120" cy="857885"/>
                    </a:xfrm>
                    <a:prstGeom prst="rect">
                      <a:avLst/>
                    </a:prstGeom>
                    <a:noFill/>
                  </pic:spPr>
                </pic:pic>
              </a:graphicData>
            </a:graphic>
          </wp:anchor>
        </w:drawing>
      </w:r>
    </w:p>
    <w:p>
      <w:pPr>
        <w:spacing w:after="0" w:line="300" w:lineRule="exact"/>
        <w:rPr>
          <w:sz w:val="20"/>
          <w:szCs w:val="20"/>
          <w:color w:val="auto"/>
        </w:rPr>
      </w:pPr>
    </w:p>
    <w:p>
      <w:pPr>
        <w:ind w:left="9180"/>
        <w:spacing w:after="0"/>
        <w:rPr>
          <w:sz w:val="20"/>
          <w:szCs w:val="20"/>
          <w:color w:val="auto"/>
        </w:rPr>
      </w:pPr>
      <w:r>
        <w:rPr>
          <w:rFonts w:ascii="Arial" w:cs="Arial" w:eastAsia="Arial" w:hAnsi="Arial"/>
          <w:sz w:val="18"/>
          <w:szCs w:val="18"/>
          <w:color w:val="auto"/>
        </w:rPr>
        <w:t>Total Priority</w:t>
      </w:r>
    </w:p>
    <w:tbl>
      <w:tblPr>
        <w:tblLayout w:type="fixed"/>
        <w:tblInd w:w="260" w:type="dxa"/>
        <w:tblCellMar>
          <w:top w:w="0" w:type="dxa"/>
          <w:left w:w="0" w:type="dxa"/>
          <w:bottom w:w="0" w:type="dxa"/>
          <w:right w:w="0" w:type="dxa"/>
        </w:tblCellMar>
      </w:tblPr>
      <w:tr>
        <w:trPr>
          <w:trHeight w:val="238"/>
        </w:trPr>
        <w:tc>
          <w:tcPr>
            <w:tcW w:w="22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Technology</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420" w:type="dxa"/>
            <w:vAlign w:val="bottom"/>
            <w:gridSpan w:val="5"/>
            <w:vMerge w:val="restart"/>
          </w:tcPr>
          <w:p>
            <w:pPr>
              <w:ind w:left="100"/>
              <w:spacing w:after="0"/>
              <w:rPr>
                <w:sz w:val="20"/>
                <w:szCs w:val="20"/>
                <w:color w:val="auto"/>
              </w:rPr>
            </w:pPr>
            <w:r>
              <w:rPr>
                <w:rFonts w:ascii="Arial" w:cs="Arial" w:eastAsia="Arial" w:hAnsi="Arial"/>
                <w:sz w:val="18"/>
                <w:szCs w:val="18"/>
                <w:color w:val="auto"/>
              </w:rPr>
              <w:t>Preferred Stock</w:t>
            </w:r>
          </w:p>
        </w:tc>
        <w:tc>
          <w:tcPr>
            <w:tcW w:w="1420" w:type="dxa"/>
            <w:vAlign w:val="bottom"/>
            <w:gridSpan w:val="4"/>
            <w:vMerge w:val="restart"/>
          </w:tcPr>
          <w:p>
            <w:pPr>
              <w:jc w:val="right"/>
              <w:ind w:right="5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460" w:type="dxa"/>
            <w:vAlign w:val="bottom"/>
            <w:gridSpan w:val="4"/>
            <w:vMerge w:val="restart"/>
          </w:tcPr>
          <w:p>
            <w:pPr>
              <w:jc w:val="right"/>
              <w:ind w:right="90"/>
              <w:spacing w:after="0"/>
              <w:rPr>
                <w:sz w:val="20"/>
                <w:szCs w:val="20"/>
                <w:color w:val="auto"/>
              </w:rPr>
            </w:pPr>
            <w:r>
              <w:rPr>
                <w:rFonts w:ascii="Arial" w:cs="Arial" w:eastAsia="Arial" w:hAnsi="Arial"/>
                <w:sz w:val="18"/>
                <w:szCs w:val="18"/>
                <w:color w:val="auto"/>
              </w:rPr>
              <w:t>Treasury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Holdings,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color w:val="auto"/>
              </w:rPr>
              <w:t>Additional</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Inc.</w:t>
            </w:r>
          </w:p>
        </w:tc>
        <w:tc>
          <w:tcPr>
            <w:tcW w:w="140" w:type="dxa"/>
            <w:vAlign w:val="bottom"/>
          </w:tcPr>
          <w:p>
            <w:pPr>
              <w:spacing w:after="0"/>
              <w:rPr>
                <w:sz w:val="18"/>
                <w:szCs w:val="18"/>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Non-</w:t>
            </w:r>
          </w:p>
        </w:tc>
        <w:tc>
          <w:tcPr>
            <w:tcW w:w="0" w:type="dxa"/>
            <w:vAlign w:val="bottom"/>
          </w:tcPr>
          <w:p>
            <w:pPr>
              <w:spacing w:after="0"/>
              <w:rPr>
                <w:sz w:val="1"/>
                <w:szCs w:val="1"/>
                <w:color w:val="auto"/>
              </w:rPr>
            </w:pPr>
          </w:p>
        </w:tc>
      </w:tr>
      <w:tr>
        <w:trPr>
          <w:trHeight w:val="195"/>
        </w:trPr>
        <w:tc>
          <w:tcPr>
            <w:tcW w:w="2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Paid-In</w:t>
            </w:r>
          </w:p>
        </w:tc>
        <w:tc>
          <w:tcPr>
            <w:tcW w:w="11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Accumulated</w:t>
            </w:r>
          </w:p>
        </w:tc>
        <w:tc>
          <w:tcPr>
            <w:tcW w:w="1120" w:type="dxa"/>
            <w:vAlign w:val="bottom"/>
            <w:gridSpan w:val="3"/>
          </w:tcPr>
          <w:p>
            <w:pPr>
              <w:jc w:val="center"/>
              <w:ind w:right="120"/>
              <w:spacing w:after="0" w:line="195" w:lineRule="exact"/>
              <w:rPr>
                <w:sz w:val="20"/>
                <w:szCs w:val="20"/>
                <w:color w:val="auto"/>
              </w:rPr>
            </w:pPr>
            <w:r>
              <w:rPr>
                <w:rFonts w:ascii="Arial" w:cs="Arial" w:eastAsia="Arial" w:hAnsi="Arial"/>
                <w:sz w:val="18"/>
                <w:szCs w:val="18"/>
                <w:color w:val="auto"/>
                <w:w w:val="89"/>
              </w:rPr>
              <w:t>Stockholders'</w:t>
            </w:r>
          </w:p>
        </w:tc>
        <w:tc>
          <w:tcPr>
            <w:tcW w:w="90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9"/>
              </w:rPr>
              <w:t>Controlling</w:t>
            </w:r>
          </w:p>
        </w:tc>
        <w:tc>
          <w:tcPr>
            <w:tcW w:w="0" w:type="dxa"/>
            <w:vAlign w:val="bottom"/>
          </w:tcPr>
          <w:p>
            <w:pPr>
              <w:spacing w:after="0"/>
              <w:rPr>
                <w:sz w:val="1"/>
                <w:szCs w:val="1"/>
                <w:color w:val="auto"/>
              </w:rPr>
            </w:pPr>
          </w:p>
        </w:tc>
      </w:tr>
      <w:tr>
        <w:trPr>
          <w:trHeight w:val="257"/>
        </w:trPr>
        <w:tc>
          <w:tcPr>
            <w:tcW w:w="22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w:t>
            </w:r>
          </w:p>
        </w:tc>
        <w:tc>
          <w:tcPr>
            <w:tcW w:w="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Amount</w:t>
            </w:r>
          </w:p>
        </w:tc>
        <w:tc>
          <w:tcPr>
            <w:tcW w:w="100" w:type="dxa"/>
            <w:vAlign w:val="bottom"/>
          </w:tcPr>
          <w:p>
            <w:pPr>
              <w:spacing w:after="0"/>
              <w:rPr>
                <w:sz w:val="22"/>
                <w:szCs w:val="22"/>
                <w:color w:val="auto"/>
              </w:rPr>
            </w:pPr>
          </w:p>
        </w:tc>
        <w:tc>
          <w:tcPr>
            <w:tcW w:w="7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Shares</w:t>
            </w:r>
          </w:p>
        </w:tc>
        <w:tc>
          <w:tcPr>
            <w:tcW w:w="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color w:val="auto"/>
              </w:rPr>
              <w:t>Capital</w:t>
            </w:r>
          </w:p>
        </w:tc>
        <w:tc>
          <w:tcPr>
            <w:tcW w:w="160" w:type="dxa"/>
            <w:vAlign w:val="bottom"/>
          </w:tcPr>
          <w:p>
            <w:pPr>
              <w:spacing w:after="0"/>
              <w:rPr>
                <w:sz w:val="22"/>
                <w:szCs w:val="22"/>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(Deficit)</w:t>
            </w:r>
          </w:p>
        </w:tc>
        <w:tc>
          <w:tcPr>
            <w:tcW w:w="140" w:type="dxa"/>
            <w:vAlign w:val="bottom"/>
          </w:tcPr>
          <w:p>
            <w:pPr>
              <w:spacing w:after="0"/>
              <w:rPr>
                <w:sz w:val="22"/>
                <w:szCs w:val="22"/>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3"/>
              </w:rPr>
              <w:t>Interest</w:t>
            </w:r>
          </w:p>
        </w:tc>
        <w:tc>
          <w:tcPr>
            <w:tcW w:w="0" w:type="dxa"/>
            <w:vAlign w:val="bottom"/>
          </w:tcPr>
          <w:p>
            <w:pPr>
              <w:spacing w:after="0"/>
              <w:rPr>
                <w:sz w:val="1"/>
                <w:szCs w:val="1"/>
                <w:color w:val="auto"/>
              </w:rPr>
            </w:pPr>
          </w:p>
        </w:tc>
      </w:tr>
      <w:tr>
        <w:trPr>
          <w:trHeight w:val="129"/>
        </w:trPr>
        <w:tc>
          <w:tcPr>
            <w:tcW w:w="22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46"/>
        </w:trPr>
        <w:tc>
          <w:tcPr>
            <w:tcW w:w="22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60" w:type="dxa"/>
            <w:vAlign w:val="bottom"/>
          </w:tcPr>
          <w:p>
            <w:pPr>
              <w:ind w:left="20"/>
              <w:spacing w:after="0"/>
              <w:rPr>
                <w:sz w:val="20"/>
                <w:szCs w:val="20"/>
                <w:color w:val="auto"/>
              </w:rPr>
            </w:pPr>
            <w:r>
              <w:rPr>
                <w:rFonts w:ascii="Arial" w:cs="Arial" w:eastAsia="Arial" w:hAnsi="Arial"/>
                <w:sz w:val="18"/>
                <w:szCs w:val="18"/>
                <w:color w:val="auto"/>
              </w:rPr>
              <w:t>January 1, 2019</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67,038</w:t>
            </w:r>
          </w:p>
        </w:tc>
        <w:tc>
          <w:tcPr>
            <w:tcW w:w="12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(85,540)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(85,473)</w:t>
            </w:r>
          </w:p>
        </w:tc>
        <w:tc>
          <w:tcPr>
            <w:tcW w:w="10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60" w:type="dxa"/>
            <w:vAlign w:val="bottom"/>
          </w:tcPr>
          <w:p>
            <w:pPr>
              <w:ind w:left="160"/>
              <w:spacing w:after="0"/>
              <w:rPr>
                <w:sz w:val="20"/>
                <w:szCs w:val="20"/>
                <w:color w:val="auto"/>
              </w:rPr>
            </w:pPr>
            <w:r>
              <w:rPr>
                <w:rFonts w:ascii="Arial" w:cs="Arial" w:eastAsia="Arial" w:hAnsi="Arial"/>
                <w:sz w:val="18"/>
                <w:szCs w:val="18"/>
                <w:color w:val="auto"/>
              </w:rPr>
              <w:t>Warrant redemptions</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(a)</w:t>
            </w: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(a)</w:t>
            </w:r>
          </w:p>
        </w:tc>
        <w:tc>
          <w:tcPr>
            <w:tcW w:w="16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60" w:type="dxa"/>
            <w:vAlign w:val="bottom"/>
          </w:tcPr>
          <w:p>
            <w:pPr>
              <w:ind w:left="160"/>
              <w:spacing w:after="0"/>
              <w:rPr>
                <w:sz w:val="20"/>
                <w:szCs w:val="20"/>
                <w:color w:val="auto"/>
              </w:rPr>
            </w:pPr>
            <w:r>
              <w:rPr>
                <w:rFonts w:ascii="Arial" w:cs="Arial" w:eastAsia="Arial" w:hAnsi="Arial"/>
                <w:sz w:val="18"/>
                <w:szCs w:val="18"/>
                <w:color w:val="auto"/>
              </w:rPr>
              <w:t>Issuance of non-</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160"/>
              <w:spacing w:after="0"/>
              <w:rPr>
                <w:sz w:val="20"/>
                <w:szCs w:val="20"/>
                <w:color w:val="auto"/>
              </w:rPr>
            </w:pPr>
            <w:r>
              <w:rPr>
                <w:rFonts w:ascii="Arial" w:cs="Arial" w:eastAsia="Arial" w:hAnsi="Arial"/>
                <w:sz w:val="18"/>
                <w:szCs w:val="18"/>
                <w:color w:val="auto"/>
              </w:rPr>
              <w:t>controlling interest</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67,458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09"/>
        </w:trPr>
        <w:tc>
          <w:tcPr>
            <w:tcW w:w="2260" w:type="dxa"/>
            <w:vAlign w:val="bottom"/>
          </w:tcPr>
          <w:p>
            <w:pPr>
              <w:ind w:left="160"/>
              <w:spacing w:after="0"/>
              <w:rPr>
                <w:sz w:val="20"/>
                <w:szCs w:val="20"/>
                <w:color w:val="auto"/>
              </w:rPr>
            </w:pPr>
            <w:r>
              <w:rPr>
                <w:rFonts w:ascii="Arial" w:cs="Arial" w:eastAsia="Arial" w:hAnsi="Arial"/>
                <w:sz w:val="18"/>
                <w:szCs w:val="18"/>
                <w:color w:val="auto"/>
              </w:rPr>
              <w:t>Equity-based</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Repurchases of common</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(2,388)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67,007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7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(2,388)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09"/>
        </w:trPr>
        <w:tc>
          <w:tcPr>
            <w:tcW w:w="2260" w:type="dxa"/>
            <w:vAlign w:val="bottom"/>
          </w:tcPr>
          <w:p>
            <w:pPr>
              <w:ind w:left="160"/>
              <w:spacing w:after="0"/>
              <w:rPr>
                <w:sz w:val="20"/>
                <w:szCs w:val="20"/>
                <w:color w:val="auto"/>
              </w:rPr>
            </w:pPr>
            <w:r>
              <w:rPr>
                <w:rFonts w:ascii="Arial" w:cs="Arial" w:eastAsia="Arial" w:hAnsi="Arial"/>
                <w:sz w:val="18"/>
                <w:szCs w:val="18"/>
                <w:color w:val="auto"/>
              </w:rPr>
              <w:t>Equity-based</w:t>
            </w: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6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6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260" w:type="dxa"/>
            <w:vAlign w:val="bottom"/>
          </w:tcPr>
          <w:p>
            <w:pPr>
              <w:ind w:left="20"/>
              <w:spacing w:after="0"/>
              <w:rPr>
                <w:sz w:val="20"/>
                <w:szCs w:val="20"/>
                <w:color w:val="auto"/>
              </w:rPr>
            </w:pPr>
            <w:r>
              <w:rPr>
                <w:rFonts w:ascii="Arial" w:cs="Arial" w:eastAsia="Arial" w:hAnsi="Arial"/>
                <w:sz w:val="18"/>
                <w:szCs w:val="18"/>
                <w:color w:val="auto"/>
              </w:rPr>
              <w:t>September 30, 2019</w:t>
            </w:r>
          </w:p>
        </w:tc>
        <w:tc>
          <w:tcPr>
            <w:tcW w:w="5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4"/>
              </w:rPr>
              <w:t>67,007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(2,388)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3,354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(111,960)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(110,927)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5,654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Par value of the common shares issued in connection with the warrant exchange rounds to less than one thousand dollars (see Note 12, </w:t>
      </w:r>
      <w:r>
        <w:rPr>
          <w:rFonts w:ascii="Arial" w:cs="Arial" w:eastAsia="Arial" w:hAnsi="Arial"/>
          <w:sz w:val="16"/>
          <w:szCs w:val="16"/>
          <w:i w:val="1"/>
          <w:iCs w:val="1"/>
          <w:color w:val="auto"/>
        </w:rPr>
        <w:t>Equity</w:t>
      </w:r>
      <w:r>
        <w:rPr>
          <w:rFonts w:ascii="Arial" w:cs="Arial" w:eastAsia="Arial" w:hAnsi="Arial"/>
          <w:sz w:val="16"/>
          <w:szCs w:val="16"/>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4" w:lineRule="exact"/>
        <w:rPr>
          <w:rFonts w:ascii="Arial" w:cs="Arial" w:eastAsia="Arial" w:hAnsi="Arial"/>
          <w:sz w:val="16"/>
          <w:szCs w:val="16"/>
          <w:color w:val="auto"/>
        </w:rPr>
      </w:pPr>
    </w:p>
    <w:p>
      <w:pPr>
        <w:ind w:left="5620" w:hanging="101"/>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229"/>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6"/>
                <w:szCs w:val="16"/>
                <w:i w:val="1"/>
                <w:iCs w:val="1"/>
                <w:color w:val="auto"/>
              </w:rPr>
              <w:t>(in thousands)</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4"/>
              </w:rPr>
              <w:t>Total Priority</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50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right="100"/>
              <w:spacing w:after="0" w:line="203" w:lineRule="exact"/>
              <w:rPr>
                <w:sz w:val="20"/>
                <w:szCs w:val="20"/>
                <w:color w:val="auto"/>
              </w:rPr>
            </w:pPr>
            <w:r>
              <w:rPr>
                <w:rFonts w:ascii="Arial" w:cs="Arial" w:eastAsia="Arial" w:hAnsi="Arial"/>
                <w:sz w:val="18"/>
                <w:szCs w:val="18"/>
                <w:color w:val="auto"/>
                <w:w w:val="90"/>
              </w:rPr>
              <w:t>Technology</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500" w:type="dxa"/>
            <w:vAlign w:val="bottom"/>
          </w:tcPr>
          <w:p>
            <w:pPr>
              <w:spacing w:after="0"/>
              <w:rPr>
                <w:sz w:val="19"/>
                <w:szCs w:val="19"/>
                <w:color w:val="auto"/>
              </w:rPr>
            </w:pPr>
          </w:p>
        </w:tc>
        <w:tc>
          <w:tcPr>
            <w:tcW w:w="1480" w:type="dxa"/>
            <w:vAlign w:val="bottom"/>
            <w:gridSpan w:val="5"/>
            <w:vMerge w:val="restart"/>
          </w:tcPr>
          <w:p>
            <w:pPr>
              <w:ind w:left="140"/>
              <w:spacing w:after="0"/>
              <w:rPr>
                <w:sz w:val="20"/>
                <w:szCs w:val="20"/>
                <w:color w:val="auto"/>
              </w:rPr>
            </w:pPr>
            <w:r>
              <w:rPr>
                <w:rFonts w:ascii="Arial" w:cs="Arial" w:eastAsia="Arial" w:hAnsi="Arial"/>
                <w:sz w:val="18"/>
                <w:szCs w:val="18"/>
                <w:color w:val="auto"/>
              </w:rPr>
              <w:t>Preferred Stock</w:t>
            </w:r>
          </w:p>
        </w:tc>
        <w:tc>
          <w:tcPr>
            <w:tcW w:w="1480" w:type="dxa"/>
            <w:vAlign w:val="bottom"/>
            <w:gridSpan w:val="4"/>
            <w:vMerge w:val="restart"/>
          </w:tcPr>
          <w:p>
            <w:pPr>
              <w:jc w:val="right"/>
              <w:ind w:right="90"/>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Holdings,</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500" w:type="dxa"/>
            <w:vAlign w:val="bottom"/>
          </w:tcPr>
          <w:p>
            <w:pPr>
              <w:spacing w:after="0"/>
              <w:rPr>
                <w:sz w:val="18"/>
                <w:szCs w:val="18"/>
                <w:color w:val="auto"/>
              </w:rPr>
            </w:pPr>
          </w:p>
        </w:tc>
        <w:tc>
          <w:tcPr>
            <w:tcW w:w="1480" w:type="dxa"/>
            <w:vAlign w:val="bottom"/>
            <w:gridSpan w:val="5"/>
            <w:vMerge w:val="continue"/>
          </w:tcPr>
          <w:p>
            <w:pPr>
              <w:spacing w:after="0"/>
              <w:rPr>
                <w:sz w:val="18"/>
                <w:szCs w:val="18"/>
                <w:color w:val="auto"/>
              </w:rPr>
            </w:pPr>
          </w:p>
        </w:tc>
        <w:tc>
          <w:tcPr>
            <w:tcW w:w="1480" w:type="dxa"/>
            <w:vAlign w:val="bottom"/>
            <w:gridSpan w:val="4"/>
            <w:vMerge w:val="continue"/>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Additional</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6"/>
              </w:rPr>
              <w:t>Inc.</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w:t>
            </w:r>
          </w:p>
        </w:tc>
        <w:tc>
          <w:tcPr>
            <w:tcW w:w="0" w:type="dxa"/>
            <w:vAlign w:val="bottom"/>
          </w:tcPr>
          <w:p>
            <w:pPr>
              <w:spacing w:after="0"/>
              <w:rPr>
                <w:sz w:val="1"/>
                <w:szCs w:val="1"/>
                <w:color w:val="auto"/>
              </w:rPr>
            </w:pPr>
          </w:p>
        </w:tc>
      </w:tr>
      <w:tr>
        <w:trPr>
          <w:trHeight w:val="195"/>
        </w:trPr>
        <w:tc>
          <w:tcPr>
            <w:tcW w:w="25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Paid-In</w:t>
            </w:r>
          </w:p>
        </w:tc>
        <w:tc>
          <w:tcPr>
            <w:tcW w:w="1120" w:type="dxa"/>
            <w:vAlign w:val="bottom"/>
            <w:tcBorders>
              <w:top w:val="single" w:sz="8" w:color="CCEEFF"/>
            </w:tcBorders>
            <w:gridSpan w:val="3"/>
            <w:shd w:val="clear" w:color="auto" w:fill="CCEEFF"/>
          </w:tcPr>
          <w:p>
            <w:pPr>
              <w:ind w:left="20"/>
              <w:spacing w:after="0" w:line="195" w:lineRule="exact"/>
              <w:rPr>
                <w:sz w:val="20"/>
                <w:szCs w:val="20"/>
                <w:color w:val="auto"/>
              </w:rPr>
            </w:pPr>
            <w:r>
              <w:rPr>
                <w:rFonts w:ascii="Arial" w:cs="Arial" w:eastAsia="Arial" w:hAnsi="Arial"/>
                <w:sz w:val="18"/>
                <w:szCs w:val="18"/>
                <w:color w:val="auto"/>
              </w:rPr>
              <w:t>Accumulated</w:t>
            </w:r>
          </w:p>
        </w:tc>
        <w:tc>
          <w:tcPr>
            <w:tcW w:w="1140" w:type="dxa"/>
            <w:vAlign w:val="bottom"/>
            <w:tcBorders>
              <w:top w:val="single" w:sz="8" w:color="CCEEFF"/>
            </w:tcBorders>
            <w:gridSpan w:val="3"/>
            <w:shd w:val="clear" w:color="auto" w:fill="CCEEFF"/>
          </w:tcPr>
          <w:p>
            <w:pPr>
              <w:jc w:val="center"/>
              <w:ind w:right="100"/>
              <w:spacing w:after="0" w:line="195" w:lineRule="exact"/>
              <w:rPr>
                <w:sz w:val="20"/>
                <w:szCs w:val="20"/>
                <w:color w:val="auto"/>
              </w:rPr>
            </w:pPr>
            <w:r>
              <w:rPr>
                <w:rFonts w:ascii="Arial" w:cs="Arial" w:eastAsia="Arial" w:hAnsi="Arial"/>
                <w:sz w:val="18"/>
                <w:szCs w:val="18"/>
                <w:color w:val="auto"/>
                <w:w w:val="89"/>
              </w:rPr>
              <w:t>Stockholders'</w:t>
            </w:r>
          </w:p>
        </w:tc>
        <w:tc>
          <w:tcPr>
            <w:tcW w:w="900" w:type="dxa"/>
            <w:vAlign w:val="bottom"/>
            <w:tcBorders>
              <w:top w:val="single" w:sz="8" w:color="CCEEFF"/>
            </w:tcBorders>
            <w:gridSpan w:val="2"/>
            <w:shd w:val="clear" w:color="auto" w:fill="CCEEFF"/>
          </w:tcPr>
          <w:p>
            <w:pPr>
              <w:ind w:left="40"/>
              <w:spacing w:after="0" w:line="195" w:lineRule="exact"/>
              <w:rPr>
                <w:sz w:val="20"/>
                <w:szCs w:val="20"/>
                <w:color w:val="auto"/>
              </w:rPr>
            </w:pPr>
            <w:r>
              <w:rPr>
                <w:rFonts w:ascii="Arial" w:cs="Arial" w:eastAsia="Arial" w:hAnsi="Arial"/>
                <w:sz w:val="18"/>
                <w:szCs w:val="18"/>
                <w:color w:val="auto"/>
                <w:w w:val="97"/>
              </w:rPr>
              <w:t>Controlling</w:t>
            </w: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w:t>
            </w:r>
          </w:p>
        </w:tc>
        <w:tc>
          <w:tcPr>
            <w:tcW w:w="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Amount</w:t>
            </w:r>
          </w:p>
        </w:tc>
        <w:tc>
          <w:tcPr>
            <w:tcW w:w="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Amount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Capital</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(Deficit)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(Deficit)</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2018</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73,110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Pr>
          <w:p>
            <w:pPr>
              <w:ind w:left="140"/>
              <w:spacing w:after="0"/>
              <w:rPr>
                <w:sz w:val="20"/>
                <w:szCs w:val="20"/>
                <w:color w:val="auto"/>
              </w:rPr>
            </w:pPr>
            <w:r>
              <w:rPr>
                <w:rFonts w:ascii="Arial" w:cs="Arial" w:eastAsia="Arial" w:hAnsi="Arial"/>
                <w:sz w:val="18"/>
                <w:szCs w:val="18"/>
                <w:color w:val="auto"/>
              </w:rPr>
              <w:t>Distribution to members (b)</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Member redemption (b)</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(12,565)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00" w:type="dxa"/>
            <w:vAlign w:val="bottom"/>
          </w:tcPr>
          <w:p>
            <w:pPr>
              <w:ind w:left="140"/>
              <w:spacing w:after="0"/>
              <w:rPr>
                <w:sz w:val="20"/>
                <w:szCs w:val="20"/>
                <w:color w:val="auto"/>
              </w:rPr>
            </w:pPr>
            <w:r>
              <w:rPr>
                <w:rFonts w:ascii="Arial" w:cs="Arial" w:eastAsia="Arial" w:hAnsi="Arial"/>
                <w:sz w:val="18"/>
                <w:szCs w:val="18"/>
                <w:color w:val="auto"/>
              </w:rPr>
              <w:t>Pro-rata adjustment for</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40"/>
              <w:spacing w:after="0"/>
              <w:rPr>
                <w:sz w:val="20"/>
                <w:szCs w:val="20"/>
                <w:color w:val="auto"/>
              </w:rPr>
            </w:pPr>
            <w:r>
              <w:rPr>
                <w:rFonts w:ascii="Arial" w:cs="Arial" w:eastAsia="Arial" w:hAnsi="Arial"/>
                <w:sz w:val="18"/>
                <w:szCs w:val="18"/>
                <w:color w:val="auto"/>
              </w:rPr>
              <w:t>redemption (b)</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Equity-based compensation</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2018</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59,821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(162,071)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00" w:type="dxa"/>
            <w:vAlign w:val="bottom"/>
          </w:tcPr>
          <w:p>
            <w:pPr>
              <w:ind w:left="140"/>
              <w:spacing w:after="0"/>
              <w:rPr>
                <w:sz w:val="20"/>
                <w:szCs w:val="20"/>
                <w:color w:val="auto"/>
              </w:rPr>
            </w:pPr>
            <w:r>
              <w:rPr>
                <w:rFonts w:ascii="Arial" w:cs="Arial" w:eastAsia="Arial" w:hAnsi="Arial"/>
                <w:sz w:val="18"/>
                <w:szCs w:val="18"/>
                <w:color w:val="auto"/>
              </w:rPr>
              <w:t>Distribution to members (b)</w:t>
            </w: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Equity-based compensation</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Pr>
          <w:p>
            <w:pPr>
              <w:ind w:left="14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00" w:type="dxa"/>
            <w:vAlign w:val="bottom"/>
          </w:tcPr>
          <w:p>
            <w:pPr>
              <w:ind w:left="140"/>
              <w:spacing w:after="0"/>
              <w:rPr>
                <w:sz w:val="20"/>
                <w:szCs w:val="20"/>
                <w:color w:val="auto"/>
              </w:rPr>
            </w:pPr>
            <w:r>
              <w:rPr>
                <w:rFonts w:ascii="Arial" w:cs="Arial" w:eastAsia="Arial" w:hAnsi="Arial"/>
                <w:sz w:val="18"/>
                <w:szCs w:val="18"/>
                <w:color w:val="auto"/>
              </w:rPr>
              <w:t>Distribution to members (b)</w:t>
            </w: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Equity-based compensation</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00" w:type="dxa"/>
            <w:vAlign w:val="bottom"/>
          </w:tcPr>
          <w:p>
            <w:pPr>
              <w:ind w:left="140"/>
              <w:spacing w:after="0"/>
              <w:rPr>
                <w:sz w:val="20"/>
                <w:szCs w:val="20"/>
                <w:color w:val="auto"/>
              </w:rPr>
            </w:pPr>
            <w:r>
              <w:rPr>
                <w:rFonts w:ascii="Arial" w:cs="Arial" w:eastAsia="Arial" w:hAnsi="Arial"/>
                <w:sz w:val="18"/>
                <w:szCs w:val="18"/>
                <w:color w:val="auto"/>
              </w:rPr>
              <w:t>Conversion of MI</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140"/>
              <w:spacing w:after="0"/>
              <w:rPr>
                <w:sz w:val="20"/>
                <w:szCs w:val="20"/>
                <w:color w:val="auto"/>
              </w:rPr>
            </w:pPr>
            <w:r>
              <w:rPr>
                <w:rFonts w:ascii="Arial" w:cs="Arial" w:eastAsia="Arial" w:hAnsi="Arial"/>
                <w:sz w:val="18"/>
                <w:szCs w:val="18"/>
                <w:color w:val="auto"/>
              </w:rPr>
              <w:t>Acquisitions shares (c)</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7,291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42,091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49,389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Effects of Founders' Share</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Agreement (c)</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Pr>
          <w:p>
            <w:pPr>
              <w:ind w:left="140"/>
              <w:spacing w:after="0"/>
              <w:rPr>
                <w:sz w:val="20"/>
                <w:szCs w:val="20"/>
                <w:color w:val="auto"/>
              </w:rPr>
            </w:pPr>
            <w:r>
              <w:rPr>
                <w:rFonts w:ascii="Arial" w:cs="Arial" w:eastAsia="Arial" w:hAnsi="Arial"/>
                <w:sz w:val="18"/>
                <w:szCs w:val="18"/>
                <w:color w:val="auto"/>
              </w:rPr>
              <w:t>Recapitalization costs (c)</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Net deferred income tax asset</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500" w:type="dxa"/>
            <w:vAlign w:val="bottom"/>
          </w:tcPr>
          <w:p>
            <w:pPr>
              <w:ind w:left="140"/>
              <w:spacing w:after="0"/>
              <w:rPr>
                <w:sz w:val="20"/>
                <w:szCs w:val="20"/>
                <w:color w:val="auto"/>
              </w:rPr>
            </w:pPr>
            <w:r>
              <w:rPr>
                <w:rFonts w:ascii="Arial" w:cs="Arial" w:eastAsia="Arial" w:hAnsi="Arial"/>
                <w:sz w:val="18"/>
                <w:szCs w:val="18"/>
                <w:color w:val="auto"/>
              </w:rPr>
              <w:t>Common stock issued (d)</w:t>
            </w:r>
          </w:p>
        </w:tc>
        <w:tc>
          <w:tcPr>
            <w:tcW w:w="6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Arial" w:cs="Arial" w:eastAsia="Arial" w:hAnsi="Arial"/>
                <w:sz w:val="18"/>
                <w:szCs w:val="18"/>
                <w:color w:val="auto"/>
              </w:rPr>
              <w:t>September 30, 2018</w:t>
            </w: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67,047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(82,392)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40" w:hanging="232"/>
        <w:spacing w:after="0"/>
        <w:tabs>
          <w:tab w:leader="none" w:pos="240"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Before reverse acquisition and recapitalization on July 25, 2018. See "Corporate Matters" in Note 1, </w:t>
      </w:r>
      <w:r>
        <w:rPr>
          <w:rFonts w:ascii="Arial" w:cs="Arial" w:eastAsia="Arial" w:hAnsi="Arial"/>
          <w:sz w:val="15"/>
          <w:szCs w:val="15"/>
          <w:i w:val="1"/>
          <w:iCs w:val="1"/>
          <w:color w:val="auto"/>
        </w:rPr>
        <w:t>Nature of Business and Basis of Presentation</w:t>
      </w:r>
      <w:r>
        <w:rPr>
          <w:rFonts w:ascii="Arial" w:cs="Arial" w:eastAsia="Arial" w:hAnsi="Arial"/>
          <w:sz w:val="15"/>
          <w:szCs w:val="15"/>
          <w:color w:val="auto"/>
        </w:rPr>
        <w:t>.</w:t>
      </w:r>
    </w:p>
    <w:p>
      <w:pPr>
        <w:spacing w:after="0" w:line="30" w:lineRule="exact"/>
        <w:rPr>
          <w:rFonts w:ascii="Arial" w:cs="Arial" w:eastAsia="Arial" w:hAnsi="Arial"/>
          <w:sz w:val="15"/>
          <w:szCs w:val="15"/>
          <w:color w:val="auto"/>
        </w:rPr>
      </w:pPr>
    </w:p>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Related to loss of partnership status on July 25, 2018.</w:t>
      </w:r>
    </w:p>
    <w:p>
      <w:pPr>
        <w:spacing w:after="0" w:line="5" w:lineRule="exact"/>
        <w:rPr>
          <w:rFonts w:ascii="Arial" w:cs="Arial" w:eastAsia="Arial" w:hAnsi="Arial"/>
          <w:sz w:val="16"/>
          <w:szCs w:val="16"/>
          <w:color w:val="auto"/>
        </w:rPr>
      </w:pPr>
    </w:p>
    <w:p>
      <w:pPr>
        <w:ind w:left="240" w:hanging="232"/>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partial consideration for two business acquisitions during the third quarter of 2018.</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Par value of 475,195 common shares issued rounds to less than one thousand thousand dollars.</w:t>
      </w:r>
    </w:p>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ind w:left="5620" w:hanging="101"/>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560"/>
          </w:cols>
          <w:pgMar w:left="240" w:top="125" w:right="10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EQUITY</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Repurchases of the Company's Common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222222"/>
        </w:rPr>
        <w:t>During the second quarter of 2019, the Company repurchased a total of 451,224 shares of its common stock at an average price of $5.29 per share. Total cash paid by the Company was approximately $2.4 million. The repurchases were authorized under a December 2018 resolution by the Company's board of directors, which expired during the second quarter of 2019.</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Warrants for the Company's Common Stock</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22222"/>
        </w:rPr>
        <w:t>In August 2018, the Company was informed by Nasdaq that it intended to delist the Company's outstanding warrants and units due to an insufficient number of round lot holders for the public warrants. The Company subsequently filed a Registration Statement on Form S-4 with the SEC for the purpose of offering holders of the Company's outstanding 5,310,109 public warrants and 421,107 private warrants the opportunity to exchange each warrant for 0.192 shares of the Company's common stock. The exchange offer expired in February 2019 resulting in a portion of the warrants being tendered in exchange for approximately 420,000 shares of the Company's common stock plus cash in lieu of fractional shares. Nasdaq proceeded to delist the remaining outstanding warrants and units, which were comprised of one share of common stock and one warrant, from The Nasdaq Global Market at the open of business on March 6, 2019. The delisting of the remaining outstanding warrants and units had no impact on the Company's financial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Earn-Out Consideration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22222"/>
        </w:rPr>
        <w:t xml:space="preserve">An additional 9.8 million common shares may be issued under the Company's Earn-Out Incentive Plan. For the first earn-out of up to 4.9 million common shares, consolidated adjusted EBITDA (as defined in the Earn-Out Incentive Plan) of the Company must have been no less than $82.5 million for the year ended December 31, 2018 and the Company's stock price must trade in excess of $12.00 for any 20 trading days within any consecutive 30-day trading period at any time on or before December 31, 2019. For the second earn-out of up to 4.9 million common shares, consolidated adjusted EBITDA of the Company must be no less than $91.5 million for the year ending December 31, 2019 and the Company's stock price must trade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As of September 30, 2019 and December 31 2018, none of the 9.8 million shares have been earned. Any unvested shares issued to management or directors under compensation plans will be expensed under the provisions of ASC 718, </w:t>
      </w:r>
      <w:r>
        <w:rPr>
          <w:rFonts w:ascii="Arial" w:cs="Arial" w:eastAsia="Arial" w:hAnsi="Arial"/>
          <w:sz w:val="17"/>
          <w:szCs w:val="17"/>
          <w:i w:val="1"/>
          <w:iCs w:val="1"/>
          <w:color w:val="222222"/>
        </w:rPr>
        <w:t>Stock Compensation</w:t>
      </w:r>
      <w:r>
        <w:rPr>
          <w:rFonts w:ascii="Arial" w:cs="Arial" w:eastAsia="Arial" w:hAnsi="Arial"/>
          <w:sz w:val="17"/>
          <w:szCs w:val="17"/>
          <w:color w:val="222222"/>
        </w:rPr>
        <w: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EQUITY-BASED COMPENSATION PLANS</w:t>
      </w:r>
    </w:p>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three equity-based compensation plans: 2018 Equity Incentive Plan; Earnout Incentive Plan; and 2014 Management Incentive Plan. Total equity-based compensation expense for the quarters ended September 30, 2019 and September 30, 2018 was approximately $1.2 million and $0.3 million, respectively, and was $3.4 million and $1.1 million for the nine months ended September 30, 2019 and September 30, 2018, respectively. This expense is included in Salary and employee benefits in the accompanying unaudited condensed consolidated statements of operations. Expense recognized by plan was as follows: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356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shd w:val="clear" w:color="auto" w:fill="CCEEFF"/>
          </w:tcPr>
          <w:p>
            <w:pPr>
              <w:spacing w:after="0"/>
              <w:rPr>
                <w:sz w:val="22"/>
                <w:szCs w:val="22"/>
                <w:color w:val="auto"/>
              </w:rPr>
            </w:pPr>
          </w:p>
        </w:tc>
        <w:tc>
          <w:tcPr>
            <w:tcW w:w="316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color w:val="auto"/>
              </w:rPr>
              <w:t>Quarter Ended September 30,</w:t>
            </w:r>
          </w:p>
        </w:tc>
        <w:tc>
          <w:tcPr>
            <w:tcW w:w="280" w:type="dxa"/>
            <w:vAlign w:val="bottom"/>
            <w:shd w:val="clear" w:color="auto" w:fill="CCEEFF"/>
          </w:tcPr>
          <w:p>
            <w:pPr>
              <w:spacing w:after="0"/>
              <w:rPr>
                <w:sz w:val="22"/>
                <w:szCs w:val="22"/>
                <w:color w:val="auto"/>
              </w:rPr>
            </w:pPr>
          </w:p>
        </w:tc>
        <w:tc>
          <w:tcPr>
            <w:tcW w:w="3220" w:type="dxa"/>
            <w:vAlign w:val="bottom"/>
            <w:gridSpan w:val="4"/>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43"/>
        </w:trPr>
        <w:tc>
          <w:tcPr>
            <w:tcW w:w="4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40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400" w:type="dxa"/>
            <w:vAlign w:val="bottom"/>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2018</w:t>
            </w:r>
          </w:p>
        </w:tc>
        <w:tc>
          <w:tcPr>
            <w:tcW w:w="3160" w:type="dxa"/>
            <w:vAlign w:val="bottom"/>
          </w:tcPr>
          <w:p>
            <w:pPr>
              <w:ind w:left="20"/>
              <w:spacing w:after="0"/>
              <w:rPr>
                <w:sz w:val="20"/>
                <w:szCs w:val="20"/>
                <w:color w:val="auto"/>
              </w:rPr>
            </w:pPr>
            <w:r>
              <w:rPr>
                <w:rFonts w:ascii="Arial" w:cs="Arial" w:eastAsia="Arial" w:hAnsi="Arial"/>
                <w:sz w:val="18"/>
                <w:szCs w:val="18"/>
                <w:color w:val="auto"/>
              </w:rPr>
              <w:t>Equity Incentive Plan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2014</w:t>
            </w:r>
          </w:p>
        </w:tc>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Management Incentive Plan</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43"/>
        </w:trPr>
        <w:tc>
          <w:tcPr>
            <w:tcW w:w="3560" w:type="dxa"/>
            <w:vAlign w:val="bottom"/>
            <w:gridSpan w:val="2"/>
          </w:tcPr>
          <w:p>
            <w:pPr>
              <w:ind w:left="20"/>
              <w:spacing w:after="0"/>
              <w:rPr>
                <w:sz w:val="20"/>
                <w:szCs w:val="20"/>
                <w:color w:val="auto"/>
              </w:rPr>
            </w:pPr>
            <w:r>
              <w:rPr>
                <w:rFonts w:ascii="Arial" w:cs="Arial" w:eastAsia="Arial" w:hAnsi="Arial"/>
                <w:sz w:val="18"/>
                <w:szCs w:val="18"/>
                <w:color w:val="auto"/>
              </w:rPr>
              <w:t>Earnout Incentive Plan</w:t>
            </w:r>
          </w:p>
        </w:tc>
        <w:tc>
          <w:tcPr>
            <w:tcW w:w="3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6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0"/>
        </w:trPr>
        <w:tc>
          <w:tcPr>
            <w:tcW w:w="4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All unforfeited grants under the 2014 Management Incentive Plan were fully vested and expensed at September 30,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September 30, 2019, half of the unforfeited stock options issued in December 2018 under the 2018 Equity Incentive Plan vested. However, no stock options have been exercised because the market price of the Company's common stock has remained below the exercise price for all vested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Beginning in 2018, the Company elected to recognize the effects of forfeitures on compensation expense as the forfeitures occur for all plans.</w:t>
      </w:r>
    </w:p>
    <w:p>
      <w:pPr>
        <w:spacing w:after="0" w:line="200" w:lineRule="exact"/>
        <w:rPr>
          <w:sz w:val="20"/>
          <w:szCs w:val="20"/>
          <w:color w:val="auto"/>
        </w:rPr>
      </w:pPr>
    </w:p>
    <w:p>
      <w:pPr>
        <w:spacing w:after="0" w:line="2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FAIR VALUE</w:t>
      </w:r>
    </w:p>
    <w:p>
      <w:pPr>
        <w:spacing w:after="0" w:line="200" w:lineRule="exact"/>
        <w:rPr>
          <w:sz w:val="20"/>
          <w:szCs w:val="20"/>
          <w:color w:val="auto"/>
        </w:rPr>
      </w:pPr>
    </w:p>
    <w:p>
      <w:pPr>
        <w:spacing w:after="0" w:line="24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is a description of the valuation methodology used for the warrants issued to Goldman Sachs Specialty Lending Group, L.P. ("GS") and contingent consideration issued in business combinations, which were recorded and remeasured at fair value at the end of each reporting period.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GS Warrants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GS Credit Agreement, warrants issued by Holdings to GS for the purchase of Holdings' Class A common units (each, a "GS Warrant" and collectively, the "GS Warrants") were issued, canceled, and replaced at various times in 2018 and prior years. During the first quarter of 2018, a GS Warrant for the purchase of 1.8% of Holdings' outstanding Class A common units was replaced by a GS Warrant to purchase of 2.2% of Holdings' Class A common units. This new GS Warrant had a term of 7 years, an exercise price of $0, and could be exercised at any time prior to expiration date. Since the obligation was based solely on the fact that the 2.2% interest in the equity of Holdings was fixed and known at inception as well as the fact that GS could exercise the GS Warrant with a settlement in cash any time prior to the expiration date of December 31, 2023, the outstanding GS Warrant was required to be recorded as a liability. A $0.1 million decrease and a net $3.5 million increase in the fair value of the GS Warrant for the quarter and nine months ended September 30, 2018, respectively, is included in Other, net in the accompanying unaudited condensed consolidated statements of operations. The GS Warrant was redeemed in full on July 25, 2018 for $12.7 million in cash.</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GS Warrants were classified as level 3 in the fair value hierarchy. The fair value of the GS warrants was estimated based on the fair value of Holdings using a weighted-average of values derived from generally accepted valuation techniques, including market approaches, which consider the guideline public company method, the guideline transaction method, the recent funding method, and an income approach, which considered discounted cash flows.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Issued in 2018 Business Combinations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values of contingent consideration related to the Priority Payment Systems Tech Partners and Priority Payment Systems Northeast business acquisitions are based on a weighted payout probability at the measurement date, which falls within Level 3 on the fair value hierarchy. Both of these acquisitions occurred during the third quarter of 2018. At September 30,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December 31, 2018, the total fair value of the contingent consideration for both acquisitions was approximately $1.0 million, which was not materially different than the fair values on their original measurement dates.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liabilities measured at fair value on a recurring basis using significant unobservable inputs that were classified as Level 3 in the fair value hierarchy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203200</wp:posOffset>
            </wp:positionV>
            <wp:extent cx="60375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7580" cy="171450"/>
                    </a:xfrm>
                    <a:prstGeom prst="rect">
                      <a:avLst/>
                    </a:prstGeom>
                    <a:noFill/>
                  </pic:spPr>
                </pic:pic>
              </a:graphicData>
            </a:graphic>
          </wp:anchor>
        </w:drawing>
      </w:r>
    </w:p>
    <w:p>
      <w:pPr>
        <w:spacing w:after="0" w:line="31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(in thousands)</w:t>
      </w:r>
    </w:p>
    <w:p>
      <w:pPr>
        <w:spacing w:after="0" w:line="59"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Contingent Consideration</w:t>
            </w:r>
          </w:p>
        </w:tc>
        <w:tc>
          <w:tcPr>
            <w:tcW w:w="260" w:type="dxa"/>
            <w:vAlign w:val="bottom"/>
          </w:tcPr>
          <w:p>
            <w:pPr>
              <w:spacing w:after="0"/>
              <w:rPr>
                <w:sz w:val="20"/>
                <w:szCs w:val="20"/>
                <w:color w:val="auto"/>
              </w:rPr>
            </w:pPr>
          </w:p>
        </w:tc>
        <w:tc>
          <w:tcPr>
            <w:tcW w:w="1940" w:type="dxa"/>
            <w:vAlign w:val="bottom"/>
          </w:tcPr>
          <w:p>
            <w:pPr>
              <w:jc w:val="right"/>
              <w:ind w:right="330"/>
              <w:spacing w:after="0"/>
              <w:rPr>
                <w:sz w:val="20"/>
                <w:szCs w:val="20"/>
                <w:color w:val="auto"/>
              </w:rPr>
            </w:pPr>
            <w:r>
              <w:rPr>
                <w:rFonts w:ascii="Arial" w:cs="Arial" w:eastAsia="Arial" w:hAnsi="Arial"/>
                <w:sz w:val="18"/>
                <w:szCs w:val="18"/>
                <w:b w:val="1"/>
                <w:bCs w:val="1"/>
                <w:color w:val="auto"/>
              </w:rPr>
              <w:t>Warrant Liability</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Balance at January 1, 2018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8,701</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Extinguishment of GS 1.8%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r>
      <w:tr>
        <w:trPr>
          <w:trHeight w:val="243"/>
        </w:trPr>
        <w:tc>
          <w:tcPr>
            <w:tcW w:w="4540" w:type="dxa"/>
            <w:vAlign w:val="bottom"/>
          </w:tcPr>
          <w:p>
            <w:pPr>
              <w:ind w:left="160"/>
              <w:spacing w:after="0"/>
              <w:rPr>
                <w:sz w:val="20"/>
                <w:szCs w:val="20"/>
                <w:color w:val="auto"/>
              </w:rPr>
            </w:pPr>
            <w:r>
              <w:rPr>
                <w:rFonts w:ascii="Arial" w:cs="Arial" w:eastAsia="Arial" w:hAnsi="Arial"/>
                <w:sz w:val="18"/>
                <w:szCs w:val="18"/>
                <w:color w:val="auto"/>
              </w:rPr>
              <w:t>GS 2.2% warrant liability</w:t>
            </w:r>
          </w:p>
        </w:tc>
        <w:tc>
          <w:tcPr>
            <w:tcW w:w="220" w:type="dxa"/>
            <w:vAlign w:val="bottom"/>
          </w:tcPr>
          <w:p>
            <w:pPr>
              <w:spacing w:after="0"/>
              <w:rPr>
                <w:sz w:val="21"/>
                <w:szCs w:val="21"/>
                <w:color w:val="auto"/>
              </w:rPr>
            </w:pPr>
          </w:p>
        </w:tc>
        <w:tc>
          <w:tcPr>
            <w:tcW w:w="2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12,182</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2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12,182</w:t>
            </w:r>
          </w:p>
        </w:tc>
      </w:tr>
      <w:tr>
        <w:trPr>
          <w:trHeight w:val="237"/>
        </w:trPr>
        <w:tc>
          <w:tcPr>
            <w:tcW w:w="4540" w:type="dxa"/>
            <w:vAlign w:val="bottom"/>
          </w:tcPr>
          <w:p>
            <w:pPr>
              <w:ind w:left="160"/>
              <w:spacing w:after="0"/>
              <w:rPr>
                <w:sz w:val="20"/>
                <w:szCs w:val="20"/>
                <w:color w:val="auto"/>
              </w:rPr>
            </w:pPr>
            <w:r>
              <w:rPr>
                <w:rFonts w:ascii="Arial" w:cs="Arial" w:eastAsia="Arial" w:hAnsi="Arial"/>
                <w:sz w:val="18"/>
                <w:szCs w:val="18"/>
                <w:color w:val="auto"/>
              </w:rPr>
              <w:t>Adjustment to fair value included in earnings</w:t>
            </w:r>
          </w:p>
        </w:tc>
        <w:tc>
          <w:tcPr>
            <w:tcW w:w="22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2018</w:t>
            </w:r>
          </w:p>
        </w:tc>
        <w:tc>
          <w:tcPr>
            <w:tcW w:w="2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12,773</w:t>
            </w:r>
          </w:p>
        </w:tc>
      </w:tr>
      <w:tr>
        <w:trPr>
          <w:trHeight w:val="237"/>
        </w:trPr>
        <w:tc>
          <w:tcPr>
            <w:tcW w:w="4540" w:type="dxa"/>
            <w:vAlign w:val="bottom"/>
          </w:tcPr>
          <w:p>
            <w:pPr>
              <w:ind w:left="160"/>
              <w:spacing w:after="0"/>
              <w:rPr>
                <w:sz w:val="20"/>
                <w:szCs w:val="20"/>
                <w:color w:val="auto"/>
              </w:rPr>
            </w:pPr>
            <w:r>
              <w:rPr>
                <w:rFonts w:ascii="Arial" w:cs="Arial" w:eastAsia="Arial" w:hAnsi="Arial"/>
                <w:sz w:val="18"/>
                <w:szCs w:val="18"/>
                <w:color w:val="auto"/>
              </w:rPr>
              <w:t>Adjustment to fair value included in earnings</w:t>
            </w:r>
          </w:p>
        </w:tc>
        <w:tc>
          <w:tcPr>
            <w:tcW w:w="22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Extinguishment of GS 2.2% warrant liability</w:t>
            </w:r>
          </w:p>
        </w:tc>
        <w:tc>
          <w:tcPr>
            <w:tcW w:w="22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(12,701)</w:t>
            </w:r>
          </w:p>
        </w:tc>
      </w:tr>
      <w:tr>
        <w:trPr>
          <w:trHeight w:val="229"/>
        </w:trPr>
        <w:tc>
          <w:tcPr>
            <w:tcW w:w="4540" w:type="dxa"/>
            <w:vAlign w:val="bottom"/>
          </w:tcPr>
          <w:p>
            <w:pPr>
              <w:ind w:left="160"/>
              <w:spacing w:after="0"/>
              <w:rPr>
                <w:sz w:val="20"/>
                <w:szCs w:val="20"/>
                <w:color w:val="auto"/>
              </w:rPr>
            </w:pPr>
            <w:r>
              <w:rPr>
                <w:rFonts w:ascii="Arial" w:cs="Arial" w:eastAsia="Arial" w:hAnsi="Arial"/>
                <w:sz w:val="18"/>
                <w:szCs w:val="18"/>
                <w:color w:val="auto"/>
              </w:rPr>
              <w:t>Estimated contingent consideration for business</w:t>
            </w:r>
          </w:p>
        </w:tc>
        <w:tc>
          <w:tcPr>
            <w:tcW w:w="2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4540" w:type="dxa"/>
            <w:vAlign w:val="bottom"/>
          </w:tcPr>
          <w:p>
            <w:pPr>
              <w:ind w:left="16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20"/>
                <w:szCs w:val="20"/>
                <w:color w:val="auto"/>
              </w:rPr>
            </w:pP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2018</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311"/>
        </w:trPr>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24"/>
        </w:trPr>
        <w:tc>
          <w:tcPr>
            <w:tcW w:w="4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Balance at January 1, 2019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440" w:type="dxa"/>
            <w:vAlign w:val="bottom"/>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22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adjustments</w:t>
            </w:r>
          </w:p>
        </w:tc>
        <w:tc>
          <w:tcPr>
            <w:tcW w:w="2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540" w:type="dxa"/>
            <w:vAlign w:val="bottom"/>
          </w:tcPr>
          <w:p>
            <w:pPr>
              <w:ind w:left="20"/>
              <w:spacing w:after="0"/>
              <w:rPr>
                <w:sz w:val="20"/>
                <w:szCs w:val="20"/>
                <w:color w:val="auto"/>
              </w:rPr>
            </w:pPr>
            <w:r>
              <w:rPr>
                <w:rFonts w:ascii="Arial" w:cs="Arial" w:eastAsia="Arial" w:hAnsi="Arial"/>
                <w:sz w:val="18"/>
                <w:szCs w:val="18"/>
                <w:color w:val="auto"/>
              </w:rPr>
              <w:t>Balance at June 30, 2019</w:t>
            </w:r>
          </w:p>
        </w:tc>
        <w:tc>
          <w:tcPr>
            <w:tcW w:w="22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4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Fair value adjustments</w:t>
            </w:r>
          </w:p>
        </w:tc>
        <w:tc>
          <w:tcPr>
            <w:tcW w:w="220" w:type="dxa"/>
            <w:vAlign w:val="bottom"/>
            <w:tcBorders>
              <w:bottom w:val="single" w:sz="8" w:color="CCEEFF"/>
            </w:tcBorders>
            <w:shd w:val="clear" w:color="auto" w:fill="CCEEFF"/>
          </w:tcPr>
          <w:p>
            <w:pPr>
              <w:spacing w:after="0"/>
              <w:rPr>
                <w:sz w:val="22"/>
                <w:szCs w:val="22"/>
                <w:color w:val="auto"/>
              </w:rPr>
            </w:pPr>
          </w:p>
        </w:tc>
        <w:tc>
          <w:tcPr>
            <w:tcW w:w="2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540" w:type="dxa"/>
            <w:vAlign w:val="bottom"/>
          </w:tcPr>
          <w:p>
            <w:pPr>
              <w:ind w:left="20"/>
              <w:spacing w:after="0"/>
              <w:rPr>
                <w:sz w:val="20"/>
                <w:szCs w:val="20"/>
                <w:color w:val="auto"/>
              </w:rPr>
            </w:pPr>
            <w:r>
              <w:rPr>
                <w:rFonts w:ascii="Arial" w:cs="Arial" w:eastAsia="Arial" w:hAnsi="Arial"/>
                <w:sz w:val="18"/>
                <w:szCs w:val="18"/>
                <w:color w:val="auto"/>
              </w:rPr>
              <w:t>Balance at September 30, 2019</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4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the fair value levels during the quarters or nine months ended September 30, 2019 and September 30,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Fair Value Disclosures </w:t>
      </w:r>
      <w:r>
        <w:rPr>
          <w:rFonts w:ascii="Arial" w:cs="Arial" w:eastAsia="Arial" w:hAnsi="Arial"/>
          <w:sz w:val="18"/>
          <w:szCs w:val="18"/>
          <w:i w:val="1"/>
          <w:iCs w:val="1"/>
          <w:color w:val="auto"/>
        </w:rPr>
        <w:t>(Level 3 in the fair value hierarchy)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Notes receivable are carried at amortized cost. Substantially all of the Company's notes receivable are secured, and the Company believes that all of its notes receivable are collectible. The fair value of the Company's notes receivable at September 30, 2019 and December 31, 2018 was approximately $5.2 million and $1.8 million, respectively.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Borrower's outstanding debt obligations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are reflected in the Company's consolidated balance sheets at carrying value since the Company did not elect to remeasure debt obligations to fair value at the end of each reporting period. The carrying values of the long-term debt approximate fair value due to mechanisms in the credit agreements that adjust the applicable interest rates.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three reportable segments that are reviewed by the Company's chief operating decision maker ("CODM"), who is the Company's Chief Executive Officer and Chairman. The Consumer Payments operating segment and the Integrated Partners operating segments are each reported as separate reportable segments. The Commercial Payments and Institutional Services (sometimes referred to as Managed Services) operating segments are aggregated into one reportable segment, Commercial Payments.</w:t>
      </w:r>
    </w:p>
    <w:p>
      <w:pPr>
        <w:spacing w:after="0" w:line="187" w:lineRule="exact"/>
        <w:rPr>
          <w:sz w:val="20"/>
          <w:szCs w:val="20"/>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consumer-related services and offerings including merchant acquiring and transaction processing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proprietary MX enterprise suite. Either through acquisition of merchant portfolios or through resellers, the Company becomes a party or enters into contracts with a merchant and a sponsor bank. Pursuant to the contracts, for each card transaction, the sponsor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3"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Commercial Payments – </w:t>
      </w:r>
      <w:r>
        <w:rPr>
          <w:rFonts w:ascii="Arial" w:cs="Arial" w:eastAsia="Arial" w:hAnsi="Arial"/>
          <w:sz w:val="18"/>
          <w:szCs w:val="18"/>
          <w:color w:val="auto"/>
        </w:rPr>
        <w:t>represents services provided to certain enterprise customers, including outsourced sales force to those customers and</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automation services to commercial customers.</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Integrated Partners – </w:t>
      </w:r>
      <w:r>
        <w:rPr>
          <w:rFonts w:ascii="Arial" w:cs="Arial" w:eastAsia="Arial" w:hAnsi="Arial"/>
          <w:sz w:val="17"/>
          <w:szCs w:val="17"/>
          <w:color w:val="auto"/>
        </w:rPr>
        <w:t>represents payment adjacent services that are provided primarily to the health care and residential real estate industries.</w:t>
      </w:r>
    </w:p>
    <w:p>
      <w:pPr>
        <w:spacing w:after="0" w:line="200" w:lineRule="exact"/>
        <w:rPr>
          <w:sz w:val="20"/>
          <w:szCs w:val="20"/>
          <w:color w:val="auto"/>
        </w:rPr>
      </w:pPr>
    </w:p>
    <w:p>
      <w:pPr>
        <w:spacing w:after="0" w:line="25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Corporate includes costs of corporate functions and shared services not allocated to our reportable segments. During the fourth quarter of 2018, the Company adjusted its methodology of allocating certain corporate overhead costs to its reportable segments. All prior periods presented have been adjusted to reflect the current allocation methodology.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second quarter of 2019, the Integrated Partners operating segment was aggregated with the Commercial Payments and Institutional Services operating segments and reported as one aggregated reportable segment. In the second quarter of 2019, the Integrated Partners operating segment was no longer aggregated with the Commercial Payments and Institutional Services operating segments. All comparative periods have been adjusted to reflect the current three reportable segments.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on reportable segments and reconciliations to consolidated revenue, consolidated income from operations, and consolidated depreciation and amortization are as follows for the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2940" w:type="dxa"/>
            <w:vAlign w:val="bottom"/>
            <w:tcBorders>
              <w:bottom w:val="single" w:sz="8" w:color="auto"/>
            </w:tcBorders>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rPr>
              <w:t>Quarter Ended September 30,</w:t>
            </w:r>
          </w:p>
        </w:tc>
        <w:tc>
          <w:tcPr>
            <w:tcW w:w="280" w:type="dxa"/>
            <w:vAlign w:val="bottom"/>
            <w:tcBorders>
              <w:bottom w:val="single" w:sz="8" w:color="auto"/>
            </w:tcBorders>
            <w:shd w:val="clear" w:color="auto" w:fill="CCEEFF"/>
          </w:tcPr>
          <w:p>
            <w:pPr>
              <w:spacing w:after="0"/>
              <w:rPr>
                <w:sz w:val="22"/>
                <w:szCs w:val="22"/>
                <w:color w:val="auto"/>
              </w:rPr>
            </w:pPr>
          </w:p>
        </w:tc>
        <w:tc>
          <w:tcPr>
            <w:tcW w:w="3240" w:type="dxa"/>
            <w:vAlign w:val="bottom"/>
            <w:tcBorders>
              <w:bottom w:val="single" w:sz="8" w:color="auto"/>
            </w:tcBorders>
            <w:gridSpan w:val="4"/>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5"/>
              </w:rPr>
              <w:t>Nine Months Ended September 30,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1"/>
                <w:szCs w:val="21"/>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94,058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95,801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276,129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302,514</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Payments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20,473</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Integrated Partners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8,939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20,195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962</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109,954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103,591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317,356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323,949</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7,221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11,905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22,303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37,466</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Payments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Integrated Partners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(21,450)</w:t>
            </w:r>
          </w:p>
        </w:tc>
      </w:tr>
      <w:tr>
        <w:trPr>
          <w:trHeight w:val="297"/>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Consolidated income from operations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2,725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14,643</w:t>
            </w:r>
          </w:p>
        </w:tc>
      </w:tr>
      <w:tr>
        <w:trPr>
          <w:trHeight w:val="271"/>
        </w:trPr>
        <w:tc>
          <w:tcPr>
            <w:tcW w:w="4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Commercial Payments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393</w:t>
            </w: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Integrated Partners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Consolidated depreciation and amortization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10,077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28,763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12,679</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total income from operations of reportable segments to the Company's net loss is provided in the following table: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49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shd w:val="clear" w:color="auto" w:fill="CCEEFF"/>
          </w:tcPr>
          <w:p>
            <w:pPr>
              <w:spacing w:after="0"/>
              <w:rPr>
                <w:sz w:val="23"/>
                <w:szCs w:val="23"/>
                <w:color w:val="auto"/>
              </w:rPr>
            </w:pPr>
          </w:p>
        </w:tc>
        <w:tc>
          <w:tcPr>
            <w:tcW w:w="2440" w:type="dxa"/>
            <w:vAlign w:val="bottom"/>
            <w:gridSpan w:val="5"/>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2"/>
              </w:rPr>
              <w:t>Quarter Ended</w:t>
            </w:r>
          </w:p>
        </w:tc>
        <w:tc>
          <w:tcPr>
            <w:tcW w:w="320" w:type="dxa"/>
            <w:vAlign w:val="bottom"/>
            <w:shd w:val="clear" w:color="auto" w:fill="CCEEFF"/>
          </w:tcPr>
          <w:p>
            <w:pPr>
              <w:spacing w:after="0"/>
              <w:rPr>
                <w:sz w:val="23"/>
                <w:szCs w:val="23"/>
                <w:color w:val="auto"/>
              </w:rPr>
            </w:pPr>
          </w:p>
        </w:tc>
        <w:tc>
          <w:tcPr>
            <w:tcW w:w="2520" w:type="dxa"/>
            <w:vAlign w:val="bottom"/>
            <w:gridSpan w:val="4"/>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1"/>
                <w:szCs w:val="21"/>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10"/>
        </w:trPr>
        <w:tc>
          <w:tcPr>
            <w:tcW w:w="49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from operations of reportable segments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36,093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(21,450)</w:t>
            </w: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(21,893)</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Plus (less) other, net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(5,108)</w:t>
            </w: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r>
      <w:tr>
        <w:trPr>
          <w:trHeight w:val="257"/>
        </w:trPr>
        <w:tc>
          <w:tcPr>
            <w:tcW w:w="4940" w:type="dxa"/>
            <w:vAlign w:val="bottom"/>
          </w:tcPr>
          <w:p>
            <w:pPr>
              <w:ind w:left="260"/>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(11,367)</w:t>
            </w: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not significantly reliant upon any single customer for the quarter and nine months ended September 30, 2019 and September 30,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revenue is generated in the United States.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computation of the Company's basic and diluted loss per common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60" w:type="dxa"/>
            <w:vAlign w:val="bottom"/>
            <w:gridSpan w:val="5"/>
            <w:shd w:val="clear" w:color="auto" w:fill="CCEEFF"/>
          </w:tcPr>
          <w:p>
            <w:pPr>
              <w:ind w:left="120"/>
              <w:spacing w:after="0"/>
              <w:rPr>
                <w:sz w:val="20"/>
                <w:szCs w:val="20"/>
                <w:color w:val="auto"/>
              </w:rPr>
            </w:pPr>
            <w:r>
              <w:rPr>
                <w:rFonts w:ascii="Arial" w:cs="Arial" w:eastAsia="Arial" w:hAnsi="Arial"/>
                <w:sz w:val="18"/>
                <w:szCs w:val="18"/>
                <w:b w:val="1"/>
                <w:bCs w:val="1"/>
                <w:color w:val="auto"/>
              </w:rPr>
              <w:t>Quarter Ended September 30,</w:t>
            </w:r>
          </w:p>
        </w:tc>
        <w:tc>
          <w:tcPr>
            <w:tcW w:w="240" w:type="dxa"/>
            <w:vAlign w:val="bottom"/>
            <w:shd w:val="clear" w:color="auto" w:fill="CCEEFF"/>
          </w:tcPr>
          <w:p>
            <w:pPr>
              <w:spacing w:after="0"/>
              <w:rPr>
                <w:sz w:val="22"/>
                <w:szCs w:val="22"/>
                <w:color w:val="auto"/>
              </w:rPr>
            </w:pPr>
          </w:p>
        </w:tc>
        <w:tc>
          <w:tcPr>
            <w:tcW w:w="318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4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Basic Loss Per Common Share:</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(11,367)</w:t>
            </w: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Distributions to participating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(11,412)</w:t>
            </w: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31"/>
        </w:trPr>
        <w:tc>
          <w:tcPr>
            <w:tcW w:w="4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60,339</w:t>
            </w:r>
          </w:p>
        </w:tc>
      </w:tr>
      <w:tr>
        <w:trPr>
          <w:trHeight w:val="230"/>
        </w:trPr>
        <w:tc>
          <w:tcPr>
            <w:tcW w:w="4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r>
      <w:tr>
        <w:trPr>
          <w:trHeight w:val="26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399"/>
        </w:trPr>
        <w:tc>
          <w:tcPr>
            <w:tcW w:w="45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Loss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(11,367)</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Less: Gain on warrant liability</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Distributions to participating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4520" w:type="dxa"/>
            <w:vAlign w:val="bottom"/>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(11,412)</w:t>
            </w: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4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60,339</w:t>
            </w: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Dilutive common share equivalents</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dilutive shares outstanding</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64,544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60,339</w:t>
            </w:r>
          </w:p>
        </w:tc>
      </w:tr>
      <w:tr>
        <w:trPr>
          <w:trHeight w:val="210"/>
        </w:trPr>
        <w:tc>
          <w:tcPr>
            <w:tcW w:w="45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loss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(0.19)</w:t>
            </w:r>
          </w:p>
        </w:tc>
      </w:tr>
      <w:tr>
        <w:trPr>
          <w:trHeight w:val="20"/>
        </w:trPr>
        <w:tc>
          <w:tcPr>
            <w:tcW w:w="4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Potentially anti-dilutive securities that were excluded from earnings per share at September 30, 2019 that could be dilutive in future periods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114935</wp:posOffset>
            </wp:positionV>
            <wp:extent cx="544576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45760" cy="171450"/>
                    </a:xfrm>
                    <a:prstGeom prst="rect">
                      <a:avLst/>
                    </a:prstGeom>
                    <a:noFill/>
                  </pic:spPr>
                </pic:pic>
              </a:graphicData>
            </a:graphic>
          </wp:anchor>
        </w:drawing>
      </w:r>
    </w:p>
    <w:p>
      <w:pPr>
        <w:spacing w:after="0" w:line="174" w:lineRule="exact"/>
        <w:rPr>
          <w:sz w:val="20"/>
          <w:szCs w:val="20"/>
          <w:color w:val="auto"/>
        </w:rPr>
      </w:pPr>
    </w:p>
    <w:p>
      <w:pPr>
        <w:ind w:left="1460"/>
        <w:spacing w:after="0"/>
        <w:rPr>
          <w:sz w:val="20"/>
          <w:szCs w:val="20"/>
          <w:color w:val="auto"/>
        </w:rPr>
      </w:pPr>
      <w:r>
        <w:rPr>
          <w:rFonts w:ascii="Arial" w:cs="Arial" w:eastAsia="Arial" w:hAnsi="Arial"/>
          <w:sz w:val="18"/>
          <w:szCs w:val="18"/>
          <w:i w:val="1"/>
          <w:iCs w:val="1"/>
          <w:color w:val="auto"/>
        </w:rPr>
        <w:t>(in thousands)</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6720" w:type="dxa"/>
            <w:vAlign w:val="bottom"/>
          </w:tcPr>
          <w:p>
            <w:pPr>
              <w:ind w:left="40"/>
              <w:spacing w:after="0"/>
              <w:rPr>
                <w:sz w:val="20"/>
                <w:szCs w:val="20"/>
                <w:color w:val="auto"/>
              </w:rPr>
            </w:pPr>
            <w:r>
              <w:rPr>
                <w:rFonts w:ascii="Arial" w:cs="Arial" w:eastAsia="Arial" w:hAnsi="Arial"/>
                <w:sz w:val="18"/>
                <w:szCs w:val="18"/>
                <w:color w:val="auto"/>
              </w:rPr>
              <w:t>Outstanding warrants on common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3,557</w:t>
            </w:r>
          </w:p>
        </w:tc>
      </w:tr>
      <w:tr>
        <w:trPr>
          <w:trHeight w:val="27"/>
        </w:trPr>
        <w:tc>
          <w:tcPr>
            <w:tcW w:w="67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awards issued under 2018 Equity Incentive Plan</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Outstanding stock option awards issued under 2018 Equity Incentive Plan</w:t>
            </w:r>
          </w:p>
        </w:tc>
        <w:tc>
          <w:tcPr>
            <w:tcW w:w="1860" w:type="dxa"/>
            <w:vAlign w:val="bottom"/>
          </w:tcPr>
          <w:p>
            <w:pPr>
              <w:jc w:val="right"/>
              <w:spacing w:after="0"/>
              <w:rPr>
                <w:sz w:val="20"/>
                <w:szCs w:val="20"/>
                <w:color w:val="auto"/>
              </w:rPr>
            </w:pPr>
            <w:r>
              <w:rPr>
                <w:rFonts w:ascii="Arial" w:cs="Arial" w:eastAsia="Arial" w:hAnsi="Arial"/>
                <w:sz w:val="18"/>
                <w:szCs w:val="18"/>
                <w:color w:val="auto"/>
              </w:rPr>
              <w:t>1,794</w:t>
            </w:r>
          </w:p>
        </w:tc>
      </w:tr>
      <w:tr>
        <w:trPr>
          <w:trHeight w:val="27"/>
        </w:trPr>
        <w:tc>
          <w:tcPr>
            <w:tcW w:w="672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Earnout incentive awards issued and subject to vesting</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Earnout incentive awards subject to future issuance</w:t>
            </w:r>
          </w:p>
        </w:tc>
        <w:tc>
          <w:tcPr>
            <w:tcW w:w="1860" w:type="dxa"/>
            <w:vAlign w:val="bottom"/>
          </w:tcPr>
          <w:p>
            <w:pPr>
              <w:jc w:val="right"/>
              <w:spacing w:after="0"/>
              <w:rPr>
                <w:sz w:val="20"/>
                <w:szCs w:val="20"/>
                <w:color w:val="auto"/>
              </w:rPr>
            </w:pPr>
            <w:r>
              <w:rPr>
                <w:rFonts w:ascii="Arial" w:cs="Arial" w:eastAsia="Arial" w:hAnsi="Arial"/>
                <w:sz w:val="18"/>
                <w:szCs w:val="18"/>
                <w:color w:val="auto"/>
              </w:rPr>
              <w:t>9,705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160"/>
          </w:cols>
          <w:pgMar w:left="240" w:top="125" w:right="4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audited consolidated financial statements and related notes for the years ended December 31, 2018, 2017 and 2016 and the section entitled "Management's Discussion and Analysis of Financial Condition and Results of Operations," included in the Company's Annual Report on Form 10-K filed with the U.S. Securities and Exchange Commission on March 29, 2019 (the "Annual Report").</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Some of the statements made in this Quarterly Report on Form 10-Q constitute forward-looking statements within the meaning of the federal securities laws. Such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such as statements about our future financial performance, including any underlying assumptions, are forward- looking statements. The words "anticipate," "believe," "continue," "could," "estimate," "expect," "future," "goal," "intend," "likely," "may," "might," "plan," "possible," "potential," "predict," "project," "seek," "should," "would," "will," "approximately," "shall" and similar expressions may identify forward-looking statements, but the absence of these words does not mean that a statement is not forward-looking. Forward-looking statements contained in this Quarterly Report on Form 10-Q include, but are not limited to, statements about:</w:t>
      </w:r>
    </w:p>
    <w:p>
      <w:pPr>
        <w:spacing w:after="0" w:line="19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in the payment processing industry;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distribution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unauthorized disclosures of merchant or cardholder data, whether through breach of our computer systems, computer viruses, or otherwise;</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breakdowns in our processing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 regulation, including regulation of consumer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use of third-party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changes in card association and debit network fees or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failure to comply with the rules established by payment networks or standards established by third-party processor;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proposed acquisitions or any risks associated with completed acquisitions;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risks and uncertainties set forth in the "Item 1A - Risk Factors" included in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Quarterly Report on Form 10-Q.</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forward-looking statements contained in this Quarterly Report on Form 10-Q are based on our current expectations and beliefs concerning future developments and their potential effects on us. You should not place undue reliance on these forward-looking statements in deciding whether to invest in our securities. We cannot assure you that future developments affecting us will be those that we have anticipated. These forward-looking statements involve a number of risks, uncertainties (some of which are beyond our control) or other assumptions that may cause our actual results or performance to be materially different from those expressed or implied by these forward-looking statements. Should one or more of these risks or uncertainties materialize, or should any of our assumptions prove incorrect, actual results may vary in material respects from those projected in these forward-looking statements.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You should read this Quarterly Report on Form 10-Q with the understanding that our actual future results, levels of activity, performance and achievements may be materially different from what we expect. We qualify all of our forward-looking statements by these cautionary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Forward-looking statements speak only as of the date they were made. We undertake no obligation to update or revise any forward-looking statements, whether as a result of new information, future events or otherwise, except as may be required under applicable securities laws.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Used in this Quarterly Report on Form 10-Q</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used in this Quarterly Report on Form 10-Q, unless the context otherwise requires, references to the terms "Company," "we," "us" and "our" refer to Priority Technology Holdings,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section includes a summary of our results of operations for the periods presented followed by a detailed discussion of our results for the quarter ended September 30, 2019 (or third quarter of 2019) compared to the quarter ended September 30, 2018 (or third quarter of 2018), and the nine months ended September 30, 2019 (or first nine months of 2019) compared to the nine months ended September 30, 2018 (or first nine months of 2018). We have derived this data, except key indicators for merchant bankcard processing dollar values and transaction volumes, from our unaudited condensed consolidated financial statements included elsewhere in this Quarterly Report on Form 10-Q and our audited consolidated financial statements included in the Annual Report.</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revenue for the quarter and nine months ended September 30, 2019 has been negatively affected by the closure of high-margin accounts with certain subscription-billing e-commerce merchants. The closure of merchants in this channel was due to industry-wide changes for enhanced card association compliance. This revenue, which is entirely within our Consumer Payments reportable segment, was $1.2 million and $11.7 million for the quarters ended September 30, 2019 and September 30, 2018, respectively, and $6.8 million and $57.8 million for the first nine months of 2019 and 2018, respectively. Our income from operations associated with these merchants was $0.5 million and $4.1 million for the quarters ended September 30, 2019 and September 30, 2018, respectively, and $2.8 million and $18.3 million for the first nine months of 2019 and 2018, respectively.</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to the impact of the closures of certain merchants described above, our income from operations for the quarter and nine months ended September 30, 2019 has been negatively affected by certain expenses largely associated with our July 25, 2018 business combination (the "Business Combination"), conversion to a public company, certain legal matters, and in the second and third quarters of 2019, expenses associated with temporary transition services from YapStone related to the March 2019 asset acquisition. These expenses were approximately $1.2 million and $3.5 million for the quarters ended September 30, 2019 and September 30, 2018, respectively, and $4.0 million and $10.3 million for the first nine months of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30, 2019 compared to Quarter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691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171450"/>
                    </a:xfrm>
                    <a:prstGeom prst="rect">
                      <a:avLst/>
                    </a:prstGeom>
                    <a:noFill/>
                  </pic:spPr>
                </pic:pic>
              </a:graphicData>
            </a:graphic>
          </wp:anchor>
        </w:drawing>
      </w:r>
    </w:p>
    <w:p>
      <w:pPr>
        <w:spacing w:after="0" w:line="363"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Quarter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34290</wp:posOffset>
            </wp:positionV>
            <wp:extent cx="22040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4"/>
            <w:shd w:val="clear" w:color="auto" w:fill="CCEEFF"/>
          </w:tcPr>
          <w:p>
            <w:pPr>
              <w:jc w:val="right"/>
              <w:ind w:right="87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card fees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Outsourced services and other</w:t>
            </w: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8,676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(442)</w:t>
            </w:r>
          </w:p>
        </w:tc>
        <w:tc>
          <w:tcPr>
            <w:tcW w:w="1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183"/>
        </w:trPr>
        <w:tc>
          <w:tcPr>
            <w:tcW w:w="47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480" w:type="dxa"/>
            <w:vAlign w:val="bottom"/>
          </w:tcPr>
          <w:p>
            <w:pPr>
              <w:spacing w:after="0"/>
              <w:rPr>
                <w:sz w:val="15"/>
                <w:szCs w:val="15"/>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74,953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3,077</w:t>
            </w:r>
          </w:p>
        </w:tc>
        <w:tc>
          <w:tcPr>
            <w:tcW w:w="148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7"/>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Costs of outsourced services and other</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10,668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480" w:type="dxa"/>
            <w:vAlign w:val="bottom"/>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105.7 %</w:t>
            </w: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8,789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(2,094)</w:t>
            </w:r>
          </w:p>
        </w:tc>
        <w:tc>
          <w:tcPr>
            <w:tcW w:w="148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7"/>
        </w:trPr>
        <w:tc>
          <w:tcPr>
            <w:tcW w:w="4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4"/>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107,229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7,198</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169"/>
        </w:trPr>
        <w:tc>
          <w:tcPr>
            <w:tcW w:w="47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480" w:type="dxa"/>
            <w:vAlign w:val="bottom"/>
          </w:tcPr>
          <w:p>
            <w:pPr>
              <w:spacing w:after="0"/>
              <w:rPr>
                <w:sz w:val="14"/>
                <w:szCs w:val="14"/>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Income from operations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64"/>
        </w:trPr>
        <w:tc>
          <w:tcPr>
            <w:tcW w:w="478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480" w:type="dxa"/>
            <w:vAlign w:val="bottom"/>
          </w:tcPr>
          <w:p>
            <w:pPr>
              <w:spacing w:after="0"/>
              <w:rPr>
                <w:sz w:val="22"/>
                <w:szCs w:val="2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(3,129)</w:t>
            </w:r>
          </w:p>
        </w:tc>
        <w:tc>
          <w:tcPr>
            <w:tcW w:w="1480" w:type="dxa"/>
            <w:vAlign w:val="bottom"/>
          </w:tcPr>
          <w:p>
            <w:pPr>
              <w:jc w:val="right"/>
              <w:spacing w:after="0"/>
              <w:rPr>
                <w:sz w:val="20"/>
                <w:szCs w:val="20"/>
                <w:color w:val="auto"/>
              </w:rPr>
            </w:pPr>
            <w:r>
              <w:rPr>
                <w:rFonts w:ascii="Arial" w:cs="Arial" w:eastAsia="Arial" w:hAnsi="Arial"/>
                <w:sz w:val="18"/>
                <w:szCs w:val="18"/>
                <w:color w:val="auto"/>
              </w:rPr>
              <w:t>42.7 %</w:t>
            </w:r>
          </w:p>
        </w:tc>
      </w:tr>
      <w:tr>
        <w:trPr>
          <w:trHeight w:val="27"/>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Total other expenses, net</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480" w:type="dxa"/>
            <w:vAlign w:val="bottom"/>
          </w:tcPr>
          <w:p>
            <w:pPr>
              <w:jc w:val="right"/>
              <w:spacing w:after="0"/>
              <w:rPr>
                <w:sz w:val="20"/>
                <w:szCs w:val="20"/>
                <w:color w:val="auto"/>
              </w:rPr>
            </w:pPr>
            <w:r>
              <w:rPr>
                <w:rFonts w:ascii="Arial" w:cs="Arial" w:eastAsia="Arial" w:hAnsi="Arial"/>
                <w:sz w:val="18"/>
                <w:szCs w:val="18"/>
                <w:color w:val="auto"/>
              </w:rPr>
              <w:t>44.9 %</w:t>
            </w:r>
          </w:p>
        </w:tc>
      </w:tr>
      <w:tr>
        <w:trPr>
          <w:trHeight w:val="27"/>
        </w:trPr>
        <w:tc>
          <w:tcPr>
            <w:tcW w:w="4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169"/>
        </w:trPr>
        <w:tc>
          <w:tcPr>
            <w:tcW w:w="47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b w:val="1"/>
                <w:bCs w:val="1"/>
                <w:color w:val="auto"/>
              </w:rPr>
              <w:t>Loss before income taxes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(4,027)</w:t>
            </w:r>
          </w:p>
        </w:tc>
        <w:tc>
          <w:tcPr>
            <w:tcW w:w="1480" w:type="dxa"/>
            <w:vAlign w:val="bottom"/>
          </w:tcPr>
          <w:p>
            <w:pPr>
              <w:jc w:val="right"/>
              <w:spacing w:after="0"/>
              <w:rPr>
                <w:sz w:val="20"/>
                <w:szCs w:val="20"/>
                <w:color w:val="auto"/>
              </w:rPr>
            </w:pPr>
            <w:r>
              <w:rPr>
                <w:rFonts w:ascii="Arial" w:cs="Arial" w:eastAsia="Arial" w:hAnsi="Arial"/>
                <w:sz w:val="18"/>
                <w:szCs w:val="18"/>
                <w:color w:val="auto"/>
              </w:rPr>
              <w:t>113.3 %</w:t>
            </w:r>
          </w:p>
        </w:tc>
      </w:tr>
      <w:tr>
        <w:trPr>
          <w:trHeight w:val="27"/>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6"/>
        </w:trPr>
        <w:tc>
          <w:tcPr>
            <w:tcW w:w="47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(745)</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nm</w:t>
            </w:r>
          </w:p>
        </w:tc>
      </w:tr>
      <w:tr>
        <w:trPr>
          <w:trHeight w:val="27"/>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16"/>
        </w:trPr>
        <w:tc>
          <w:tcPr>
            <w:tcW w:w="47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57"/>
        </w:trPr>
        <w:tc>
          <w:tcPr>
            <w:tcW w:w="4780" w:type="dxa"/>
            <w:vAlign w:val="bottom"/>
          </w:tcPr>
          <w:p>
            <w:pPr>
              <w:ind w:left="40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w:t>
            </w:r>
          </w:p>
        </w:tc>
        <w:tc>
          <w:tcPr>
            <w:tcW w:w="1480" w:type="dxa"/>
            <w:vAlign w:val="bottom"/>
          </w:tcPr>
          <w:p>
            <w:pPr>
              <w:jc w:val="right"/>
              <w:spacing w:after="0"/>
              <w:rPr>
                <w:sz w:val="20"/>
                <w:szCs w:val="20"/>
                <w:color w:val="auto"/>
              </w:rPr>
            </w:pPr>
            <w:r>
              <w:rPr>
                <w:rFonts w:ascii="Arial" w:cs="Arial" w:eastAsia="Arial" w:hAnsi="Arial"/>
                <w:sz w:val="18"/>
                <w:szCs w:val="18"/>
                <w:color w:val="auto"/>
              </w:rPr>
              <w:t>128.1 %</w:t>
            </w:r>
          </w:p>
        </w:tc>
      </w:tr>
      <w:tr>
        <w:trPr>
          <w:trHeight w:val="20"/>
        </w:trPr>
        <w:tc>
          <w:tcPr>
            <w:tcW w:w="4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- 31 -</w:t>
      </w:r>
    </w:p>
    <w:p>
      <w:pPr>
        <w:sectPr>
          <w:pgSz w:w="11900" w:h="16838" w:orient="portrait"/>
          <w:cols w:equalWidth="0" w:num="1">
            <w:col w:w="11300"/>
          </w:cols>
          <w:pgMar w:left="240" w:top="125" w:right="35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2019 compared to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289560</wp:posOffset>
            </wp:positionV>
            <wp:extent cx="696341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3410"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34290</wp:posOffset>
            </wp:positionV>
            <wp:extent cx="22809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57"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w w:val="90"/>
              </w:rPr>
              <w:t>Change</w:t>
            </w: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3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Merchant card fees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292,694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299,661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Outsourced services and other</w:t>
            </w:r>
          </w:p>
        </w:tc>
        <w:tc>
          <w:tcPr>
            <w:tcW w:w="10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24,662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24,288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44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7"/>
        </w:trPr>
        <w:tc>
          <w:tcPr>
            <w:tcW w:w="43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4"/>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revenue</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317,356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323,949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318"/>
        </w:trPr>
        <w:tc>
          <w:tcPr>
            <w:tcW w:w="43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Costs of merchant card fees</w:t>
            </w:r>
          </w:p>
        </w:tc>
        <w:tc>
          <w:tcPr>
            <w:tcW w:w="10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w w:val="86"/>
              </w:rPr>
              <w:t>215,433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230,276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(14,843)</w:t>
            </w:r>
          </w:p>
        </w:tc>
        <w:tc>
          <w:tcPr>
            <w:tcW w:w="14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Costs of outsourced services and other</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14,079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Salary and employee benefits</w:t>
            </w:r>
          </w:p>
        </w:tc>
        <w:tc>
          <w:tcPr>
            <w:tcW w:w="10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31,923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28,406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3,517</w:t>
            </w:r>
          </w:p>
        </w:tc>
        <w:tc>
          <w:tcPr>
            <w:tcW w:w="1440" w:type="dxa"/>
            <w:vAlign w:val="bottom"/>
          </w:tcPr>
          <w:p>
            <w:pPr>
              <w:jc w:val="right"/>
              <w:spacing w:after="0"/>
              <w:rPr>
                <w:sz w:val="20"/>
                <w:szCs w:val="20"/>
                <w:color w:val="auto"/>
              </w:rPr>
            </w:pPr>
            <w:r>
              <w:rPr>
                <w:rFonts w:ascii="Arial" w:cs="Arial" w:eastAsia="Arial" w:hAnsi="Arial"/>
                <w:sz w:val="18"/>
                <w:szCs w:val="18"/>
                <w:color w:val="auto"/>
              </w:rPr>
              <w:t>12.4 %</w:t>
            </w:r>
          </w:p>
        </w:tc>
      </w:tr>
      <w:tr>
        <w:trPr>
          <w:trHeight w:val="27"/>
        </w:trPr>
        <w:tc>
          <w:tcPr>
            <w:tcW w:w="4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16,084</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126.9 %</w:t>
            </w: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0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21,031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24,427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(3,396)</w:t>
            </w:r>
          </w:p>
        </w:tc>
        <w:tc>
          <w:tcPr>
            <w:tcW w:w="14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43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64"/>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311,229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309,306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10"/>
        </w:trPr>
        <w:tc>
          <w:tcPr>
            <w:tcW w:w="438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4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Income from operations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14,643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318"/>
        </w:trPr>
        <w:tc>
          <w:tcPr>
            <w:tcW w:w="43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3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(30,602)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(8,709)</w:t>
            </w:r>
          </w:p>
        </w:tc>
        <w:tc>
          <w:tcPr>
            <w:tcW w:w="1440" w:type="dxa"/>
            <w:vAlign w:val="bottom"/>
          </w:tcPr>
          <w:p>
            <w:pPr>
              <w:jc w:val="right"/>
              <w:spacing w:after="0"/>
              <w:rPr>
                <w:sz w:val="20"/>
                <w:szCs w:val="20"/>
                <w:color w:val="auto"/>
              </w:rPr>
            </w:pPr>
            <w:r>
              <w:rPr>
                <w:rFonts w:ascii="Arial" w:cs="Arial" w:eastAsia="Arial" w:hAnsi="Arial"/>
                <w:sz w:val="18"/>
                <w:szCs w:val="18"/>
                <w:color w:val="auto"/>
              </w:rPr>
              <w:t>39.8 %</w:t>
            </w:r>
          </w:p>
        </w:tc>
      </w:tr>
      <w:tr>
        <w:trPr>
          <w:trHeight w:val="27"/>
        </w:trPr>
        <w:tc>
          <w:tcPr>
            <w:tcW w:w="4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5,631</w:t>
            </w:r>
          </w:p>
        </w:tc>
        <w:tc>
          <w:tcPr>
            <w:tcW w:w="14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nm</w:t>
            </w:r>
          </w:p>
        </w:tc>
      </w:tr>
      <w:tr>
        <w:trPr>
          <w:trHeight w:val="237"/>
        </w:trPr>
        <w:tc>
          <w:tcPr>
            <w:tcW w:w="4380" w:type="dxa"/>
            <w:vAlign w:val="bottom"/>
          </w:tcPr>
          <w:p>
            <w:pPr>
              <w:ind w:left="360"/>
              <w:spacing w:after="0"/>
              <w:rPr>
                <w:sz w:val="20"/>
                <w:szCs w:val="20"/>
                <w:color w:val="auto"/>
              </w:rPr>
            </w:pPr>
            <w:r>
              <w:rPr>
                <w:rFonts w:ascii="Arial" w:cs="Arial" w:eastAsia="Arial" w:hAnsi="Arial"/>
                <w:sz w:val="18"/>
                <w:szCs w:val="18"/>
                <w:color w:val="auto"/>
              </w:rPr>
              <w:t>Total other expenses, net</w:t>
            </w: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(30,079)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(27,001)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144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7"/>
        </w:trPr>
        <w:tc>
          <w:tcPr>
            <w:tcW w:w="43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10"/>
        </w:trPr>
        <w:tc>
          <w:tcPr>
            <w:tcW w:w="4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3"/>
        </w:trPr>
        <w:tc>
          <w:tcPr>
            <w:tcW w:w="4380" w:type="dxa"/>
            <w:vAlign w:val="bottom"/>
          </w:tcPr>
          <w:p>
            <w:pPr>
              <w:ind w:left="360"/>
              <w:spacing w:after="0"/>
              <w:rPr>
                <w:sz w:val="20"/>
                <w:szCs w:val="20"/>
                <w:color w:val="auto"/>
              </w:rPr>
            </w:pPr>
            <w:r>
              <w:rPr>
                <w:rFonts w:ascii="Arial" w:cs="Arial" w:eastAsia="Arial" w:hAnsi="Arial"/>
                <w:sz w:val="18"/>
                <w:szCs w:val="18"/>
                <w:b w:val="1"/>
                <w:bCs w:val="1"/>
                <w:color w:val="auto"/>
              </w:rPr>
              <w:t>Loss before income taxes</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(23,952)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(11,594)</w:t>
            </w:r>
          </w:p>
        </w:tc>
        <w:tc>
          <w:tcPr>
            <w:tcW w:w="1440" w:type="dxa"/>
            <w:vAlign w:val="bottom"/>
          </w:tcPr>
          <w:p>
            <w:pPr>
              <w:jc w:val="right"/>
              <w:spacing w:after="0"/>
              <w:rPr>
                <w:sz w:val="20"/>
                <w:szCs w:val="20"/>
                <w:color w:val="auto"/>
              </w:rPr>
            </w:pPr>
            <w:r>
              <w:rPr>
                <w:rFonts w:ascii="Arial" w:cs="Arial" w:eastAsia="Arial" w:hAnsi="Arial"/>
                <w:sz w:val="18"/>
                <w:szCs w:val="18"/>
                <w:color w:val="auto"/>
              </w:rPr>
              <w:t>93.8 %</w:t>
            </w:r>
          </w:p>
        </w:tc>
      </w:tr>
      <w:tr>
        <w:trPr>
          <w:trHeight w:val="27"/>
        </w:trPr>
        <w:tc>
          <w:tcPr>
            <w:tcW w:w="4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10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3,459</w:t>
            </w:r>
          </w:p>
        </w:tc>
        <w:tc>
          <w:tcPr>
            <w:tcW w:w="1440" w:type="dxa"/>
            <w:vAlign w:val="bottom"/>
          </w:tcPr>
          <w:p>
            <w:pPr>
              <w:jc w:val="right"/>
              <w:ind w:right="470"/>
              <w:spacing w:after="0"/>
              <w:rPr>
                <w:sz w:val="20"/>
                <w:szCs w:val="20"/>
                <w:color w:val="auto"/>
              </w:rPr>
            </w:pPr>
            <w:r>
              <w:rPr>
                <w:rFonts w:ascii="Arial" w:cs="Arial" w:eastAsia="Arial" w:hAnsi="Arial"/>
                <w:sz w:val="18"/>
                <w:szCs w:val="18"/>
                <w:color w:val="auto"/>
              </w:rPr>
              <w:t>nm</w:t>
            </w:r>
          </w:p>
        </w:tc>
      </w:tr>
      <w:tr>
        <w:trPr>
          <w:trHeight w:val="27"/>
        </w:trPr>
        <w:tc>
          <w:tcPr>
            <w:tcW w:w="4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57"/>
        </w:trPr>
        <w:tc>
          <w:tcPr>
            <w:tcW w:w="4380" w:type="dxa"/>
            <w:vAlign w:val="bottom"/>
          </w:tcPr>
          <w:p>
            <w:pPr>
              <w:ind w:left="380"/>
              <w:spacing w:after="0"/>
              <w:rPr>
                <w:sz w:val="20"/>
                <w:szCs w:val="20"/>
                <w:color w:val="auto"/>
              </w:rPr>
            </w:pPr>
            <w:r>
              <w:rPr>
                <w:rFonts w:ascii="Arial" w:cs="Arial" w:eastAsia="Arial" w:hAnsi="Arial"/>
                <w:sz w:val="18"/>
                <w:szCs w:val="18"/>
                <w:b w:val="1"/>
                <w:bCs w:val="1"/>
                <w:color w:val="auto"/>
              </w:rPr>
              <w:t>Net loss</w:t>
            </w: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(26,420)</w:t>
            </w:r>
          </w:p>
        </w:tc>
        <w:tc>
          <w:tcPr>
            <w:tcW w:w="12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(15,053)</w:t>
            </w:r>
          </w:p>
        </w:tc>
        <w:tc>
          <w:tcPr>
            <w:tcW w:w="1440" w:type="dxa"/>
            <w:vAlign w:val="bottom"/>
          </w:tcPr>
          <w:p>
            <w:pPr>
              <w:jc w:val="right"/>
              <w:spacing w:after="0"/>
              <w:rPr>
                <w:sz w:val="20"/>
                <w:szCs w:val="20"/>
                <w:color w:val="auto"/>
              </w:rPr>
            </w:pPr>
            <w:r>
              <w:rPr>
                <w:rFonts w:ascii="Arial" w:cs="Arial" w:eastAsia="Arial" w:hAnsi="Arial"/>
                <w:sz w:val="18"/>
                <w:szCs w:val="18"/>
                <w:color w:val="auto"/>
              </w:rPr>
              <w:t>132.4 %</w:t>
            </w:r>
          </w:p>
        </w:tc>
      </w:tr>
      <w:tr>
        <w:trPr>
          <w:trHeight w:val="20"/>
        </w:trPr>
        <w:tc>
          <w:tcPr>
            <w:tcW w:w="4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200"/>
          </w:cols>
          <w:pgMar w:left="240" w:top="125" w:right="4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our reportable segments' financial performance data and selected performance measures for the third quarter of 2019 compared to the third quarter of 2018:</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340" w:type="dxa"/>
            <w:vAlign w:val="bottom"/>
            <w:shd w:val="clear" w:color="auto" w:fill="CCEEFF"/>
          </w:tcPr>
          <w:p>
            <w:pPr>
              <w:spacing w:after="0"/>
              <w:rPr>
                <w:sz w:val="22"/>
                <w:szCs w:val="22"/>
                <w:color w:val="auto"/>
              </w:rPr>
            </w:pPr>
          </w:p>
        </w:tc>
        <w:tc>
          <w:tcPr>
            <w:tcW w:w="3200" w:type="dxa"/>
            <w:vAlign w:val="bottom"/>
            <w:gridSpan w:val="5"/>
            <w:shd w:val="clear" w:color="auto" w:fill="CCEEFF"/>
          </w:tcPr>
          <w:p>
            <w:pPr>
              <w:ind w:left="220"/>
              <w:spacing w:after="0"/>
              <w:rPr>
                <w:sz w:val="20"/>
                <w:szCs w:val="20"/>
                <w:color w:val="auto"/>
              </w:rPr>
            </w:pPr>
            <w:r>
              <w:rPr>
                <w:rFonts w:ascii="Arial" w:cs="Arial" w:eastAsia="Arial" w:hAnsi="Arial"/>
                <w:sz w:val="18"/>
                <w:szCs w:val="18"/>
                <w:b w:val="1"/>
                <w:bCs w:val="1"/>
                <w:color w:val="auto"/>
              </w:rPr>
              <w:t>Quarter Ended September 30,</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70"/>
        </w:trPr>
        <w:tc>
          <w:tcPr>
            <w:tcW w:w="46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2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64"/>
        </w:trPr>
        <w:tc>
          <w:tcPr>
            <w:tcW w:w="46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12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Consumer Payments:</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94,058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95,801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86,837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83,896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2,941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4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gridSpan w:val="2"/>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11,905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4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8,302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88.0 %</w:t>
            </w:r>
          </w:p>
        </w:tc>
      </w:tr>
      <w:tr>
        <w:trPr>
          <w:trHeight w:val="189"/>
        </w:trPr>
        <w:tc>
          <w:tcPr>
            <w:tcW w:w="4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10,566,500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9,643,512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922,988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9.6 %</w:t>
            </w: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131,646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84"/>
        </w:trPr>
        <w:tc>
          <w:tcPr>
            <w:tcW w:w="4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Commercial Payments: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6,957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7,340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7,016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97"/>
        </w:trPr>
        <w:tc>
          <w:tcPr>
            <w:tcW w:w="4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834.1 %</w:t>
            </w:r>
          </w:p>
        </w:tc>
      </w:tr>
      <w:tr>
        <w:trPr>
          <w:trHeight w:val="237"/>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62"/>
        </w:trPr>
        <w:tc>
          <w:tcPr>
            <w:tcW w:w="4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Key Indicators:</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92,290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63,361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28,929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45.7 %</w:t>
            </w: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4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Integrated Partners:</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8,939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8,124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nm</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7,936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1,241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1"/>
                <w:szCs w:val="21"/>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nm</w:t>
            </w:r>
          </w:p>
        </w:tc>
      </w:tr>
      <w:tr>
        <w:trPr>
          <w:trHeight w:val="27"/>
        </w:trPr>
        <w:tc>
          <w:tcPr>
            <w:tcW w:w="4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1,429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nm</w:t>
            </w:r>
          </w:p>
        </w:tc>
      </w:tr>
      <w:tr>
        <w:trPr>
          <w:trHeight w:val="20"/>
        </w:trPr>
        <w:tc>
          <w:tcPr>
            <w:tcW w:w="4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3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nm</w:t>
            </w:r>
          </w:p>
        </w:tc>
      </w:tr>
      <w:tr>
        <w:trPr>
          <w:trHeight w:val="230"/>
        </w:trPr>
        <w:tc>
          <w:tcPr>
            <w:tcW w:w="4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Key Indicators:</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119,747</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2,351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117,396</w:t>
            </w:r>
          </w:p>
        </w:tc>
        <w:tc>
          <w:tcPr>
            <w:tcW w:w="100" w:type="dxa"/>
            <w:vAlign w:val="bottom"/>
          </w:tcPr>
          <w:p>
            <w:pPr>
              <w:spacing w:after="0"/>
              <w:rPr>
                <w:sz w:val="21"/>
                <w:szCs w:val="21"/>
                <w:color w:val="auto"/>
              </w:rPr>
            </w:pPr>
          </w:p>
        </w:tc>
        <w:tc>
          <w:tcPr>
            <w:tcW w:w="1420" w:type="dxa"/>
            <w:vAlign w:val="bottom"/>
          </w:tcPr>
          <w:p>
            <w:pPr>
              <w:jc w:val="right"/>
              <w:ind w:right="510"/>
              <w:spacing w:after="0"/>
              <w:rPr>
                <w:sz w:val="20"/>
                <w:szCs w:val="20"/>
                <w:color w:val="auto"/>
              </w:rPr>
            </w:pPr>
            <w:r>
              <w:rPr>
                <w:rFonts w:ascii="Arial" w:cs="Arial" w:eastAsia="Arial" w:hAnsi="Arial"/>
                <w:sz w:val="18"/>
                <w:szCs w:val="18"/>
                <w:color w:val="auto"/>
              </w:rPr>
              <w:t>nm</w:t>
            </w: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nm</w:t>
            </w:r>
          </w:p>
        </w:tc>
      </w:tr>
      <w:tr>
        <w:trPr>
          <w:trHeight w:val="284"/>
        </w:trPr>
        <w:tc>
          <w:tcPr>
            <w:tcW w:w="4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gridSpan w:val="2"/>
          </w:tcPr>
          <w:p>
            <w:pPr>
              <w:spacing w:after="0"/>
              <w:rPr>
                <w:sz w:val="24"/>
                <w:szCs w:val="24"/>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11,438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Less: Corporate expenses</w:t>
            </w:r>
          </w:p>
        </w:tc>
        <w:tc>
          <w:tcPr>
            <w:tcW w:w="34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2,762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(35.1)%</w:t>
            </w:r>
          </w:p>
        </w:tc>
      </w:tr>
      <w:tr>
        <w:trPr>
          <w:trHeight w:val="27"/>
        </w:trPr>
        <w:tc>
          <w:tcPr>
            <w:tcW w:w="4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520" w:type="dxa"/>
            <w:vAlign w:val="bottom"/>
            <w:tcBorders>
              <w:bottom w:val="single" w:sz="8" w:color="CCEEFF"/>
            </w:tcBorders>
            <w:gridSpan w:val="2"/>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3,560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4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230"/>
        </w:trPr>
        <w:tc>
          <w:tcPr>
            <w:tcW w:w="4600" w:type="dxa"/>
            <w:vAlign w:val="bottom"/>
          </w:tcPr>
          <w:p>
            <w:pPr>
              <w:ind w:left="40"/>
              <w:spacing w:after="0"/>
              <w:rPr>
                <w:sz w:val="20"/>
                <w:szCs w:val="20"/>
                <w:color w:val="auto"/>
              </w:rPr>
            </w:pPr>
            <w:r>
              <w:rPr>
                <w:rFonts w:ascii="Arial" w:cs="Arial" w:eastAsia="Arial" w:hAnsi="Arial"/>
                <w:sz w:val="18"/>
                <w:szCs w:val="18"/>
                <w:color w:val="auto"/>
              </w:rPr>
              <w:t>Corporate depreciation and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43.0 %</w:t>
            </w: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4"/>
        </w:trPr>
        <w:tc>
          <w:tcPr>
            <w:tcW w:w="46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3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10,778,537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9,709,224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1,069,313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340" w:type="dxa"/>
            <w:vAlign w:val="bottom"/>
          </w:tcPr>
          <w:p>
            <w:pPr>
              <w:spacing w:after="0"/>
              <w:rPr>
                <w:sz w:val="21"/>
                <w:szCs w:val="21"/>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132,092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120,935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11,157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9.2 %</w:t>
            </w:r>
          </w:p>
        </w:tc>
      </w:tr>
    </w:tbl>
    <w:p>
      <w:pPr>
        <w:spacing w:after="0" w:line="200" w:lineRule="exact"/>
        <w:rPr>
          <w:sz w:val="20"/>
          <w:szCs w:val="20"/>
          <w:color w:val="auto"/>
        </w:rPr>
      </w:pPr>
    </w:p>
    <w:p>
      <w:pPr>
        <w:sectPr>
          <w:pgSz w:w="11900" w:h="16838" w:orient="portrait"/>
          <w:cols w:equalWidth="0" w:num="1">
            <w:col w:w="11300"/>
          </w:cols>
          <w:pgMar w:left="24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- 33 -</w:t>
      </w:r>
    </w:p>
    <w:p>
      <w:pPr>
        <w:sectPr>
          <w:pgSz w:w="11900" w:h="16838" w:orient="portrait"/>
          <w:cols w:equalWidth="0" w:num="1">
            <w:col w:w="11300"/>
          </w:cols>
          <w:pgMar w:left="240" w:top="125" w:right="35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shows our reportable segments' financial performance data and selected performance measures for the first nine months of 2019 compared to the first nine months of 2018:</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shd w:val="clear" w:color="auto" w:fill="CCEEFF"/>
          </w:tcPr>
          <w:p>
            <w:pPr>
              <w:spacing w:after="0"/>
              <w:rPr>
                <w:sz w:val="22"/>
                <w:szCs w:val="22"/>
                <w:color w:val="auto"/>
              </w:rPr>
            </w:pPr>
          </w:p>
        </w:tc>
        <w:tc>
          <w:tcPr>
            <w:tcW w:w="342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45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1"/>
                <w:szCs w:val="21"/>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Consumer Payments: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276,129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302,514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(26,385)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253,826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265,048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(11,222)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22,303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37,466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(15,163)</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24,215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11,497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110.6 %</w:t>
            </w:r>
          </w:p>
        </w:tc>
      </w:tr>
      <w:tr>
        <w:trPr>
          <w:trHeight w:val="270"/>
        </w:trPr>
        <w:tc>
          <w:tcPr>
            <w:tcW w:w="4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Key Indicators: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31,551,404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28,548,235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3,003,169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10.5 %</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transaction volume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382,676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351,304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31,372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70"/>
        </w:trPr>
        <w:tc>
          <w:tcPr>
            <w:tcW w:w="4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Commercial Payments: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21,032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20,473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2.7 %</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22,148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21,218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97"/>
        </w:trPr>
        <w:tc>
          <w:tcPr>
            <w:tcW w:w="4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Loss from operations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49.8 %</w:t>
            </w:r>
          </w:p>
        </w:tc>
      </w:tr>
      <w:tr>
        <w:trPr>
          <w:trHeight w:val="237"/>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4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Key Indicators: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Merchant bankcard processing dollar value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236,716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180,764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55,952</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31.0 %</w:t>
            </w: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Merchant bankcard transaction volume</w:t>
            </w:r>
          </w:p>
        </w:tc>
        <w:tc>
          <w:tcPr>
            <w:tcW w:w="28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4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b w:val="1"/>
                <w:bCs w:val="1"/>
                <w:color w:val="auto"/>
              </w:rPr>
              <w:t>Integrated Partners: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20,195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nm</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18,853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1,590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17,263</w:t>
            </w:r>
          </w:p>
        </w:tc>
        <w:tc>
          <w:tcPr>
            <w:tcW w:w="1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nm</w:t>
            </w:r>
          </w:p>
        </w:tc>
      </w:tr>
      <w:tr>
        <w:trPr>
          <w:trHeight w:val="27"/>
        </w:trPr>
        <w:tc>
          <w:tcPr>
            <w:tcW w:w="4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nm</w:t>
            </w:r>
          </w:p>
        </w:tc>
      </w:tr>
      <w:tr>
        <w:trPr>
          <w:trHeight w:val="20"/>
        </w:trPr>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Operating margin</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nm</w:t>
            </w:r>
          </w:p>
        </w:tc>
      </w:tr>
      <w:tr>
        <w:trPr>
          <w:trHeight w:val="216"/>
        </w:trPr>
        <w:tc>
          <w:tcPr>
            <w:tcW w:w="4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Key Indicators: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80"/>
              <w:spacing w:after="0"/>
              <w:rPr>
                <w:sz w:val="20"/>
                <w:szCs w:val="20"/>
                <w:color w:val="auto"/>
              </w:rPr>
            </w:pPr>
            <w:r>
              <w:rPr>
                <w:rFonts w:ascii="Arial" w:cs="Arial" w:eastAsia="Arial" w:hAnsi="Arial"/>
                <w:sz w:val="18"/>
                <w:szCs w:val="18"/>
                <w:color w:val="auto"/>
              </w:rPr>
              <w:t>Merchant bankcard processing dollar value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259,894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2,351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257,543</w:t>
            </w:r>
          </w:p>
        </w:tc>
        <w:tc>
          <w:tcPr>
            <w:tcW w:w="120" w:type="dxa"/>
            <w:vAlign w:val="bottom"/>
          </w:tcPr>
          <w:p>
            <w:pPr>
              <w:spacing w:after="0"/>
              <w:rPr>
                <w:sz w:val="21"/>
                <w:szCs w:val="21"/>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nm</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Merchant bankcard transaction volume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nm</w:t>
            </w:r>
          </w:p>
        </w:tc>
      </w:tr>
      <w:tr>
        <w:trPr>
          <w:trHeight w:val="284"/>
        </w:trPr>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 of reportable segments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22,529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36,093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Less: Corporate expenses</w:t>
            </w:r>
          </w:p>
        </w:tc>
        <w:tc>
          <w:tcPr>
            <w:tcW w:w="2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(16,402)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(21,450)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5,048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4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income from operations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14,643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0"/>
        </w:trPr>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4500" w:type="dxa"/>
            <w:vAlign w:val="bottom"/>
          </w:tcPr>
          <w:p>
            <w:pPr>
              <w:ind w:left="40"/>
              <w:spacing w:after="0"/>
              <w:rPr>
                <w:sz w:val="20"/>
                <w:szCs w:val="20"/>
                <w:color w:val="auto"/>
              </w:rPr>
            </w:pPr>
            <w:r>
              <w:rPr>
                <w:rFonts w:ascii="Arial" w:cs="Arial" w:eastAsia="Arial" w:hAnsi="Arial"/>
                <w:sz w:val="18"/>
                <w:szCs w:val="18"/>
                <w:color w:val="auto"/>
              </w:rPr>
              <w:t>Corporate depreciation and amortization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73.8 %</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5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Key indicators:</w:t>
            </w:r>
          </w:p>
        </w:tc>
        <w:tc>
          <w:tcPr>
            <w:tcW w:w="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Merchant bankcard processing dollar value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32,048,014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28,731,350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3,316,664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11.5 %</w:t>
            </w:r>
          </w:p>
        </w:tc>
      </w:tr>
      <w:tr>
        <w:trPr>
          <w:trHeight w:val="243"/>
        </w:trPr>
        <w:tc>
          <w:tcPr>
            <w:tcW w:w="4500" w:type="dxa"/>
            <w:vAlign w:val="bottom"/>
          </w:tcPr>
          <w:p>
            <w:pPr>
              <w:ind w:left="180"/>
              <w:spacing w:after="0"/>
              <w:rPr>
                <w:sz w:val="20"/>
                <w:szCs w:val="20"/>
                <w:color w:val="auto"/>
              </w:rPr>
            </w:pPr>
            <w:r>
              <w:rPr>
                <w:rFonts w:ascii="Arial" w:cs="Arial" w:eastAsia="Arial" w:hAnsi="Arial"/>
                <w:sz w:val="18"/>
                <w:szCs w:val="18"/>
                <w:color w:val="auto"/>
              </w:rPr>
              <w:t>Merchant bankcard transaction volume</w:t>
            </w:r>
          </w:p>
        </w:tc>
        <w:tc>
          <w:tcPr>
            <w:tcW w:w="28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383,672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351,416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32,256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9.2 %</w:t>
            </w:r>
          </w:p>
        </w:tc>
      </w:tr>
      <w:tr>
        <w:trPr>
          <w:trHeight w:val="486"/>
        </w:trPr>
        <w:tc>
          <w:tcPr>
            <w:tcW w:w="4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color w:val="auto"/>
              </w:rPr>
              <w:t>- 34 -</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020"/>
          </w:cols>
          <w:pgMar w:left="240" w:top="125" w:right="6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2019 compared to Third Quarter of 2018</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third quarter of 2019, our consolidated revenue increased by $6.4 million, or 6.1%, from the third quarter of 2018 to $110.0 million. This increase was driven by a $8.1 million increase in revenue from our Integrated Partners reportable segment, driven by the YapStone, Inc. ("YapStone") asset acquisition that occurred in March 2019. This increase in revenue for Integrated Partners was partially offset by a $1.7 million decrease, or 1.8%, in revenue in our Consumer Payments segment. Revenue in our Commercial Payments segment did not change materially. Consolidated merchant bankcard processing dollar value and merchant bankcard transactions increased 11.0% and 9.2%, respectively.</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decrease in third quarter of 2019 revenue in our Consumer Payments segment was due to a decrease of $10.5 million from certain subscription-billing e-commerce merchants. Excluding this impact, revenue grew $8.8 million, or 10.4%, driven by growth in bankcard processing dollar value and merchant bankcard transactions of 9.6% and 8.9%, respectively. The higher merchant bankcard processing dollar value and transaction volume for the third quarter of 2019 were mainly due to the continuation of strong consumer spending trends in 2019 and positive net onboarding of new merchants. Additionally, the average dollar amount per bankcard transaction (calculated by dividing bankcard processing volume by the associated number of transactions processed) of $80.26 increased 0.6% for the third quarter of 2019 from $79.78 for the third quarter of 2018.</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Payments revenue for the third quarter of 2019 did not change materially. Revenue from CPX accounts payable automated solutions of $2.0 million in the third quarter of 2019 increased 82.9% compared to the 2018 third quarter. Revenue from curated managed services programs of $5.0 million in the third quarter of 2019 declined by $0.9 million compared with the 2018 third quarter. The managed services decline was largely driven by lower incentive revenue in the third quarter of 2019.</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in our Integrated Partners reportable segment, previously aggregated with our Commercial Payments reportable segment, was $8.9 million for the third quarter of 2019. A substantial portion of this segment's activities started after third quarter of 2018 through the YapStone asset acquisition. Priority Real Estate Technology ("PRET") comprised $8.4 million of this reportable segment's revenue in the third quarter of 2019. PRET is comprised primarily of the assets acquired from YapStone in March 2019 and the net assets acquired from RadPad Holdings, Inc. in July 2018. Revenue from Priority PayRight Health Solutions and Priority Hospitality Technology, whose assets the Company acquired in April 2018 and February 2019, respectively, comprised the remainder of this reportable segment's revenue.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Nine Months of 2019 compared to First Nine Months of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first nine months of 2019, our consolidated revenue declined by $6.6 million, or 2.0%, from $323.9 million to $317.4 million. This decline reflects a decrease of $26.4 million in our Consumer Payments segment, partially offset by increases in our Integrated Partners segment and Commercial Payments segment of $19.2 million and $0.6 million, respectively. Consolidated merchant bankcard processing dollar value and merchant bankcard transactions increased 11.5% and 9.2%, respectively.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decrease in the first nine months of 2019 revenue in our Consumer Payments segment was due to a decrease of $51.0 million from certain subscription-billing e-commerce merchants. Excluding this impact, revenue grew by $24.6 million, or 10.0%, driven by growth in bankcard processing dollar value and merchant bankcard transactions of 10.5% and 8.9%, respectively. The higher merchant bankcard processing dollar value and transaction volume for the first nine months of 2019 were mainly due to the continuation of strong consumer spending trends in 2019 and positive net onboarding of new merchants. Additionally, the average dollar amount per bankcard transaction (calculated by dividing bankcard processing volume by the associated number of transactions processed) of $82.45 increased 1.5% for the first nine months of 2019 from $81.26 for the first nine months of 2018.</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Commercial Payments segment revenue for the first nine months of 2019 increased by $0.6 million, or 2.7%, compared to the first nine months of 2018. This growth was driven by our CPX accounts payable automated solutions services, which grew $2.1 million, or 66.0%. Revenue from our curated managed services programs declined by $1.6 million compared to the first nine months of 2018, driven by lower incentive revenue in the first nine months of 2019.</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Revenue in our Integrated Partners reportable segment, previously aggregated with our Commercial Payments reportable segment, was $20.2 million for the first nine months of 2019. A substantial portion of this segment's activities started after the third quarter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2018 through several business and asset acquisitions. Priority Real Estate Technology comprised $18.7 million of this reportable segment's revenue in the first nine months of 2019. PRET is comprised primarily of the assets acquired from YapStone in March 2019 and the net assets acquired from RadPad Holdings, Inc. in July 2018. Revenue from Priority PayRight Health Solutions and Priority Hospitality Technology, whose assets we acquired in April 2018 and February 2019, respectively, comprised the remainder of this reportable segment's revenue.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2019 compared to Third Quarter of 2018</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operating expenses increased $7.2 million, or 7.2%, from $100.0 million for the third quarter of 2018 to $107.2 million for the third quarter of 2019. This overall increase was driven by a $5.2 million increase in depreciation and amortization expense related primarily to acquired merchant portfolios and intangible assets related to business combinations and asset acquisitions made after the third quarter of 2018, and internally developed software related to the MX Connect and CPX platforms. This increase also included a $3.1 million, or 4.3%, increase in the cost of merchant fees. This increase in cost of merchant fees was related to the growth in merchant card revenue and processing volume. Costs of merchant card fees, as a percentage of merchant card fee revenue, dropped by 204 basis points for third quarter of 2019 compared to the third quarter of 2018.</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consolidated selling, general, and administrative ("SG&amp;A") expenses decreased overall by $2.1 million, or 23.8%, for the third quarter of 2019 compared to the third quarter of 2018, driven by a $2.7 million decrease in certain expenses in Corporate largely associated with our 2018 Business Combination, conversion to a public company, and certain legal matters. This decrease was partially offset by $0.4 million of expenses for temporary transition services related to integration of the March 2019 acquisition of the YapStone assets.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Consolidated salary and employee benefits increased $0.7 million, or 6.8%, for the third quarter of 2019 compared to the third quarter of 2018. This increase was related to additional headcount in corporate and operations functions and from business acquisitions made after the third quarter of 2018, plus an increase of $0.9 million in non-cash equity-based compensation for the third quarter of 2019.</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Nine Months of 2019 compared to First Nine Months of 2018</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consolidated operating expenses increased $1.9 million, or 0.6%, from $309.3 million for the first nine months of 2018 to $311.2 million for the first nine months of 2019. This overall increase was primarily due to higher amortization expense of $16.1 million for acquired merchant portfolios and intangible assets related to business combinations and asset acquisitions made after the first nine months of 2018, and by internally developed software related to the MX Connect and CPX platforms. This increase was partially offset by a $14.8 million, or 6.4%, decrease in the cost of merchant fees related to the corresponding decrease in merchant card fees revenue and by lower costs attributable to the acquisitions of residual portfolio commission rights. Costs of merchant card fees, as a percentage of merchant card fee revenue, dropped by 324 basis points for first nine months of 2019 compared to the first nine months of 2018.</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consolidated SG&amp;A expenses decreased by $3.4 million, or 13.9%, for the first nine months of 2019 compared to the first nine months of 2018, driven by a $7.5 million decrease in certain expenses in Corporate largely associated with our 2018 Business Combination, conversion to a public company, and certain legal matters. This decrease was partially offset by $1.2 million of expenses for temporary transition services related to integration of the March 2019 acquisition of the YapStone assets and other increases in certain SG&amp;A costs primarily within our Consumer Payments segment and Corporate.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salary and employee benefits increased by $3.5 million, or 12.4%, for the first nine months of 2019 compared to the first nine months of 2018. This increase was related to additional headcount in corporate and operations functions and from business acquisitions made after the first nine months of 2018, plus an increase of $2.3 million in non-cash equity-based compensation for the first nine months of 2019.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Quarter of 2019 compared to Third Quarter of 2018</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income from operations decreased $0.8 million, or 23.5%, for the third quarter of 2019 compared to the third quarter of 2018. Our consolidated operating margin for the third quarter of 2019 was 2.5% compared to 3.4% for the third quarter of 2018. This margin decrease was driven by the loss of certain subscription-billing e-commerce merchants and the increases in operating expenses as previously discussed.</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Consumer Payments reportable segment contributed $7.2 million in income from operations for the third quarter of 2019, a decrease of $4.7 million, or 39.3%, from $11.9 million for the third quarter of 2018. This decrease largely reflected the loss of certain subscription-billing e-commerce merchants, which contributed $0.5 million and $4.1 million of income from operations in third quarters of 2019 and 2018, respectively, partially offset by income resulting from the growth in merchant bankcard processing dollar value and transaction volume. The decrease in this segment's income from operations was also impacted by an increase of $3.9 million in depreciation and amortization expense for merchant portfolios acquired primarily after the third quarter of 2018.</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Commercial Payments reportable segment incurred a $0.4 million loss from operations for the third quarter of 2019 compared to a $0.1 million loss from operations for the third quarter of 2018. This decrease was largely driven by lower incentive revenue in the third quarter of 2019.</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Integrated Partners reportable segment, previously aggregated with our Commercial Payments reportable segment, contributed $1.0 million in income from operations for the third quarter of 2019 compared to a loss from operations of $0.4 million in the third quarter of 2018. The growth in 2019 is largely attributable to the YapStone assets acquired in late first quarter of 2019. Operating results for third quarter included depreciation and amortization expense of $1.3 million primarily related to the YapStone assets acquired. Other operating expenses in the third quarter of 2019 included $0.4 million for transition services related to the acquired YapStone assets.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Corporate expenses were $5.1 million for the third quarter of 2019, a decrease of $2.8 million from expenses of $7.9 million for the third quarter of 2018. Included in these amounts are certain expenses largely related to the Business Combination, conversion to a public company, and certain legal matters of $0.8 million and $3.5 million for the third quarters of 2019 and 2018, respectively, which drove the decrease in Corporate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Nine Months of 2019 compared to First Nine Months of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income from operations decreased by $8.5 million, or 58.2%, from $14.6 million for the first nine months of 2018 to $6.1 million for the first nine months of 2019. Our consolidated operating margin for the first nine months of 2019 was 1.9% compared to 4.5% for the first nine months of 2018. This overall margin decrease was driven by the loss of certain subscription-billing e-commerce merchant and the overall increase in consolidated operating expenses due primarily to additional amortization expense, as previously discussed.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Consumer Payments reportable segment contributed $22.3 million in income from operations for the first nine months of 2019, a decrease of $15.2 million, or 40.5%, from the $37.5 million for the first nine months of 2018. This decrease largely reflected the loss of certain subscription-billing e-commerce merchants, which contributed $2.8 million and $18.3 million of income from operations in first nine months of 2019 and 2018, respectively, partially offset by income resulting from the growth in merchant bankcard processing dollar value and transaction volume. The decrease in this segment's income from operations was also impacted by an increase of $12.7 million in depreciation and amortization expense for merchant portfolios acquired primarily after the first nine months of 2018.</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Commercial Payments reportable segment incurred a loss from operations of approximately $1.1 million for the first nine months of 2019 compared to a loss from operations of approximately $0.7 million for the first nine months of 2018. This decrease was largely driven by lower incentive revenue in the first nine months of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Integrated Partners reportable segment, previously aggregated with our Commercial Payments reportable segment, contributed $1.3 million in income from operations for the first nine months of 2019 compared to a loss from operations of $0.6 million in the first nine months of 2018. The growth in 2019 is largely attributable to the YapStone assets acquired in late first quarter of 2019. Operating results for first nine months of 2019 included depreciation and amortization expense of $3.1 million primarily related to the YapStone assets acquired. Other operating expenses in the third quarter of 2019 included $1.2 million for transition services related to the acquired YapStone assets.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Corporate expenses were $16.4 million for the first nine months of 2019, a decrease of $5.0 million from expenses of $21.5 million for the first nine months of 2018. Included in these amounts are certain expenses largely related to the Business Combination, conversion to a public company, and certain legal matters of $2.8 million and $10.3 million for the first nine months of 2019 and 2018, respectively. The decrease in these expenses was partially offset by increases in non-cash equity compensation expense.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expense, which includes the amortization of deferred debt issuance costs and discount, increased by $3.1 million, or 42.7%, to $10.5 million in the third quarter of 2019 from $7.3 million in the third quarter of 2018. For the first nine months of 2019, interest expense increased by $8.7 million, or 39.8%, to $30.6 million from $21.9 million from the first nine months of 2018. These increases in 2019 were primarily due to higher outstanding borrowings in 2019 driven by acquisition financing. The amortization of deferred financing costs and debt discounts increases our reported interest expense, and such amortization resulted in an effective interest rate of 7.86% for our senior term loan and 11.5% for our subordinated term loan at September 30, 2019.</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net resulted in income of approximately $0.2 million in both the third quarter of 2019 and 2018.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net resulted in income of $0.5 million in the first nine months of 2019 compared to an expense of $5.1 million for the first nine months of 2018. The first nine months of 2018 included a charge of $3.5 million related to the change in fair value of the former Goldman Sachs warrant, a $0.9 million charge related to the Company's share of loss and impairment in a former equity-method investee, and a $0.5 million expense to write off loan costs related to extinguished debt.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222222"/>
        </w:rPr>
        <w:t xml:space="preserve">We assess all available positive and negative evidence to estimate whether sufficient taxable income will be generated in the future to permit use of the existing deferred tax assets. ASC 740, </w:t>
      </w:r>
      <w:r>
        <w:rPr>
          <w:rFonts w:ascii="Arial" w:cs="Arial" w:eastAsia="Arial" w:hAnsi="Arial"/>
          <w:sz w:val="16"/>
          <w:szCs w:val="16"/>
          <w:i w:val="1"/>
          <w:iCs w:val="1"/>
          <w:color w:val="222222"/>
        </w:rPr>
        <w:t>Income Taxes</w:t>
      </w:r>
      <w:r>
        <w:rPr>
          <w:rFonts w:ascii="Arial" w:cs="Arial" w:eastAsia="Arial" w:hAnsi="Arial"/>
          <w:sz w:val="16"/>
          <w:szCs w:val="16"/>
          <w:color w:val="222222"/>
        </w:rPr>
        <w:t xml:space="preserve"> ("ASC 740"), requires that all sources of future taxable income be considered in making this determination. The Tax Cuts and Jobs Act of 2017 amended section 163(j) of the Internal Revenue Code. </w:t>
      </w:r>
      <w:r>
        <w:rPr>
          <w:rFonts w:ascii="Arial" w:cs="Arial" w:eastAsia="Arial" w:hAnsi="Arial"/>
          <w:sz w:val="16"/>
          <w:szCs w:val="16"/>
          <w:color w:val="000000"/>
        </w:rPr>
        <w:t>Section 163(j), as amended, limits the business</w:t>
      </w:r>
      <w:r>
        <w:rPr>
          <w:rFonts w:ascii="Arial" w:cs="Arial" w:eastAsia="Arial" w:hAnsi="Arial"/>
          <w:sz w:val="16"/>
          <w:szCs w:val="16"/>
          <w:color w:val="222222"/>
        </w:rPr>
        <w:t xml:space="preserve"> </w:t>
      </w:r>
      <w:r>
        <w:rPr>
          <w:rFonts w:ascii="Arial" w:cs="Arial" w:eastAsia="Arial" w:hAnsi="Arial"/>
          <w:sz w:val="16"/>
          <w:szCs w:val="16"/>
          <w:color w:val="000000"/>
        </w:rPr>
        <w:t>interest deduction to 30% of adjusted taxable income (ATI). For taxable years through 2021, the calculation of ATI closely aligns with earnings before interest, taxes, depreciation and amortization (EBITDA). Commencing in 2022, the ATI limitation more closely aligns with earnings before interest and taxes (EBIT), without adjusting for depreciation and amortization. Any business interest in excess of the annual limitation is carried forward indefinitely.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With respect to recording a deferred tax benefit for the carryforward of business interest, GAAP applies a "more likely than not" threshold for assessing recoverability. </w:t>
      </w:r>
      <w:r>
        <w:rPr>
          <w:rFonts w:ascii="Arial" w:cs="Arial" w:eastAsia="Arial" w:hAnsi="Arial"/>
          <w:sz w:val="18"/>
          <w:szCs w:val="18"/>
          <w:color w:val="222222"/>
        </w:rPr>
        <w:t>On the basis of our assessment, during the first nine months of 2019 we recorded a valuation allowance of $7.8 million</w:t>
      </w:r>
      <w:r>
        <w:rPr>
          <w:rFonts w:ascii="Arial" w:cs="Arial" w:eastAsia="Arial" w:hAnsi="Arial"/>
          <w:sz w:val="18"/>
          <w:szCs w:val="18"/>
          <w:color w:val="auto"/>
        </w:rPr>
        <w:t xml:space="preserve"> for our business interest carryover comprised of (i) a discrete provision of $2.6 million associated with our 2018 business interest deferred tax asset and (ii) a provision of $5.2 million associated with our 2019 excess business interest. These provisions are a component of our income tax expense (benefit) reported on our consolidated statement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22222"/>
        </w:rPr>
        <w:t>We will continue to evaluate the realizability of the net deferred tax asset on a quarterly basis and, as a result, the valuation allowance may change in future periods.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compute our interim period income tax expense (benefit) by using a forecasted estimated annual effective tax rate ("EAETR") and adjust for any discrete items arising during the interim period and any changes in our projected full-year business interest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expense and taxable income. The EAETR for 2019 of 1.2% includes income tax benefit on pre-tax losses, offset by a tax provision related to establishment of a valuation allowance for deferred income tax on the 2019 portion of the Section 163(j) limitation.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July 25, 2018, substantially all of our operations were conducted through pass-through entities for income tax purposes, and as such we had no material income tax accounting reflected in our financial statements for financial reporting purposes since substantially all taxable income and deductions were "passed through" to our unconsolidated owners. Effective July 25, 2018, we became a "C Corp" in connection with our Business Combination and recapitalization events. Accordingly, effective July 25, 2018, our financial statements reflect the accounting for income taxes. Our financial statements for the quarter and nine months ended September 30, 2018 reflect unaudited pro-forma income tax disclosure amounts to illustrate the income tax effects had we been subject to federal and state income taxes then.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periodically review the following key non-GAAP measures to evaluate our business and trends, measure our performance, prepare financial projections and make strategic decisions.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EBITDA, which represents consolidated earnings (loss) before interest, income tax, and depreciation and amortization, is reconciled to net loss calculated under GAAP.</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Adjusted EBITDA starts with Consolidated EBITDA and further adjusts for certain non-cash, non-recurring or non-core expenses including: 1) non-cash equity-based compensation; 2) debt modification and extinguishment costs and warrant fair value changes; 3) certain legal expenses; 4) certain professional, accounting and consulting fees; and 5) temporary transition services related to acquisitions.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financial covenants under the debt agreements of the Company's subsidiaries (the "Borrowers") and our Earnout Incentive Plan pursuant to the Business Combination are based on a non-GAAP measure referred to as Consolidated Earnout Adjusted EBITDA. The calculation of Consolidated Earnout Adjusted EBITDA starts with Consolidated Adjusted EBITDA and further adjusts for the pro-forma impact of acquisitions and residual streams and run rate adjustments for certain contracted savings on an annualized basis, other consulting and professional fees, and other tax expenses and other adjustments, which are not included as adjustments to Consolidated Adjusted EBITDA.</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these non-GAAP measures illustrate the underlying financial and business trends relating to our results of operations and comparability between current and prior periods. We also use these non-GAAP measures to establish and monitor operational goals.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Consolidated Adjusted EBITDA, to analyze our performance would have material limitations because their calculations are based on subjective determination regarding the nature and classification of events and circumstances that investors may find significant. We compensate for these limitations by presenting both the GAAP and non-GAAP measures of our operating results. Although other companies may report measures entitled "Adjusted EBITDA" or similar in nature, numerous methods may exist for calculating a company's Adjusted EBITDA or similar measures. As a result, the methods we use to calculate Consolidated Adjusted EBITDA may differ from the methods used by other companies to calculate their non-GAAP measures.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non-GAAP reconciliations of Consolidated EBITDA, Consolidated Adjusted EBITDA, and Consolidated Earnout Adjusted EBITDA to consolidated net loss, the most directly comparable financial measures calculated and presented in accordance with GAAP, are shown in the table below: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125"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ind w:left="40"/>
              <w:spacing w:after="0"/>
              <w:rPr>
                <w:sz w:val="20"/>
                <w:szCs w:val="20"/>
                <w:color w:val="auto"/>
              </w:rPr>
            </w:pPr>
            <w:r>
              <w:rPr>
                <w:rFonts w:ascii="Arial" w:cs="Arial" w:eastAsia="Arial" w:hAnsi="Arial"/>
                <w:sz w:val="16"/>
                <w:szCs w:val="16"/>
                <w:i w:val="1"/>
                <w:iCs w:val="1"/>
                <w:color w:val="auto"/>
              </w:rPr>
              <w:t>(in thousands)</w:t>
            </w:r>
          </w:p>
        </w:tc>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4"/>
              </w:rPr>
              <w:t>Quarter Ended</w:t>
            </w:r>
          </w:p>
        </w:tc>
        <w:tc>
          <w:tcPr>
            <w:tcW w:w="320" w:type="dxa"/>
            <w:vAlign w:val="bottom"/>
          </w:tcPr>
          <w:p>
            <w:pPr>
              <w:spacing w:after="0"/>
              <w:rPr>
                <w:sz w:val="24"/>
                <w:szCs w:val="24"/>
                <w:color w:val="auto"/>
              </w:rPr>
            </w:pPr>
          </w:p>
        </w:tc>
        <w:tc>
          <w:tcPr>
            <w:tcW w:w="25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70"/>
        </w:trPr>
        <w:tc>
          <w:tcPr>
            <w:tcW w:w="128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23"/>
                <w:szCs w:val="23"/>
                <w:color w:val="auto"/>
              </w:rPr>
            </w:pPr>
          </w:p>
        </w:tc>
        <w:tc>
          <w:tcPr>
            <w:tcW w:w="252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12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1280" w:type="dxa"/>
            <w:vAlign w:val="bottom"/>
            <w:tcBorders>
              <w:bottom w:val="single" w:sz="8" w:color="CCEEFF"/>
            </w:tcBorders>
            <w:shd w:val="clear" w:color="auto" w:fill="CCEEFF"/>
          </w:tcPr>
          <w:p>
            <w:pPr>
              <w:spacing w:after="0"/>
              <w:rPr>
                <w:sz w:val="22"/>
                <w:szCs w:val="22"/>
                <w:color w:val="auto"/>
              </w:rPr>
            </w:pPr>
          </w:p>
        </w:tc>
        <w:tc>
          <w:tcPr>
            <w:tcW w:w="45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64"/>
        </w:trPr>
        <w:tc>
          <w:tcPr>
            <w:tcW w:w="128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net loss (GAAP)</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(11,367)</w:t>
            </w: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Add: Interest expense (1)</w:t>
            </w: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30,602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21,893</w:t>
            </w:r>
          </w:p>
        </w:tc>
      </w:tr>
      <w:tr>
        <w:trPr>
          <w:trHeight w:val="27"/>
        </w:trPr>
        <w:tc>
          <w:tcPr>
            <w:tcW w:w="1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12,679</w:t>
            </w: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Add: Income tax (benefit)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7"/>
        </w:trPr>
        <w:tc>
          <w:tcPr>
            <w:tcW w:w="12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EBITDA (non-GAAP)</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12,960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22,214</w:t>
            </w: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Further adjusted by:</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 Non-cash equity-based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1,063</w:t>
            </w:r>
          </w:p>
        </w:tc>
      </w:tr>
      <w:tr>
        <w:trPr>
          <w:trHeight w:val="229"/>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Add: Debt modification/extinguishment costs and warrant fair value</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changes</w:t>
            </w:r>
          </w:p>
        </w:tc>
        <w:tc>
          <w:tcPr>
            <w:tcW w:w="3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4,782</w:t>
            </w:r>
          </w:p>
        </w:tc>
      </w:tr>
      <w:tr>
        <w:trPr>
          <w:trHeight w:val="27"/>
        </w:trPr>
        <w:tc>
          <w:tcPr>
            <w:tcW w:w="1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 Certain legal expenses (2)</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5,496</w:t>
            </w:r>
          </w:p>
        </w:tc>
      </w:tr>
      <w:tr>
        <w:trPr>
          <w:trHeight w:val="243"/>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Add: Professional, accounting and consulting fees (3)</w:t>
            </w: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4,785</w:t>
            </w:r>
          </w:p>
        </w:tc>
      </w:tr>
      <w:tr>
        <w:trPr>
          <w:trHeight w:val="27"/>
        </w:trPr>
        <w:tc>
          <w:tcPr>
            <w:tcW w:w="1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 Transition services for acquisition (4)</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Adjusted EBITDA (non-GAAP)</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15,325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12,395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42,723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38,340</w:t>
            </w:r>
          </w:p>
        </w:tc>
      </w:tr>
      <w:tr>
        <w:trPr>
          <w:trHeight w:val="27"/>
        </w:trPr>
        <w:tc>
          <w:tcPr>
            <w:tcW w:w="1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Further adjusted by:</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Add: Pro-forma impact of acquisitions (5)</w:t>
            </w: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7,633</w:t>
            </w:r>
          </w:p>
        </w:tc>
      </w:tr>
      <w:tr>
        <w:trPr>
          <w:trHeight w:val="27"/>
        </w:trPr>
        <w:tc>
          <w:tcPr>
            <w:tcW w:w="1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 Contracted revenue and savings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2,924</w:t>
            </w:r>
          </w:p>
        </w:tc>
      </w:tr>
      <w:tr>
        <w:trPr>
          <w:trHeight w:val="243"/>
        </w:trPr>
        <w:tc>
          <w:tcPr>
            <w:tcW w:w="5820" w:type="dxa"/>
            <w:vAlign w:val="bottom"/>
            <w:gridSpan w:val="2"/>
          </w:tcPr>
          <w:p>
            <w:pPr>
              <w:ind w:left="280"/>
              <w:spacing w:after="0"/>
              <w:rPr>
                <w:sz w:val="20"/>
                <w:szCs w:val="20"/>
                <w:color w:val="auto"/>
              </w:rPr>
            </w:pPr>
            <w:r>
              <w:rPr>
                <w:rFonts w:ascii="Arial" w:cs="Arial" w:eastAsia="Arial" w:hAnsi="Arial"/>
                <w:sz w:val="18"/>
                <w:szCs w:val="18"/>
                <w:color w:val="auto"/>
              </w:rPr>
              <w:t>Add: Other professional and consulting fees</w:t>
            </w:r>
          </w:p>
        </w:tc>
        <w:tc>
          <w:tcPr>
            <w:tcW w:w="30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872</w:t>
            </w:r>
          </w:p>
        </w:tc>
      </w:tr>
      <w:tr>
        <w:trPr>
          <w:trHeight w:val="27"/>
        </w:trPr>
        <w:tc>
          <w:tcPr>
            <w:tcW w:w="1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 Other tax expenses and other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w:t>
            </w:r>
          </w:p>
        </w:tc>
      </w:tr>
      <w:tr>
        <w:trPr>
          <w:trHeight w:val="257"/>
        </w:trPr>
        <w:tc>
          <w:tcPr>
            <w:tcW w:w="582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Earnout Adjusted EBITDA (non-GAAP) (6)</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17,317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13,818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51,760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51,079</w:t>
            </w:r>
          </w:p>
        </w:tc>
      </w:tr>
      <w:tr>
        <w:trPr>
          <w:trHeight w:val="20"/>
        </w:trPr>
        <w:tc>
          <w:tcPr>
            <w:tcW w:w="12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2"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Interest expense includes amortization of debt issuance costs and issue discounts.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Legal expenses related to business and asset acquisition activity and settlement negotiation and other litigation expenses, as well as legal settlements.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Primarily transaction-related, capital markets and accounting advisory services.</w:t>
      </w:r>
    </w:p>
    <w:p>
      <w:pPr>
        <w:spacing w:after="0" w:line="194" w:lineRule="exact"/>
        <w:rPr>
          <w:rFonts w:ascii="Arial" w:cs="Arial" w:eastAsia="Arial" w:hAnsi="Arial"/>
          <w:sz w:val="16"/>
          <w:szCs w:val="16"/>
          <w:color w:val="auto"/>
        </w:rPr>
      </w:pPr>
    </w:p>
    <w:p>
      <w:pPr>
        <w:ind w:left="240" w:hanging="232"/>
        <w:spacing w:after="0"/>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Temporary transition services from YapStone related to the integration of the March 2019 asset acquisition.</w:t>
      </w:r>
    </w:p>
    <w:p>
      <w:pPr>
        <w:spacing w:after="0" w:line="194" w:lineRule="exact"/>
        <w:rPr>
          <w:rFonts w:ascii="Arial" w:cs="Arial" w:eastAsia="Arial" w:hAnsi="Arial"/>
          <w:sz w:val="16"/>
          <w:szCs w:val="16"/>
          <w:color w:val="auto"/>
        </w:rPr>
      </w:pPr>
    </w:p>
    <w:p>
      <w:pPr>
        <w:ind w:firstLine="8"/>
        <w:spacing w:after="0" w:line="275" w:lineRule="auto"/>
        <w:tabs>
          <w:tab w:leader="none" w:pos="237"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reporting period's year-to-date amounts are updated to reflect the pro forma impact of acquisitions as though they had taken place on January 1 of the year in which the acquisition occurred.</w:t>
      </w:r>
    </w:p>
    <w:p>
      <w:pPr>
        <w:spacing w:after="0" w:line="145" w:lineRule="exact"/>
        <w:rPr>
          <w:rFonts w:ascii="Arial" w:cs="Arial" w:eastAsia="Arial" w:hAnsi="Arial"/>
          <w:sz w:val="16"/>
          <w:szCs w:val="16"/>
          <w:color w:val="auto"/>
        </w:rPr>
      </w:pPr>
    </w:p>
    <w:p>
      <w:pPr>
        <w:jc w:val="both"/>
        <w:ind w:firstLine="8"/>
        <w:spacing w:after="0" w:line="256" w:lineRule="auto"/>
        <w:tabs>
          <w:tab w:leader="none" w:pos="244"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Reflects definition in debt agreements entered into in connection with the January 2017 debt financing. Subsequent to the Business Combination, the Earnout Adjusted EBITDA of the Borrowers under the credit agreements excludes expenses of the Company's consolidated parent entity, which is neither a borrower nor a guarantor under the credit agreements. Earnout Adjusted EBITDA of the Borrowers was approximately $20.7 million and $62.4 million for the quarter and nine months ended September 30, 2019, respectively.</w:t>
      </w:r>
    </w:p>
    <w:p>
      <w:pPr>
        <w:spacing w:after="0" w:line="200" w:lineRule="exact"/>
        <w:rPr>
          <w:rFonts w:ascii="Arial" w:cs="Arial" w:eastAsia="Arial" w:hAnsi="Arial"/>
          <w:sz w:val="16"/>
          <w:szCs w:val="16"/>
          <w:color w:val="auto"/>
        </w:rPr>
      </w:pPr>
    </w:p>
    <w:p>
      <w:pPr>
        <w:spacing w:after="0" w:line="388" w:lineRule="exact"/>
        <w:rPr>
          <w:rFonts w:ascii="Arial" w:cs="Arial" w:eastAsia="Arial" w:hAnsi="Arial"/>
          <w:sz w:val="16"/>
          <w:szCs w:val="16"/>
          <w:color w:val="auto"/>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420"/>
          </w:cols>
          <w:pgMar w:left="240" w:top="108"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Compared to our consolidated balance sheet as of December 31, 2018, the following key changes have occurred as of September 30, 2019.</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Cash decreased by $11.4 million. For an explanation of the key drivers of this change, see the subsequent section,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Intangible assets increased during the first nine months of 2019 by a net of $63.4 million due to asset acquisitions, partially offset by amortization. For additional information, see Note 2, </w:t>
      </w:r>
      <w:r>
        <w:rPr>
          <w:rFonts w:ascii="Arial" w:cs="Arial" w:eastAsia="Arial" w:hAnsi="Arial"/>
          <w:sz w:val="18"/>
          <w:szCs w:val="18"/>
          <w:i w:val="1"/>
          <w:iCs w:val="1"/>
          <w:color w:val="auto"/>
        </w:rPr>
        <w:t>Acquisitions and Contributions of Assets</w:t>
      </w:r>
      <w:r>
        <w:rPr>
          <w:rFonts w:ascii="Arial" w:cs="Arial" w:eastAsia="Arial" w:hAnsi="Arial"/>
          <w:sz w:val="18"/>
          <w:szCs w:val="18"/>
          <w:color w:val="auto"/>
        </w:rPr>
        <w:t>, to the unaudited condensed consolidated financial statements in Part I, Item 1 of this Quarterly Report on Form 10-Q.</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Long-term debt, excluding amounts outstanding under the revolving credit facility, increased by a net $71.0 million during the first nine months of 2019. This increase was driven by borrowings to acquire certain intangible assets. See Note 7, </w:t>
      </w:r>
      <w:r>
        <w:rPr>
          <w:rFonts w:ascii="Arial" w:cs="Arial" w:eastAsia="Arial" w:hAnsi="Arial"/>
          <w:sz w:val="17"/>
          <w:szCs w:val="17"/>
          <w:i w:val="1"/>
          <w:iCs w:val="1"/>
          <w:color w:val="auto"/>
        </w:rPr>
        <w:t>Long-Term Debt</w:t>
      </w:r>
      <w:r>
        <w:rPr>
          <w:rFonts w:ascii="Arial" w:cs="Arial" w:eastAsia="Arial" w:hAnsi="Arial"/>
          <w:sz w:val="17"/>
          <w:szCs w:val="17"/>
          <w:color w:val="auto"/>
        </w:rPr>
        <w:t>, to the unaudited condensed consolidated financial statements in Part I, Item 1 of this Quarterly Report on Form 10-Q for information on credit facilities, available credit, and covenants.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Deficit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deficit equity position attributable to the stockholders of the Company increased by $25.5 million, from a deficit of $85.5 million at December 31, 2018 to a deficit of $110.9 million at September 30, 2019. The primary driver of this change was the net loss of $26.4 million for the first nine months of 2019 and repurchased common stock at cost of $2.4 million, partially offset by a $3.4 million credit to additional paid-in capital for equity-based compensation. See Note 11, </w:t>
      </w:r>
      <w:r>
        <w:rPr>
          <w:rFonts w:ascii="Arial" w:cs="Arial" w:eastAsia="Arial" w:hAnsi="Arial"/>
          <w:sz w:val="18"/>
          <w:szCs w:val="18"/>
          <w:i w:val="1"/>
          <w:iCs w:val="1"/>
          <w:color w:val="auto"/>
        </w:rPr>
        <w:t>Reconciliation of Stockholders' Equity (Deficit) and Non-Controlling Interest</w:t>
      </w:r>
      <w:r>
        <w:rPr>
          <w:rFonts w:ascii="Arial" w:cs="Arial" w:eastAsia="Arial" w:hAnsi="Arial"/>
          <w:sz w:val="18"/>
          <w:szCs w:val="18"/>
          <w:color w:val="auto"/>
        </w:rPr>
        <w:t>, to the unaudited condensed consolidated financial statements in Part I, Item 1 of this Quarterly Report on Form 10-Q.</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Liquidity and capital resource management is a process focused on providing the funding we need to meet our short-term and long-term cash and working capital needs. We have used our funding sources to build our merchant portfolio, technology solutions, and to make acquisitions with the expectation that such investments will generate cash flows sufficient to cover our working capital needs and other anticipated needs, including for our acquisition strategy. We anticipate that cash on hand, funds generated from operations and available borrowings under our revolving credit agreement are sufficient to meet our working capital requirements for at least the next twelve months.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disclosed in Note 7, </w:t>
      </w:r>
      <w:r>
        <w:rPr>
          <w:rFonts w:ascii="Arial" w:cs="Arial" w:eastAsia="Arial" w:hAnsi="Arial"/>
          <w:sz w:val="17"/>
          <w:szCs w:val="17"/>
          <w:i w:val="1"/>
          <w:iCs w:val="1"/>
          <w:color w:val="auto"/>
        </w:rPr>
        <w:t>Long-Term Debit</w:t>
      </w:r>
      <w:r>
        <w:rPr>
          <w:rFonts w:ascii="Arial" w:cs="Arial" w:eastAsia="Arial" w:hAnsi="Arial"/>
          <w:sz w:val="17"/>
          <w:szCs w:val="17"/>
          <w:color w:val="auto"/>
        </w:rPr>
        <w:t>, our subsidiaries that are borrowers under the Senior Credit Agreement and GS Credit Agreement agreements are currently pursuing a refinancing of the credit agreements, which is expected to be completed during the fourth quarter of 2019. Based upon current financial forecast for the fourth quarter of 2019, without a refinancing or modification of existing terms within the credit agreements, it is probable that compliance will not be achieved for the required Total Net Leverage Ratio covenant of no more than 5.25:1.00 at December 31, 2019. Noncompliance could have materially adverse impacts on our financial condition, including giving the lenders the right to accelerate the debt repayment schedule and restricting access to the revolving credit facility. Based upon the progress of the refinancing efforts, the credit agreements are expected to be refinanced, and we expect to be in compliance with the debt covenants included therein at December 31,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principal uses of cash are to fund business operations, administrative costs, and debt service.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working capital, defined as current assets less current liabilities, was $4.3 million at September 30, 2019 and $21.1 million at December 31, 2018. As of September 30, 2019, we had cash totaling $4.2 million compared to $15.6 million at December 31, 2018. These balances do not include restricted cash, which reflects cash accounts holding customer settlement funds of $22.7 million at September 30, 2019 and $18.2 million at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approximately $13.5 million was available under the 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narrative reflect our changes in cash flows for the comparative periods.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ind w:left="40"/>
              <w:spacing w:after="0"/>
              <w:rPr>
                <w:sz w:val="20"/>
                <w:szCs w:val="20"/>
                <w:color w:val="auto"/>
              </w:rPr>
            </w:pPr>
            <w:r>
              <w:rPr>
                <w:rFonts w:ascii="Arial" w:cs="Arial" w:eastAsia="Arial" w:hAnsi="Arial"/>
                <w:sz w:val="18"/>
                <w:szCs w:val="18"/>
                <w:i w:val="1"/>
                <w:iCs w:val="1"/>
                <w:color w:val="auto"/>
              </w:rPr>
              <w:t>(dollars in thousands)</w:t>
            </w:r>
          </w:p>
        </w:tc>
        <w:tc>
          <w:tcPr>
            <w:tcW w:w="340" w:type="dxa"/>
            <w:vAlign w:val="bottom"/>
          </w:tcPr>
          <w:p>
            <w:pPr>
              <w:spacing w:after="0"/>
              <w:rPr>
                <w:sz w:val="20"/>
                <w:szCs w:val="20"/>
                <w:color w:val="auto"/>
              </w:rPr>
            </w:pPr>
          </w:p>
        </w:tc>
        <w:tc>
          <w:tcPr>
            <w:tcW w:w="34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7"/>
        </w:trPr>
        <w:tc>
          <w:tcPr>
            <w:tcW w:w="5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2018</w:t>
            </w:r>
          </w:p>
        </w:tc>
      </w:tr>
      <w:tr>
        <w:trPr>
          <w:trHeight w:val="264"/>
        </w:trPr>
        <w:tc>
          <w:tcPr>
            <w:tcW w:w="57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10,617</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24,836</w:t>
            </w:r>
          </w:p>
        </w:tc>
      </w:tr>
      <w:tr>
        <w:trPr>
          <w:trHeight w:val="27"/>
        </w:trPr>
        <w:tc>
          <w:tcPr>
            <w:tcW w:w="5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(42,345)</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76,018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8,827</w:t>
            </w:r>
          </w:p>
        </w:tc>
      </w:tr>
      <w:tr>
        <w:trPr>
          <w:trHeight w:val="27"/>
        </w:trPr>
        <w:tc>
          <w:tcPr>
            <w:tcW w:w="5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restricted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r>
      <w:tr>
        <w:trPr>
          <w:trHeight w:val="20"/>
        </w:trPr>
        <w:tc>
          <w:tcPr>
            <w:tcW w:w="5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operating activities in the first nine months of 2019 was $10.6 million compared to net cash provided of $24.8 million for the first nine months of 2018. The $14.2 million decrease for the first nine months of 2019 was principally the result of higher operating losses during 2019 and an increase in cash interest payments of $9.0 million.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$93.6 million and $42.3 million for the first nine months of 2019 and 2018, respectively. Cash used in investing activities for the first nine months of 2019 included $18.0 million used to acquire merchant portfolios and $63.8 million used to acquire certain assets from YapStone. Cash used to acquire property, equipment, and software amounted to $8.7 million and $8.4 million for the first nine months of 2019 and 2018, respectively.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Net cash provided by financing activities was $76.0 million for the first nine months of 2019 compared to $8.8 million in the first nine months of 2018. The amount for the first nine months of 2019 included a $69.7 million, net of issue discount, delayed draw under the credit facility under the senior credit agreement with a syndicate of lenders (the "Senior Credit Agreement") that was used to acquire certain assets from YapStone. Additionally, net draws of $11.5 million draw under the revolving credit feature of our Senior Credit Agreement was used to partially fund a portfolio acquisition. Cash flows provided by financing activities for the first nine months of 2018 included $67.1 million of borrowings under our Senior Credit Agreement and $49.4 million of cash proceeds from our reverse acquisition and recapitalization events, partially offset by equity redemptions and distributions totaling $81.2 million. The equity redemptions and distributions involved Priority Holdings, LLC before the Company's recapitalization on July 25,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spacing w:after="0" w:line="24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entered into any other transactions with third parties or unconsolidated entities whereby we have financial guarantees, subordinated retained interest, derivative instruments, or other contingent arrangements that expose us to material continuing risks, contingent liabilities or other obligations.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our unaudited condensed consolidated financial statements in Part I, Item 1 of this Quarterly Report on Form 10-Q for disclosure information about potential contingent payments that we may be required to make in future periods that are not required to be recognized in our consolidated balance sheet as of September 30, 2019.</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There have been no significant changes to our contractual obligations and commitments compared to those disclosed in "Management's Discussion and Analysis of Financial Condition and Results of Operations of Priority" included in the Annual Report, except for additional borrowings under our existing Senior Credit Agreement consisting of $70.0 million of term debt and $11.5 million net under our revolving credit facility. For an updated schedule of debt repayments,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to the unaudited condensed consolidated financial statements contained in Part 1,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i w:val="1"/>
          <w:iCs w:val="1"/>
          <w:color w:val="auto"/>
        </w:rPr>
        <w:t>Acquisitions and Contributions of Assets</w:t>
      </w:r>
      <w:r>
        <w:rPr>
          <w:rFonts w:ascii="Arial" w:cs="Arial" w:eastAsia="Arial" w:hAnsi="Arial"/>
          <w:sz w:val="18"/>
          <w:szCs w:val="18"/>
          <w:color w:val="auto"/>
        </w:rPr>
        <w:t>, to the unaudited condensed consolidated financial statements contained in Part I, Item 1 of this Quarterly Report on Form 10-Q.</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unaudited condensed consolidated financial statements have been prepared in accordance with U.S. generally accepted accounting principles for interim periods, which often require the judgment of management in the selection and application of certain accounting principles and methods. Our critical accounting policies and estimates are discussed in "Management's Discussion and Analysis of Financial Condition and Results of Operations" in the Annual Report. There have been no material changes to these critical accounting policies and estimates as of September 30, 2019.</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Accounting Pronouncements and Recently Issued Accounting Pronouncements Not Yet Adopted</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From time to time, new accounting pronouncements are issued by the Financial Accounting Standards Board or other standards setting bodies that may affect our current and/or future financial statements. See Note 1, </w:t>
      </w:r>
      <w:r>
        <w:rPr>
          <w:rFonts w:ascii="Arial" w:cs="Arial" w:eastAsia="Arial" w:hAnsi="Arial"/>
          <w:sz w:val="16"/>
          <w:szCs w:val="16"/>
          <w:i w:val="1"/>
          <w:iCs w:val="1"/>
          <w:color w:val="auto"/>
        </w:rPr>
        <w:t>Nature of Business and Basis of Presentation</w:t>
      </w:r>
      <w:r>
        <w:rPr>
          <w:rFonts w:ascii="Arial" w:cs="Arial" w:eastAsia="Arial" w:hAnsi="Arial"/>
          <w:sz w:val="16"/>
          <w:szCs w:val="16"/>
          <w:color w:val="auto"/>
        </w:rPr>
        <w:t>, to our unaudited condensed consolidated financial statements included in Part 1, Item 1 of this Quarterly Report on Form 10-Q for a discussion of recently issued accounting pronouncements not yet adopted.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credit facility under the Senior Credit Agreement bears interest at a rate based on LIBOR plus a fixed margin that changes periodically. As of September 30, 2019, the Company's subsidiaries that are borrowers or guarantors had $389.8 million in outstanding borrowings under the senior credit facility. The applicable LIBOR rate stood at 2.12% at September 30, 2019 and the fixed margin stood at 5%, for an interest rate of 7.12%.</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hypothetical 1.0% increase or decrease in the applicable LIBOR rate on the outstanding indebtedness under the senior secured credit facility for the first nine months of 2019 would have increased or decreased interest expense by approximately $2.9 million. Per annum, a 1.0% hypothetical increase or decrease in the applicable LIBOR on this debt rate would increase annual interest expense by approximately $3.9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currently do not hedge against interest rate risk.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term "disclosure controls and procedures" is defined in Rules 13a-15(e) and 15d-15(e) of the Securities Exchange Act of 1934, as amended (the "Exchange Act"). 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Our management, including our Chief Executive Officer and Chief Financial Officer, has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not effective at a reasonable assurance level because of the material weaknesses in internal control over financial reporting described below, which are in the process of being remediated.</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necessarily applies its judgment in assessing the costs and benefits of such controls and procedures, which, by their nature, can provide only reasonable assurance regarding management's control objectives. The Company's management, including the Chief Executive Officer and Chief Financial Officer, does not expect that our disclosure controls and procedures can prevent all possible errors or fraud. A control system, no matter how well conceived and operated, can provide only reasonable, not absolute, assurance that the objectives of the control system are met. There are inherent limitations in all control systems, including the realities that judgments in decision-making can be faulty, and that breakdowns can occur because of simple errors or mistakes. Additionally, controls can be circumvented by the individual acts of one or more persons. The design of any system of controls is based in part upon certain assumptions about the likelihood of future events, and, while our disclosure controls and procedures are designed to be effective under circumstances where they should reasonably be expected to operate effectively, there can be no assurance that any design will succeed in achieving its stated goals under all potential future conditions. Because of the inherent limitations in any control system, misstatements due to possible errors or fraud may occur and not be detected.</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disclosed in Item 9A in the Annual Report, we previously identified material weaknesses in internal control over financial reporting related to (1) lack of sufficient accounting and financial reporting resources and (2) deficiencies in certain aspects of our financial statement review and close processes. In order to continue to remediate the material weaknesses described above, during the quarter ended September 30, 2019, we undertook or were engaged in the following measures or activities to address the material weaknesses in internal control over financial reporting:</w:t>
      </w:r>
    </w:p>
    <w:p>
      <w:pPr>
        <w:spacing w:after="0" w:line="9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and hiring additional qualified financial reporting personnel;</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utilizing outside consultants to assist us with certain financial accounting and reporting matters; and</w:t>
      </w:r>
    </w:p>
    <w:p>
      <w:pPr>
        <w:spacing w:after="0" w:line="9" w:lineRule="exact"/>
        <w:rPr>
          <w:rFonts w:ascii="Arial" w:cs="Arial" w:eastAsia="Arial" w:hAnsi="Arial"/>
          <w:sz w:val="18"/>
          <w:szCs w:val="18"/>
          <w:color w:val="auto"/>
        </w:rPr>
      </w:pPr>
    </w:p>
    <w:p>
      <w:pPr>
        <w:ind w:left="660" w:right="70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additional policies and procedures to enhance internal control and provide timely reconciliation and review of the Company's accounting policies and procedures.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we continue to evaluate and improve our internal control over financial reporting, additional measures to remediate the material weaknesses or modifications to certain of the remediation procedures described above may be necessary.</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committed to improving our internal control processes and meets with the Audit Committee on a regular basis to monitor the status of remediation activities. Management believes that the measures described above should remediate the material weakness identified and strengthen our internal control over financial reporting.</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set forth above, we have identified no changes in our internal control over financial reporting that occurred during the period covered by this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involved in certain legal proceedings and claims which occur in the normal course of our business. We are not currently a party to any legal proceedings that we believe would have a material adverse effect on our financial position, results of operations, or cash flows.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there have been no material changes to the risk factors previously disclosed in the Annual Report.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20"/>
          </w:cols>
          <w:pgMar w:left="240" w:top="12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316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480"/>
        </w:trPr>
        <w:tc>
          <w:tcPr>
            <w:tcW w:w="3160" w:type="dxa"/>
            <w:vAlign w:val="bottom"/>
            <w:gridSpan w:val="7"/>
          </w:tcPr>
          <w:p>
            <w:pPr>
              <w:spacing w:after="0"/>
              <w:rPr>
                <w:sz w:val="20"/>
                <w:szCs w:val="20"/>
                <w:color w:val="auto"/>
              </w:rPr>
            </w:pPr>
            <w:r>
              <w:rPr>
                <w:rFonts w:ascii="Arial" w:cs="Arial" w:eastAsia="Arial" w:hAnsi="Arial"/>
                <w:sz w:val="18"/>
                <w:szCs w:val="18"/>
                <w:b w:val="1"/>
                <w:bCs w:val="1"/>
                <w:color w:val="auto"/>
              </w:rPr>
              <w:t>ITEM 6. EXHIBITS</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554"/>
        </w:trPr>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Description</w:t>
            </w:r>
          </w:p>
        </w:tc>
        <w:tc>
          <w:tcPr>
            <w:tcW w:w="4860" w:type="dxa"/>
            <w:vAlign w:val="bottom"/>
            <w:gridSpan w:val="2"/>
          </w:tcPr>
          <w:p>
            <w:pPr>
              <w:spacing w:after="0"/>
              <w:rPr>
                <w:sz w:val="24"/>
                <w:szCs w:val="24"/>
                <w:color w:val="auto"/>
              </w:rPr>
            </w:pPr>
          </w:p>
        </w:tc>
      </w:tr>
      <w:tr>
        <w:trPr>
          <w:trHeight w:val="493"/>
        </w:trPr>
        <w:tc>
          <w:tcPr>
            <w:tcW w:w="2180" w:type="dxa"/>
            <w:vAlign w:val="bottom"/>
            <w:gridSpan w:val="5"/>
          </w:tcPr>
          <w:p>
            <w:pPr>
              <w:ind w:left="140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4"/>
          </w:tcPr>
          <w:p>
            <w:pPr>
              <w:spacing w:after="0"/>
              <w:rPr>
                <w:sz w:val="20"/>
                <w:szCs w:val="20"/>
                <w:color w:val="auto"/>
              </w:rPr>
            </w:pPr>
            <w:r>
              <w:rPr>
                <w:rFonts w:ascii="Arial" w:cs="Arial" w:eastAsia="Arial" w:hAnsi="Arial"/>
                <w:sz w:val="18"/>
                <w:szCs w:val="18"/>
                <w:color w:val="0000FF"/>
                <w:w w:val="92"/>
              </w:rPr>
              <w:t>Certification of Chief Executive Officer pursuant to Rule 13a-14 and Rule 15d-</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76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rPr>
              <w:t>14(a), promulgated under the Securities and Exchange Act of 1934, as</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760" w:type="dxa"/>
            <w:vAlign w:val="bottom"/>
            <w:gridSpan w:val="4"/>
          </w:tcPr>
          <w:p>
            <w:pPr>
              <w:spacing w:after="0" w:line="196" w:lineRule="exact"/>
              <w:rPr>
                <w:sz w:val="20"/>
                <w:szCs w:val="20"/>
                <w:color w:val="auto"/>
              </w:rPr>
            </w:pPr>
            <w:r>
              <w:rPr>
                <w:rFonts w:ascii="Arial" w:cs="Arial" w:eastAsia="Arial" w:hAnsi="Arial"/>
                <w:sz w:val="18"/>
                <w:szCs w:val="18"/>
                <w:color w:val="0000FF"/>
              </w:rPr>
              <w:t>amended.</w:t>
            </w:r>
          </w:p>
        </w:tc>
      </w:tr>
      <w:tr>
        <w:trPr>
          <w:trHeight w:val="20"/>
        </w:trPr>
        <w:tc>
          <w:tcPr>
            <w:tcW w:w="15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50"/>
        </w:trPr>
        <w:tc>
          <w:tcPr>
            <w:tcW w:w="2180" w:type="dxa"/>
            <w:vAlign w:val="bottom"/>
            <w:gridSpan w:val="5"/>
          </w:tcPr>
          <w:p>
            <w:pPr>
              <w:ind w:left="1400"/>
              <w:spacing w:after="0"/>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4"/>
          </w:tcPr>
          <w:p>
            <w:pPr>
              <w:spacing w:after="0"/>
              <w:rPr>
                <w:sz w:val="20"/>
                <w:szCs w:val="20"/>
                <w:color w:val="auto"/>
              </w:rPr>
            </w:pPr>
            <w:r>
              <w:rPr>
                <w:rFonts w:ascii="Arial" w:cs="Arial" w:eastAsia="Arial" w:hAnsi="Arial"/>
                <w:sz w:val="18"/>
                <w:szCs w:val="18"/>
                <w:color w:val="0000FF"/>
                <w:w w:val="93"/>
              </w:rPr>
              <w:t>Certification of Chief Financial Officer pursuant to Rule 13a-14 and Rule 15d-</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76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rPr>
              <w:t>14(a), promulgated under the Securities and Exchange Act of 1934, as</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760" w:type="dxa"/>
            <w:vAlign w:val="bottom"/>
            <w:gridSpan w:val="4"/>
          </w:tcPr>
          <w:p>
            <w:pPr>
              <w:spacing w:after="0" w:line="196" w:lineRule="exact"/>
              <w:rPr>
                <w:sz w:val="20"/>
                <w:szCs w:val="20"/>
                <w:color w:val="auto"/>
              </w:rPr>
            </w:pPr>
            <w:r>
              <w:rPr>
                <w:rFonts w:ascii="Arial" w:cs="Arial" w:eastAsia="Arial" w:hAnsi="Arial"/>
                <w:sz w:val="18"/>
                <w:szCs w:val="18"/>
                <w:color w:val="0000FF"/>
              </w:rPr>
              <w:t>amended.</w:t>
            </w:r>
          </w:p>
        </w:tc>
      </w:tr>
      <w:tr>
        <w:trPr>
          <w:trHeight w:val="20"/>
        </w:trPr>
        <w:tc>
          <w:tcPr>
            <w:tcW w:w="15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50"/>
        </w:trPr>
        <w:tc>
          <w:tcPr>
            <w:tcW w:w="1580" w:type="dxa"/>
            <w:vAlign w:val="bottom"/>
            <w:gridSpan w:val="3"/>
          </w:tcPr>
          <w:p>
            <w:pPr>
              <w:ind w:left="1400"/>
              <w:spacing w:after="0"/>
              <w:rPr>
                <w:sz w:val="20"/>
                <w:szCs w:val="20"/>
                <w:color w:val="auto"/>
              </w:rPr>
            </w:pPr>
            <w:r>
              <w:rPr>
                <w:rFonts w:ascii="Arial" w:cs="Arial" w:eastAsia="Arial" w:hAnsi="Arial"/>
                <w:sz w:val="18"/>
                <w:szCs w:val="18"/>
                <w:color w:val="0000FF"/>
                <w:w w:val="79"/>
              </w:rPr>
              <w:t>32</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4"/>
          </w:tcPr>
          <w:p>
            <w:pPr>
              <w:spacing w:after="0"/>
              <w:rPr>
                <w:sz w:val="20"/>
                <w:szCs w:val="20"/>
                <w:color w:val="auto"/>
              </w:rPr>
            </w:pPr>
            <w:r>
              <w:rPr>
                <w:rFonts w:ascii="Arial" w:cs="Arial" w:eastAsia="Arial" w:hAnsi="Arial"/>
                <w:sz w:val="18"/>
                <w:szCs w:val="18"/>
                <w:color w:val="0000FF"/>
                <w:w w:val="93"/>
              </w:rPr>
              <w:t>Certification of Chief Executive Officer and Chief Financial Officer pursuant to</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76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2"/>
              </w:rPr>
              <w:t>18 U.S.C. Section 1350, as adopted pursuant to Section 906 of the Sarbanes-</w:t>
            </w: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3"/>
              </w:rPr>
              <w:t>Oxley Act of 2002.</w:t>
            </w:r>
          </w:p>
        </w:tc>
        <w:tc>
          <w:tcPr>
            <w:tcW w:w="4360" w:type="dxa"/>
            <w:vAlign w:val="bottom"/>
          </w:tcPr>
          <w:p>
            <w:pPr>
              <w:spacing w:after="0"/>
              <w:rPr>
                <w:sz w:val="17"/>
                <w:szCs w:val="17"/>
                <w:color w:val="auto"/>
              </w:rPr>
            </w:pPr>
          </w:p>
        </w:tc>
      </w:tr>
      <w:tr>
        <w:trPr>
          <w:trHeight w:val="276"/>
        </w:trPr>
        <w:tc>
          <w:tcPr>
            <w:tcW w:w="1280" w:type="dxa"/>
            <w:vAlign w:val="bottom"/>
          </w:tcPr>
          <w:p>
            <w:pPr>
              <w:spacing w:after="0"/>
              <w:rPr>
                <w:sz w:val="24"/>
                <w:szCs w:val="24"/>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101.INS</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4"/>
          </w:tcPr>
          <w:p>
            <w:pPr>
              <w:spacing w:after="0"/>
              <w:rPr>
                <w:sz w:val="20"/>
                <w:szCs w:val="20"/>
                <w:color w:val="auto"/>
              </w:rPr>
            </w:pPr>
            <w:r>
              <w:rPr>
                <w:rFonts w:ascii="Arial" w:cs="Arial" w:eastAsia="Arial" w:hAnsi="Arial"/>
                <w:sz w:val="18"/>
                <w:szCs w:val="18"/>
                <w:color w:val="auto"/>
                <w:w w:val="97"/>
              </w:rPr>
              <w:t>XBRL Instance Document - the instance document does not appear in the</w:t>
            </w:r>
          </w:p>
        </w:tc>
      </w:tr>
      <w:tr>
        <w:trPr>
          <w:trHeight w:val="216"/>
        </w:trPr>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760" w:type="dxa"/>
            <w:vAlign w:val="bottom"/>
            <w:gridSpan w:val="4"/>
          </w:tcPr>
          <w:p>
            <w:pPr>
              <w:spacing w:after="0"/>
              <w:rPr>
                <w:sz w:val="20"/>
                <w:szCs w:val="20"/>
                <w:color w:val="auto"/>
              </w:rPr>
            </w:pPr>
            <w:r>
              <w:rPr>
                <w:rFonts w:ascii="Arial" w:cs="Arial" w:eastAsia="Arial" w:hAnsi="Arial"/>
                <w:sz w:val="18"/>
                <w:szCs w:val="18"/>
                <w:color w:val="auto"/>
                <w:w w:val="96"/>
              </w:rPr>
              <w:t>Interactive Data File because its XBRL tags are embedded within the Inline</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4"/>
          </w:tcPr>
          <w:p>
            <w:pPr>
              <w:spacing w:after="0"/>
              <w:rPr>
                <w:sz w:val="20"/>
                <w:szCs w:val="20"/>
                <w:color w:val="auto"/>
              </w:rPr>
            </w:pPr>
            <w:r>
              <w:rPr>
                <w:rFonts w:ascii="Arial" w:cs="Arial" w:eastAsia="Arial" w:hAnsi="Arial"/>
                <w:sz w:val="18"/>
                <w:szCs w:val="18"/>
                <w:color w:val="auto"/>
              </w:rPr>
              <w:t>XBRL document.</w:t>
            </w:r>
          </w:p>
        </w:tc>
      </w:tr>
      <w:tr>
        <w:trPr>
          <w:trHeight w:val="270"/>
        </w:trPr>
        <w:tc>
          <w:tcPr>
            <w:tcW w:w="1280" w:type="dxa"/>
            <w:vAlign w:val="bottom"/>
          </w:tcPr>
          <w:p>
            <w:pPr>
              <w:spacing w:after="0"/>
              <w:rPr>
                <w:sz w:val="23"/>
                <w:szCs w:val="23"/>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101.SCH</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280" w:type="dxa"/>
            <w:vAlign w:val="bottom"/>
          </w:tcPr>
          <w:p>
            <w:pPr>
              <w:spacing w:after="0"/>
              <w:rPr>
                <w:sz w:val="23"/>
                <w:szCs w:val="23"/>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101.CAL</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280" w:type="dxa"/>
            <w:vAlign w:val="bottom"/>
          </w:tcPr>
          <w:p>
            <w:pPr>
              <w:spacing w:after="0"/>
              <w:rPr>
                <w:sz w:val="23"/>
                <w:szCs w:val="23"/>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101.DEF</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280" w:type="dxa"/>
            <w:vAlign w:val="bottom"/>
          </w:tcPr>
          <w:p>
            <w:pPr>
              <w:spacing w:after="0"/>
              <w:rPr>
                <w:sz w:val="23"/>
                <w:szCs w:val="23"/>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101.LAB</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280" w:type="dxa"/>
            <w:vAlign w:val="bottom"/>
          </w:tcPr>
          <w:p>
            <w:pPr>
              <w:spacing w:after="0"/>
              <w:rPr>
                <w:sz w:val="23"/>
                <w:szCs w:val="23"/>
                <w:color w:val="auto"/>
              </w:rPr>
            </w:pPr>
          </w:p>
        </w:tc>
        <w:tc>
          <w:tcPr>
            <w:tcW w:w="1880" w:type="dxa"/>
            <w:vAlign w:val="bottom"/>
            <w:gridSpan w:val="6"/>
          </w:tcPr>
          <w:p>
            <w:pPr>
              <w:ind w:left="120"/>
              <w:spacing w:after="0"/>
              <w:rPr>
                <w:sz w:val="20"/>
                <w:szCs w:val="20"/>
                <w:color w:val="auto"/>
              </w:rPr>
            </w:pPr>
            <w:r>
              <w:rPr>
                <w:rFonts w:ascii="Arial" w:cs="Arial" w:eastAsia="Arial" w:hAnsi="Arial"/>
                <w:sz w:val="18"/>
                <w:szCs w:val="18"/>
                <w:color w:val="auto"/>
              </w:rPr>
              <w:t>101.PRE</w:t>
            </w: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56"/>
        </w:trPr>
        <w:tc>
          <w:tcPr>
            <w:tcW w:w="1720" w:type="dxa"/>
            <w:vAlign w:val="bottom"/>
            <w:gridSpan w:val="4"/>
          </w:tcPr>
          <w:p>
            <w:pPr>
              <w:ind w:left="1400"/>
              <w:spacing w:after="0"/>
              <w:rPr>
                <w:sz w:val="20"/>
                <w:szCs w:val="20"/>
                <w:color w:val="auto"/>
              </w:rPr>
            </w:pPr>
            <w:r>
              <w:rPr>
                <w:rFonts w:ascii="Arial" w:cs="Arial" w:eastAsia="Arial" w:hAnsi="Arial"/>
                <w:sz w:val="18"/>
                <w:szCs w:val="18"/>
                <w:color w:val="auto"/>
                <w:w w:val="99"/>
              </w:rPr>
              <w:t>104</w:t>
            </w: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5760" w:type="dxa"/>
            <w:vAlign w:val="bottom"/>
            <w:gridSpan w:val="4"/>
          </w:tcPr>
          <w:p>
            <w:pPr>
              <w:spacing w:after="0"/>
              <w:rPr>
                <w:sz w:val="20"/>
                <w:szCs w:val="20"/>
                <w:color w:val="auto"/>
              </w:rPr>
            </w:pPr>
            <w:r>
              <w:rPr>
                <w:rFonts w:ascii="Arial" w:cs="Arial" w:eastAsia="Arial" w:hAnsi="Arial"/>
                <w:sz w:val="18"/>
                <w:szCs w:val="18"/>
                <w:color w:val="auto"/>
                <w:w w:val="94"/>
              </w:rPr>
              <w:t>Cover Page Interactive Data File (formatted as Inline XBRL and contained in</w:t>
            </w:r>
          </w:p>
        </w:tc>
      </w:tr>
      <w:tr>
        <w:trPr>
          <w:trHeight w:val="230"/>
        </w:trPr>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4"/>
          </w:tcPr>
          <w:p>
            <w:pPr>
              <w:spacing w:after="0"/>
              <w:rPr>
                <w:sz w:val="20"/>
                <w:szCs w:val="20"/>
                <w:color w:val="auto"/>
              </w:rPr>
            </w:pPr>
            <w:r>
              <w:rPr>
                <w:rFonts w:ascii="Arial" w:cs="Arial" w:eastAsia="Arial" w:hAnsi="Arial"/>
                <w:sz w:val="18"/>
                <w:szCs w:val="18"/>
                <w:color w:val="auto"/>
              </w:rPr>
              <w:t>Exhibit 101)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3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0219"/>
          </w:cols>
          <w:pgMar w:left="240" w:top="108" w:right="1440"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their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p>
        </w:tc>
        <w:tc>
          <w:tcPr>
            <w:tcW w:w="3760" w:type="dxa"/>
            <w:vAlign w:val="bottom"/>
            <w:gridSpan w:val="3"/>
          </w:tcPr>
          <w:p>
            <w:pPr>
              <w:ind w:left="240"/>
              <w:spacing w:after="0"/>
              <w:rPr>
                <w:sz w:val="20"/>
                <w:szCs w:val="20"/>
                <w:color w:val="auto"/>
              </w:rPr>
            </w:pPr>
            <w:r>
              <w:rPr>
                <w:rFonts w:ascii="Arial" w:cs="Arial" w:eastAsia="Arial" w:hAnsi="Arial"/>
                <w:sz w:val="18"/>
                <w:szCs w:val="18"/>
                <w:color w:val="auto"/>
                <w:w w:val="96"/>
              </w:rPr>
              <w:t>PRIORITY TECHNOLOGY HOLDINGS, INC.</w:t>
            </w:r>
          </w:p>
        </w:tc>
      </w:tr>
      <w:tr>
        <w:trPr>
          <w:trHeight w:val="554"/>
        </w:trPr>
        <w:tc>
          <w:tcPr>
            <w:tcW w:w="5940" w:type="dxa"/>
            <w:vAlign w:val="bottom"/>
          </w:tcPr>
          <w:p>
            <w:pPr>
              <w:spacing w:after="0"/>
              <w:rPr>
                <w:sz w:val="20"/>
                <w:szCs w:val="20"/>
                <w:color w:val="auto"/>
              </w:rPr>
            </w:pPr>
            <w:r>
              <w:rPr>
                <w:rFonts w:ascii="Arial" w:cs="Arial" w:eastAsia="Arial" w:hAnsi="Arial"/>
                <w:sz w:val="18"/>
                <w:szCs w:val="18"/>
                <w:color w:val="auto"/>
              </w:rPr>
              <w:t>November 14, 2019</w:t>
            </w:r>
          </w:p>
        </w:tc>
        <w:tc>
          <w:tcPr>
            <w:tcW w:w="3760" w:type="dxa"/>
            <w:vAlign w:val="bottom"/>
            <w:gridSpan w:val="3"/>
          </w:tcPr>
          <w:p>
            <w:pPr>
              <w:spacing w:after="0"/>
              <w:rPr>
                <w:sz w:val="20"/>
                <w:szCs w:val="20"/>
                <w:color w:val="auto"/>
              </w:rPr>
            </w:pPr>
            <w:r>
              <w:rPr>
                <w:rFonts w:ascii="Arial" w:cs="Arial" w:eastAsia="Arial" w:hAnsi="Arial"/>
                <w:sz w:val="18"/>
                <w:szCs w:val="18"/>
                <w:color w:val="auto"/>
              </w:rPr>
              <w:t>/s/ THOMAS C. PRIORE</w:t>
            </w:r>
          </w:p>
        </w:tc>
      </w:tr>
      <w:tr>
        <w:trPr>
          <w:trHeight w:val="222"/>
        </w:trPr>
        <w:tc>
          <w:tcPr>
            <w:tcW w:w="5940" w:type="dxa"/>
            <w:vAlign w:val="bottom"/>
          </w:tcPr>
          <w:p>
            <w:pPr>
              <w:spacing w:after="0"/>
              <w:rPr>
                <w:sz w:val="19"/>
                <w:szCs w:val="19"/>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C. Priore</w:t>
            </w:r>
          </w:p>
        </w:tc>
        <w:tc>
          <w:tcPr>
            <w:tcW w:w="1900" w:type="dxa"/>
            <w:vAlign w:val="bottom"/>
            <w:gridSpan w:val="2"/>
          </w:tcPr>
          <w:p>
            <w:pPr>
              <w:spacing w:after="0"/>
              <w:rPr>
                <w:sz w:val="19"/>
                <w:szCs w:val="19"/>
                <w:color w:val="auto"/>
              </w:rPr>
            </w:pPr>
          </w:p>
        </w:tc>
      </w:tr>
      <w:tr>
        <w:trPr>
          <w:trHeight w:val="216"/>
        </w:trPr>
        <w:tc>
          <w:tcPr>
            <w:tcW w:w="59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Chief Executive Officer and Chairman</w:t>
            </w:r>
          </w:p>
        </w:tc>
      </w:tr>
      <w:tr>
        <w:trPr>
          <w:trHeight w:val="230"/>
        </w:trPr>
        <w:tc>
          <w:tcPr>
            <w:tcW w:w="59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83"/>
        </w:trPr>
        <w:tc>
          <w:tcPr>
            <w:tcW w:w="5940" w:type="dxa"/>
            <w:vAlign w:val="bottom"/>
          </w:tcPr>
          <w:p>
            <w:pPr>
              <w:spacing w:after="0"/>
              <w:rPr>
                <w:sz w:val="20"/>
                <w:szCs w:val="20"/>
                <w:color w:val="auto"/>
              </w:rPr>
            </w:pPr>
            <w:r>
              <w:rPr>
                <w:rFonts w:ascii="Arial" w:cs="Arial" w:eastAsia="Arial" w:hAnsi="Arial"/>
                <w:sz w:val="18"/>
                <w:szCs w:val="18"/>
                <w:color w:val="auto"/>
              </w:rPr>
              <w:t>November 14, 2019</w:t>
            </w:r>
          </w:p>
        </w:tc>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 MICHAEL T. VOLLKOMMER</w:t>
            </w:r>
          </w:p>
        </w:tc>
        <w:tc>
          <w:tcPr>
            <w:tcW w:w="1200" w:type="dxa"/>
            <w:vAlign w:val="bottom"/>
          </w:tcPr>
          <w:p>
            <w:pPr>
              <w:spacing w:after="0"/>
              <w:rPr>
                <w:sz w:val="24"/>
                <w:szCs w:val="24"/>
                <w:color w:val="auto"/>
              </w:rPr>
            </w:pPr>
          </w:p>
        </w:tc>
      </w:tr>
      <w:tr>
        <w:trPr>
          <w:trHeight w:val="222"/>
        </w:trPr>
        <w:tc>
          <w:tcPr>
            <w:tcW w:w="5940" w:type="dxa"/>
            <w:vAlign w:val="bottom"/>
          </w:tcPr>
          <w:p>
            <w:pPr>
              <w:spacing w:after="0"/>
              <w:rPr>
                <w:sz w:val="19"/>
                <w:szCs w:val="19"/>
                <w:color w:val="auto"/>
              </w:rPr>
            </w:pPr>
          </w:p>
        </w:tc>
        <w:tc>
          <w:tcPr>
            <w:tcW w:w="3760" w:type="dxa"/>
            <w:vAlign w:val="bottom"/>
            <w:gridSpan w:val="3"/>
          </w:tcPr>
          <w:p>
            <w:pPr>
              <w:spacing w:after="0"/>
              <w:rPr>
                <w:sz w:val="20"/>
                <w:szCs w:val="20"/>
                <w:color w:val="auto"/>
              </w:rPr>
            </w:pPr>
            <w:r>
              <w:rPr>
                <w:rFonts w:ascii="Arial" w:cs="Arial" w:eastAsia="Arial" w:hAnsi="Arial"/>
                <w:sz w:val="18"/>
                <w:szCs w:val="18"/>
                <w:color w:val="auto"/>
              </w:rPr>
              <w:t>Michael T. Vollkommer</w:t>
            </w:r>
          </w:p>
        </w:tc>
      </w:tr>
      <w:tr>
        <w:trPr>
          <w:trHeight w:val="216"/>
        </w:trPr>
        <w:tc>
          <w:tcPr>
            <w:tcW w:w="5940" w:type="dxa"/>
            <w:vAlign w:val="bottom"/>
          </w:tcPr>
          <w:p>
            <w:pPr>
              <w:spacing w:after="0"/>
              <w:rPr>
                <w:sz w:val="18"/>
                <w:szCs w:val="18"/>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940" w:type="dxa"/>
            <w:vAlign w:val="bottom"/>
          </w:tcPr>
          <w:p>
            <w:pPr>
              <w:spacing w:after="0"/>
              <w:rPr>
                <w:sz w:val="20"/>
                <w:szCs w:val="20"/>
                <w:color w:val="auto"/>
              </w:rPr>
            </w:pPr>
          </w:p>
        </w:tc>
        <w:tc>
          <w:tcPr>
            <w:tcW w:w="3760" w:type="dxa"/>
            <w:vAlign w:val="bottom"/>
            <w:gridSpan w:val="3"/>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0500"/>
          </w:cols>
          <w:pgMar w:left="240" w:top="125" w:right="115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ind w:left="260" w:right="2660"/>
        <w:spacing w:after="0" w:line="255"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 AS ADOPTED PURSUANT TO SECTION 303 OF THE SARBANES-OXLEY ACT OF 2002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 Thomas C. Priore,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80" w:right="540" w:hanging="324"/>
        <w:spacing w:after="0" w:line="250"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720" w:hanging="324"/>
        <w:spacing w:after="0" w:line="281" w:lineRule="auto"/>
        <w:tabs>
          <w:tab w:leader="none" w:pos="9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20" w:hanging="324"/>
        <w:spacing w:after="0" w:line="255"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58"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100" w:hanging="324"/>
        <w:spacing w:after="0" w:line="261"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900"/>
        <w:spacing w:after="0"/>
        <w:tabs>
          <w:tab w:leader="none" w:pos="6580" w:val="left"/>
        </w:tabs>
        <w:rPr>
          <w:sz w:val="20"/>
          <w:szCs w:val="20"/>
          <w:color w:val="auto"/>
        </w:rPr>
      </w:pPr>
      <w:r>
        <w:rPr>
          <w:rFonts w:ascii="Arial" w:cs="Arial" w:eastAsia="Arial" w:hAnsi="Arial"/>
          <w:sz w:val="18"/>
          <w:szCs w:val="18"/>
          <w:color w:val="auto"/>
        </w:rPr>
        <w:t>November 14, 2019</w:t>
      </w:r>
      <w:r>
        <w:rPr>
          <w:sz w:val="20"/>
          <w:szCs w:val="20"/>
          <w:color w:val="auto"/>
        </w:rPr>
        <w:tab/>
      </w:r>
      <w:r>
        <w:rPr>
          <w:rFonts w:ascii="Arial" w:cs="Arial" w:eastAsia="Arial" w:hAnsi="Arial"/>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31750</wp:posOffset>
            </wp:positionV>
            <wp:extent cx="389318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93185" cy="17145"/>
                    </a:xfrm>
                    <a:prstGeom prst="rect">
                      <a:avLst/>
                    </a:prstGeom>
                    <a:noFill/>
                  </pic:spPr>
                </pic:pic>
              </a:graphicData>
            </a:graphic>
          </wp:anchor>
        </w:drawing>
      </w:r>
    </w:p>
    <w:p>
      <w:pPr>
        <w:spacing w:after="0" w:line="70" w:lineRule="exact"/>
        <w:rPr>
          <w:sz w:val="20"/>
          <w:szCs w:val="20"/>
          <w:color w:val="auto"/>
        </w:rPr>
      </w:pPr>
    </w:p>
    <w:p>
      <w:pPr>
        <w:jc w:val="center"/>
        <w:ind w:left="366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jc w:val="center"/>
        <w:ind w:left="366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63" w:lineRule="exact"/>
        <w:rPr>
          <w:sz w:val="20"/>
          <w:szCs w:val="20"/>
          <w:color w:val="auto"/>
        </w:rPr>
      </w:pPr>
    </w:p>
    <w:p>
      <w:pPr>
        <w:jc w:val="center"/>
        <w:ind w:left="36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PRINCIPAL FINANCIAL OFFICER PURSUANT TO EXCHANGE ACT RULE 13a-14(a) AS ADOPTED PURSUANT TO SECTION 303 OF THE SARBANES-OXLEY ACT OF 2002</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I, Michael T. Vollkommer,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Priority Technology Holdings, Inc.;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80" w:right="540" w:hanging="324"/>
        <w:spacing w:after="0" w:line="250"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jc w:val="both"/>
        <w:ind w:left="980" w:right="720" w:hanging="324"/>
        <w:spacing w:after="0" w:line="281" w:lineRule="auto"/>
        <w:tabs>
          <w:tab w:leader="none" w:pos="9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80" w:right="220" w:hanging="324"/>
        <w:spacing w:after="0" w:line="255"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right="120" w:hanging="324"/>
        <w:spacing w:after="0" w:line="258"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80" w:right="100" w:hanging="324"/>
        <w:spacing w:after="0" w:line="261"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140"/>
        <w:spacing w:after="0"/>
        <w:tabs>
          <w:tab w:leader="none" w:pos="7580" w:val="left"/>
        </w:tabs>
        <w:rPr>
          <w:sz w:val="20"/>
          <w:szCs w:val="20"/>
          <w:color w:val="auto"/>
        </w:rPr>
      </w:pPr>
      <w:r>
        <w:rPr>
          <w:rFonts w:ascii="Arial" w:cs="Arial" w:eastAsia="Arial" w:hAnsi="Arial"/>
          <w:sz w:val="18"/>
          <w:szCs w:val="18"/>
          <w:color w:val="auto"/>
        </w:rPr>
        <w:t>November 14, 2019</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31750</wp:posOffset>
            </wp:positionV>
            <wp:extent cx="31388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38805" cy="17145"/>
                    </a:xfrm>
                    <a:prstGeom prst="rect">
                      <a:avLst/>
                    </a:prstGeom>
                    <a:noFill/>
                  </pic:spPr>
                </pic:pic>
              </a:graphicData>
            </a:graphic>
          </wp:anchor>
        </w:drawing>
      </w:r>
    </w:p>
    <w:p>
      <w:pPr>
        <w:spacing w:after="0" w:line="70" w:lineRule="exact"/>
        <w:rPr>
          <w:sz w:val="20"/>
          <w:szCs w:val="20"/>
          <w:color w:val="auto"/>
        </w:rPr>
      </w:pPr>
    </w:p>
    <w:p>
      <w:pPr>
        <w:jc w:val="center"/>
        <w:ind w:left="6320"/>
        <w:spacing w:after="0"/>
        <w:rPr>
          <w:sz w:val="20"/>
          <w:szCs w:val="20"/>
          <w:color w:val="auto"/>
        </w:rPr>
      </w:pPr>
      <w:r>
        <w:rPr>
          <w:rFonts w:ascii="Arial" w:cs="Arial" w:eastAsia="Arial" w:hAnsi="Arial"/>
          <w:sz w:val="18"/>
          <w:szCs w:val="18"/>
          <w:color w:val="auto"/>
        </w:rPr>
        <w:t>Michael T. Vollkommer</w:t>
      </w:r>
    </w:p>
    <w:p>
      <w:pPr>
        <w:spacing w:after="0" w:line="63"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jc w:val="cente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3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AND PRINCIPAL FINANCIAL OFFICER PURSUANT TO 18 U.S.C. SECTION 1350, AS ADOPTED PURSUANT TO SECTION 906 OF THE SARBANES-OXLEY ACT OF 2002</w:t>
      </w:r>
    </w:p>
    <w:p>
      <w:pPr>
        <w:spacing w:after="0" w:line="39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on Form 10-Q of Priority Technology Holdings, Inc. (the "Company") for the quarter ended September 30, 2019 as filed with the Securities and Exchange Commission (the "Report"), each of the undersigned, on the dates indicated below, hereby certifies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Act of 1934;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tabs>
          <w:tab w:leader="none" w:pos="4720" w:val="left"/>
        </w:tabs>
        <w:rPr>
          <w:sz w:val="20"/>
          <w:szCs w:val="20"/>
          <w:color w:val="auto"/>
        </w:rPr>
      </w:pPr>
      <w:r>
        <w:rPr>
          <w:rFonts w:ascii="Arial" w:cs="Arial" w:eastAsia="Arial" w:hAnsi="Arial"/>
          <w:sz w:val="18"/>
          <w:szCs w:val="18"/>
          <w:color w:val="auto"/>
        </w:rPr>
        <w:t>November 14, 2019</w:t>
      </w:r>
      <w:r>
        <w:rPr>
          <w:sz w:val="20"/>
          <w:szCs w:val="20"/>
          <w:color w:val="auto"/>
        </w:rPr>
        <w:tab/>
      </w:r>
      <w:r>
        <w:rPr>
          <w:rFonts w:ascii="Arial" w:cs="Arial" w:eastAsia="Arial" w:hAnsi="Arial"/>
          <w:sz w:val="17"/>
          <w:szCs w:val="17"/>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Thomas C. Priore</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Executive Officer and Chairman</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tabs>
          <w:tab w:leader="none" w:pos="4720" w:val="left"/>
        </w:tabs>
        <w:rPr>
          <w:sz w:val="20"/>
          <w:szCs w:val="20"/>
          <w:color w:val="auto"/>
        </w:rPr>
      </w:pPr>
      <w:r>
        <w:rPr>
          <w:rFonts w:ascii="Arial" w:cs="Arial" w:eastAsia="Arial" w:hAnsi="Arial"/>
          <w:sz w:val="18"/>
          <w:szCs w:val="18"/>
          <w:color w:val="auto"/>
        </w:rPr>
        <w:t>November 14, 2019</w:t>
      </w:r>
      <w:r>
        <w:rPr>
          <w:sz w:val="20"/>
          <w:szCs w:val="20"/>
          <w:color w:val="auto"/>
        </w:rPr>
        <w:tab/>
      </w:r>
      <w:r>
        <w:rPr>
          <w:rFonts w:ascii="Arial" w:cs="Arial" w:eastAsia="Arial" w:hAnsi="Arial"/>
          <w:sz w:val="17"/>
          <w:szCs w:val="17"/>
          <w:color w:val="auto"/>
        </w:rPr>
        <w:t>/s/ MICHAEL T.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4271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71010" cy="1714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Michael T. Vollkommer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foregoing certifications are being furnished solely pursuant to 18 U.S.C. § 1350 and are not being filed as part of the Report on Form 10-Q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800"/>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2"/>
    </w:lvl>
  </w:abstractNum>
  <w:abstractNum w:abstractNumId="5">
    <w:nsid w:val="1190CDE7"/>
    <w:multiLevelType w:val="hybridMultilevel"/>
    <w:lvl w:ilvl="0">
      <w:lvlJc w:val="left"/>
      <w:lvlText w:val="(%1)"/>
      <w:numFmt w:val="decimal"/>
      <w:start w:val="1"/>
    </w:lvl>
    <w:lvl w:ilvl="1">
      <w:lvlJc w:val="left"/>
      <w:lvlText w:val="-"/>
      <w:numFmt w:val="bullet"/>
      <w:start w:val="1"/>
    </w:lvl>
  </w:abstractNum>
  <w:abstractNum w:abstractNumId="6">
    <w:nsid w:val="66EF438D"/>
    <w:multiLevelType w:val="hybridMultilevel"/>
    <w:lvl w:ilvl="0">
      <w:lvlJc w:val="left"/>
      <w:lvlText w:val="(%1)"/>
      <w:numFmt w:val="lowerRoman"/>
      <w:start w:val="1"/>
    </w:lvl>
  </w:abstractNum>
  <w:abstractNum w:abstractNumId="7">
    <w:nsid w:val="140E0F76"/>
    <w:multiLevelType w:val="hybridMultilevel"/>
    <w:lvl w:ilvl="0">
      <w:lvlJc w:val="left"/>
      <w:lvlText w:val="(%1)"/>
      <w:numFmt w:val="lowerLetter"/>
      <w:start w:val="1"/>
    </w:lvl>
    <w:lvl w:ilvl="1">
      <w:lvlJc w:val="left"/>
      <w:lvlText w:val="-"/>
      <w:numFmt w:val="bullet"/>
      <w:start w:val="1"/>
    </w:lvl>
  </w:abstractNum>
  <w:abstractNum w:abstractNumId="8">
    <w:nsid w:val="3352255A"/>
    <w:multiLevelType w:val="hybridMultilevel"/>
    <w:lvl w:ilvl="0">
      <w:lvlJc w:val="left"/>
      <w:lvlText w:val="(%1)"/>
      <w:numFmt w:val="lowerLetter"/>
      <w:start w:val="2"/>
    </w:lvl>
    <w:lvl w:ilvl="1">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6"/>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1"/>
    </w:lvl>
    <w:lvl w:ilvl="1">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2019-11-28T06:04:53Z</dcterms:created>
  <dcterms:modified xsi:type="dcterms:W3CDTF">2019-11-28T06:04:53Z</dcterms:modified>
</cp:coreProperties>
</file>