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November 10, 2022</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3810</wp:posOffset>
            </wp:positionV>
            <wp:extent cx="1691640" cy="782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1640" cy="782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Priority Technology Holdings, Inc.</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1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001-37872</w:t>
            </w: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jc w:val="right"/>
              <w:ind w:right="1440"/>
              <w:spacing w:after="0"/>
              <w:rPr>
                <w:sz w:val="20"/>
                <w:szCs w:val="20"/>
                <w:color w:val="auto"/>
              </w:rPr>
            </w:pPr>
            <w:r>
              <w:rPr>
                <w:rFonts w:ascii="Times New Roman" w:cs="Times New Roman" w:eastAsia="Times New Roman" w:hAnsi="Times New Roman"/>
                <w:sz w:val="12"/>
                <w:szCs w:val="12"/>
                <w:b w:val="1"/>
                <w:bCs w:val="1"/>
                <w:color w:val="auto"/>
              </w:rPr>
              <w:t>47-4257046</w:t>
            </w:r>
          </w:p>
        </w:tc>
        <w:tc>
          <w:tcPr>
            <w:tcW w:w="20" w:type="dxa"/>
            <w:vAlign w:val="bottom"/>
          </w:tcPr>
          <w:p>
            <w:pPr>
              <w:spacing w:after="0"/>
              <w:rPr>
                <w:sz w:val="13"/>
                <w:szCs w:val="13"/>
                <w:color w:val="auto"/>
              </w:rPr>
            </w:pPr>
          </w:p>
        </w:tc>
      </w:tr>
      <w:tr>
        <w:trPr>
          <w:trHeight w:val="144"/>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20" w:type="dxa"/>
            <w:vAlign w:val="bottom"/>
          </w:tcPr>
          <w:p>
            <w:pPr>
              <w:spacing w:after="0"/>
              <w:rPr>
                <w:sz w:val="12"/>
                <w:szCs w:val="12"/>
                <w:color w:val="auto"/>
              </w:rPr>
            </w:pPr>
          </w:p>
        </w:tc>
        <w:tc>
          <w:tcPr>
            <w:tcW w:w="33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20" w:type="dxa"/>
            <w:vAlign w:val="bottom"/>
          </w:tcPr>
          <w:p>
            <w:pPr>
              <w:spacing w:after="0"/>
              <w:rPr>
                <w:sz w:val="12"/>
                <w:szCs w:val="12"/>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(I.R.S. Employer Identification No.)</w:t>
            </w:r>
          </w:p>
        </w:tc>
        <w:tc>
          <w:tcPr>
            <w:tcW w:w="20" w:type="dxa"/>
            <w:vAlign w:val="bottom"/>
          </w:tcPr>
          <w:p>
            <w:pPr>
              <w:spacing w:after="0"/>
              <w:rPr>
                <w:sz w:val="12"/>
                <w:szCs w:val="12"/>
                <w:color w:val="auto"/>
              </w:rPr>
            </w:pPr>
          </w:p>
        </w:tc>
      </w:tr>
      <w:tr>
        <w:trPr>
          <w:trHeight w:val="43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000" w:type="dxa"/>
            <w:vAlign w:val="bottom"/>
            <w:gridSpan w:val="2"/>
          </w:tcPr>
          <w:p>
            <w:pPr>
              <w:ind w:left="1140"/>
              <w:spacing w:after="0"/>
              <w:rPr>
                <w:sz w:val="20"/>
                <w:szCs w:val="20"/>
                <w:color w:val="auto"/>
              </w:rPr>
            </w:pPr>
            <w:r>
              <w:rPr>
                <w:rFonts w:ascii="Times New Roman" w:cs="Times New Roman" w:eastAsia="Times New Roman" w:hAnsi="Times New Roman"/>
                <w:sz w:val="12"/>
                <w:szCs w:val="12"/>
                <w:b w:val="1"/>
                <w:bCs w:val="1"/>
                <w:color w:val="auto"/>
              </w:rPr>
              <w:t>Alpharetta,</w:t>
            </w:r>
          </w:p>
        </w:tc>
        <w:tc>
          <w:tcPr>
            <w:tcW w:w="370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580" w:type="dxa"/>
            <w:vAlign w:val="bottom"/>
          </w:tcPr>
          <w:p>
            <w:pPr>
              <w:jc w:val="right"/>
              <w:ind w:right="2380"/>
              <w:spacing w:after="0"/>
              <w:rPr>
                <w:sz w:val="20"/>
                <w:szCs w:val="20"/>
                <w:color w:val="auto"/>
              </w:rPr>
            </w:pPr>
            <w:r>
              <w:rPr>
                <w:rFonts w:ascii="Times New Roman" w:cs="Times New Roman" w:eastAsia="Times New Roman" w:hAnsi="Times New Roman"/>
                <w:sz w:val="12"/>
                <w:szCs w:val="12"/>
                <w:b w:val="1"/>
                <w:bCs w:val="1"/>
                <w:color w:val="auto"/>
              </w:rPr>
              <w:t>30004</w:t>
            </w:r>
          </w:p>
        </w:tc>
        <w:tc>
          <w:tcPr>
            <w:tcW w:w="20" w:type="dxa"/>
            <w:vAlign w:val="bottom"/>
          </w:tcPr>
          <w:p>
            <w:pPr>
              <w:spacing w:after="0"/>
              <w:rPr>
                <w:sz w:val="13"/>
                <w:szCs w:val="13"/>
                <w:color w:val="auto"/>
              </w:rPr>
            </w:pPr>
          </w:p>
        </w:tc>
      </w:tr>
      <w:tr>
        <w:trPr>
          <w:trHeight w:val="144"/>
        </w:trPr>
        <w:tc>
          <w:tcPr>
            <w:tcW w:w="4000" w:type="dxa"/>
            <w:vAlign w:val="bottom"/>
            <w:tcBorders>
              <w:top w:val="single" w:sz="8" w:color="auto"/>
            </w:tcBorders>
            <w:gridSpan w:val="2"/>
          </w:tcPr>
          <w:p>
            <w:pPr>
              <w:jc w:val="center"/>
              <w:ind w:left="166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Times New Roman" w:cs="Times New Roman" w:eastAsia="Times New Roman" w:hAnsi="Times New Roman"/>
                <w:sz w:val="12"/>
                <w:szCs w:val="12"/>
                <w:color w:val="auto"/>
                <w:w w:val="98"/>
              </w:rPr>
              <w:t>(Zip Code)</w:t>
            </w:r>
          </w:p>
        </w:tc>
        <w:tc>
          <w:tcPr>
            <w:tcW w:w="20" w:type="dxa"/>
            <w:vAlign w:val="bottom"/>
            <w:tcBorders>
              <w:top w:val="single" w:sz="8" w:color="auto"/>
            </w:tcBorders>
          </w:tcPr>
          <w:p>
            <w:pPr>
              <w:spacing w:after="0"/>
              <w:rPr>
                <w:sz w:val="12"/>
                <w:szCs w:val="12"/>
                <w:color w:val="auto"/>
              </w:rPr>
            </w:pPr>
          </w:p>
        </w:tc>
      </w:tr>
    </w:tbl>
    <w:p>
      <w:pPr>
        <w:spacing w:after="0" w:line="181"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14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r>
      <w:tr>
        <w:trPr>
          <w:trHeight w:val="234"/>
        </w:trPr>
        <w:tc>
          <w:tcPr>
            <w:tcW w:w="560" w:type="dxa"/>
            <w:vAlign w:val="bottom"/>
          </w:tcPr>
          <w:p>
            <w:pPr>
              <w:spacing w:after="0"/>
              <w:rPr>
                <w:sz w:val="20"/>
                <w:szCs w:val="20"/>
                <w:color w:val="auto"/>
              </w:rPr>
            </w:pP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21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4"/>
        </w:trPr>
        <w:tc>
          <w:tcPr>
            <w:tcW w:w="560" w:type="dxa"/>
            <w:vAlign w:val="bottom"/>
          </w:tcPr>
          <w:p>
            <w:pPr>
              <w:spacing w:after="0"/>
              <w:rPr>
                <w:sz w:val="12"/>
                <w:szCs w:val="12"/>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$0.001 par value</w:t>
            </w:r>
          </w:p>
        </w:tc>
        <w:tc>
          <w:tcPr>
            <w:tcW w:w="200" w:type="dxa"/>
            <w:vAlign w:val="bottom"/>
          </w:tcPr>
          <w:p>
            <w:pPr>
              <w:spacing w:after="0"/>
              <w:rPr>
                <w:sz w:val="12"/>
                <w:szCs w:val="12"/>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80" w:type="dxa"/>
            <w:vAlign w:val="bottom"/>
          </w:tcPr>
          <w:p>
            <w:pPr>
              <w:spacing w:after="0"/>
              <w:rPr>
                <w:sz w:val="12"/>
                <w:szCs w:val="12"/>
                <w:color w:val="auto"/>
              </w:rPr>
            </w:pPr>
          </w:p>
        </w:tc>
        <w:tc>
          <w:tcPr>
            <w:tcW w:w="4420" w:type="dxa"/>
            <w:vAlign w:val="bottom"/>
            <w:tcBorders>
              <w:top w:val="single" w:sz="8" w:color="auto"/>
            </w:tcBorders>
          </w:tcPr>
          <w:p>
            <w:pPr>
              <w:ind w:left="1660"/>
              <w:spacing w:after="0"/>
              <w:rPr>
                <w:sz w:val="20"/>
                <w:szCs w:val="20"/>
                <w:color w:val="auto"/>
              </w:rPr>
            </w:pPr>
            <w:r>
              <w:rPr>
                <w:rFonts w:ascii="Times New Roman" w:cs="Times New Roman" w:eastAsia="Times New Roman" w:hAnsi="Times New Roman"/>
                <w:sz w:val="12"/>
                <w:szCs w:val="12"/>
                <w:color w:val="auto"/>
              </w:rPr>
              <w:t>Nasdaq Global Market</w:t>
            </w:r>
          </w:p>
        </w:tc>
        <w:tc>
          <w:tcPr>
            <w:tcW w:w="560" w:type="dxa"/>
            <w:vAlign w:val="bottom"/>
          </w:tcPr>
          <w:p>
            <w:pPr>
              <w:spacing w:after="0"/>
              <w:rPr>
                <w:sz w:val="12"/>
                <w:szCs w:val="12"/>
                <w:color w:val="auto"/>
              </w:rPr>
            </w:pPr>
          </w:p>
        </w:tc>
      </w:tr>
      <w:tr>
        <w:trPr>
          <w:trHeight w:val="808"/>
        </w:trPr>
        <w:tc>
          <w:tcPr>
            <w:tcW w:w="5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0" w:right="299" w:bottom="1440" w:gutter="0" w:footer="0" w:header="0"/>
        </w:sectPr>
      </w:pPr>
    </w:p>
    <w:bookmarkStart w:id="1" w:name="page2"/>
    <w:bookmarkEnd w:id="1"/>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0"/>
          <w:szCs w:val="20"/>
          <w:color w:val="auto"/>
        </w:rPr>
      </w:pPr>
    </w:p>
    <w:p>
      <w:pPr>
        <w:ind w:left="12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88" w:lineRule="exact"/>
        <w:rPr>
          <w:sz w:val="20"/>
          <w:szCs w:val="20"/>
          <w:color w:val="auto"/>
        </w:rPr>
      </w:pPr>
    </w:p>
    <w:p>
      <w:pPr>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351155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2" w:name="page3"/>
    <w:bookmarkEnd w:id="2"/>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On November 10, 2022, Priority Technology Holdings, Inc. ("Priority") issued a press release announcing its financial results for the quarter ended September 30, 2022. A copy of that press release is attached as Exhibit 99.1 to this Current Report on Form 8-K.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2"/>
          <w:szCs w:val="12"/>
          <w:color w:val="auto"/>
        </w:rPr>
        <w:t>On November 10, 2022, Priority will hold an earnings conference call and webcast at 11:00 a.m. (Eastern Time) to discuss the financial results for the quarter ended September 30, 2022.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www.prth.com under the "Investor Relations" section.</w:t>
      </w:r>
    </w:p>
    <w:p>
      <w:pPr>
        <w:spacing w:after="0" w:line="119"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 – The following exhibit is furnished as part of this Current Report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10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0"/>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99.1</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Press Release of Priority Technology Holdings, Inc. dated November 10, 2022</w:t>
            </w: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99.2</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Supplemental Slide Presentation</w:t>
            </w:r>
          </w:p>
        </w:tc>
      </w:tr>
      <w:tr>
        <w:trPr>
          <w:trHeight w:val="155"/>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November 10, 2022</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Timothy O'Leary</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Timothy O'Leary</w:t>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38" w:orient="portrait"/>
          <w:cols w:equalWidth="0" w:num="1">
            <w:col w:w="11300"/>
          </w:cols>
          <w:pgMar w:left="300" w:top="638" w:right="299" w:bottom="1440" w:gutter="0" w:footer="0" w:header="0"/>
        </w:sectPr>
      </w:pPr>
    </w:p>
    <w:bookmarkStart w:id="3" w:name="page4"/>
    <w:bookmarkEnd w:id="3"/>
    <w:p>
      <w:pPr>
        <w:ind w:left="9980"/>
        <w:spacing w:after="0"/>
        <w:rPr>
          <w:sz w:val="20"/>
          <w:szCs w:val="20"/>
          <w:color w:val="auto"/>
        </w:rPr>
      </w:pPr>
      <w:r>
        <w:rPr>
          <w:rFonts w:ascii="Times New Roman" w:cs="Times New Roman" w:eastAsia="Times New Roman" w:hAnsi="Times New Roman"/>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16510</wp:posOffset>
            </wp:positionV>
            <wp:extent cx="1177290" cy="417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729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Priority Investor Inquiries: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 Kettmann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ckettmann@lincolnchurchilladvisors.com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(773) 497-7575</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Priority Technology Holdings, Inc. Announces Third Quarter 2022 Financial Results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Strong Third Quarter Revenue and Gross Profit (Non-GAAP) Growth Across all Business Segments</w:t>
      </w:r>
    </w:p>
    <w:p>
      <w:pPr>
        <w:spacing w:after="0" w:line="169" w:lineRule="exact"/>
        <w:rPr>
          <w:sz w:val="20"/>
          <w:szCs w:val="20"/>
          <w:color w:val="auto"/>
        </w:rPr>
      </w:pPr>
    </w:p>
    <w:p>
      <w:pPr>
        <w:ind w:right="380"/>
        <w:spacing w:after="0" w:line="324" w:lineRule="auto"/>
        <w:rPr>
          <w:sz w:val="20"/>
          <w:szCs w:val="20"/>
          <w:color w:val="auto"/>
        </w:rPr>
      </w:pPr>
      <w:r>
        <w:rPr>
          <w:rFonts w:ascii="Times New Roman" w:cs="Times New Roman" w:eastAsia="Times New Roman" w:hAnsi="Times New Roman"/>
          <w:sz w:val="13"/>
          <w:szCs w:val="13"/>
          <w:color w:val="auto"/>
        </w:rPr>
        <w:t>ALPHARETTA, GA - November 10, 2022 -- Priority Technology Holdings, Inc. (NASDAQ: PRTH) ("Priority" or the "Company"), the platform for unified commerce that delivers integrated payments and banking at scale, today announced its third quarter 2022 financial results including strong quarter-over-quarter diversified revenue growth.</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u w:val="single" w:color="auto"/>
          <w:color w:val="auto"/>
        </w:rPr>
        <w:t>Highlights of Consolidated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Third Quarter 2022, Compared with Third Quarter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highlights of the third quarter of 2022 compared with the third quarter of 2021, are as follows:</w:t>
      </w:r>
    </w:p>
    <w:p>
      <w:pPr>
        <w:spacing w:after="0" w:line="184" w:lineRule="exact"/>
        <w:rPr>
          <w:sz w:val="20"/>
          <w:szCs w:val="20"/>
          <w:color w:val="auto"/>
        </w:rPr>
      </w:pPr>
    </w:p>
    <w:p>
      <w:pPr>
        <w:ind w:left="420" w:hanging="212"/>
        <w:spacing w:after="0"/>
        <w:tabs>
          <w:tab w:leader="none" w:pos="4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$166.4 million increased 25.6% from $132.5 million.</w:t>
      </w:r>
    </w:p>
    <w:p>
      <w:pPr>
        <w:spacing w:after="0" w:line="29"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profit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$58.5 million increased 47.4% million from $39.7 million.</w:t>
      </w:r>
    </w:p>
    <w:p>
      <w:pPr>
        <w:ind w:left="420" w:hanging="212"/>
        <w:spacing w:after="0" w:line="232" w:lineRule="auto"/>
        <w:tabs>
          <w:tab w:leader="none" w:pos="4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profit margin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35.1% increased 510 basis points from 30.0%.</w:t>
      </w:r>
    </w:p>
    <w:p>
      <w:pPr>
        <w:ind w:left="420" w:hanging="212"/>
        <w:spacing w:after="0"/>
        <w:tabs>
          <w:tab w:leader="none" w:pos="4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income of $14.1 million increased 69.9% from $8.3 million.</w:t>
      </w:r>
    </w:p>
    <w:p>
      <w:pPr>
        <w:spacing w:after="0" w:line="16"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$35.1 million increased 48.7% from $23.6 million.</w:t>
      </w:r>
    </w:p>
    <w:p>
      <w:pPr>
        <w:spacing w:after="0" w:line="94" w:lineRule="exact"/>
        <w:rPr>
          <w:rFonts w:ascii="Times New Roman" w:cs="Times New Roman" w:eastAsia="Times New Roman" w:hAnsi="Times New Roman"/>
          <w:sz w:val="13"/>
          <w:szCs w:val="13"/>
          <w:color w:val="auto"/>
        </w:rPr>
      </w:pPr>
    </w:p>
    <w:p>
      <w:pPr>
        <w:ind w:left="260" w:hanging="108"/>
        <w:spacing w:after="0" w:line="21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i w:val="1"/>
          <w:iCs w:val="1"/>
          <w:color w:val="auto"/>
        </w:rPr>
        <w:t xml:space="preserve"> See "Non-GAAP Financial Measures" and the reconciliations of Gross Profit (non-GAAP),Gross Profit Margin (non-GAAP), and Adjusted EBITDA, to their most comparable GAAP measures provided below for additional information.</w:t>
      </w:r>
    </w:p>
    <w:p>
      <w:pPr>
        <w:spacing w:after="0" w:line="296"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3"/>
          <w:szCs w:val="13"/>
          <w:color w:val="auto"/>
        </w:rPr>
        <w:t>"We are pleased that our excellent third quarter results, by all financial metrics, continue to reinforce the strength of the solutions we offer our SMB, B2B and Enterprise payments partners," said Tom Priore, Chairman &amp; CEO of Priority. "Our consistently strong performance through COVID and the current economic turmoil demonstrates the differentiation of our unified commerce platform that performs in varying business cycles and is poised to capitalize on emerging opportunities."</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220"/>
          </w:cols>
          <w:pgMar w:left="300" w:top="651"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Full Year 2022 Financial Guidance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70707"/>
        </w:rPr>
        <w:t>Priority's outlook remains strong and we are reaffirming our full-year 2022 revenue guidance while revising our adjusted EBITDA guidance for the year.</w:t>
      </w:r>
    </w:p>
    <w:p>
      <w:pPr>
        <w:spacing w:after="0" w:line="175"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remains forecasted to range between $650 million to $665 million, a growth rate of 26% to 29%.</w:t>
      </w:r>
    </w:p>
    <w:p>
      <w:pPr>
        <w:spacing w:after="0" w:line="39" w:lineRule="exact"/>
        <w:rPr>
          <w:rFonts w:ascii="Times New Roman" w:cs="Times New Roman" w:eastAsia="Times New Roman" w:hAnsi="Times New Roman"/>
          <w:sz w:val="13"/>
          <w:szCs w:val="13"/>
          <w:color w:val="auto"/>
        </w:rPr>
      </w:pPr>
    </w:p>
    <w:p>
      <w:pPr>
        <w:ind w:left="420" w:hanging="212"/>
        <w:spacing w:after="0" w:line="282" w:lineRule="auto"/>
        <w:tabs>
          <w:tab w:leader="none" w:pos="41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 is forecasted to range between $140 million to $145 million, a growth rate of 46% to 50%, compared to the prior forecasted range of $145 million to $150 million.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w:t>
      </w:r>
    </w:p>
    <w:p>
      <w:pPr>
        <w:spacing w:after="0" w:line="177" w:lineRule="exact"/>
        <w:rPr>
          <w:sz w:val="20"/>
          <w:szCs w:val="20"/>
          <w:color w:val="auto"/>
        </w:rPr>
      </w:pPr>
    </w:p>
    <w:p>
      <w:pPr>
        <w:ind w:right="180"/>
        <w:spacing w:after="0" w:line="324" w:lineRule="auto"/>
        <w:rPr>
          <w:sz w:val="20"/>
          <w:szCs w:val="20"/>
          <w:color w:val="auto"/>
        </w:rPr>
      </w:pPr>
      <w:r>
        <w:rPr>
          <w:rFonts w:ascii="Times New Roman" w:cs="Times New Roman" w:eastAsia="Times New Roman" w:hAnsi="Times New Roman"/>
          <w:sz w:val="13"/>
          <w:szCs w:val="13"/>
          <w:color w:val="070707"/>
        </w:rPr>
        <w:t>Priority Technology Holdings, Inc.'s leadership will host a conference call on Thursday, November 10, 2022 at 11:00 a.m. EST to discuss its third quarter 2022 financial results. Participants can access the call by p</w:t>
      </w:r>
      <w:r>
        <w:rPr>
          <w:rFonts w:ascii="Times New Roman" w:cs="Times New Roman" w:eastAsia="Times New Roman" w:hAnsi="Times New Roman"/>
          <w:sz w:val="13"/>
          <w:szCs w:val="13"/>
          <w:color w:val="000000"/>
        </w:rPr>
        <w:t>hone in the U.S. or Canada at (833) 636-1319 or internationally at (412) 902-4286.</w:t>
      </w:r>
    </w:p>
    <w:p>
      <w:pPr>
        <w:spacing w:after="0" w:line="89"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3"/>
          <w:szCs w:val="13"/>
          <w:color w:val="auto"/>
        </w:rPr>
        <w:t xml:space="preserve">The Internet webcast link and accompanying slide presentation can be accessed at </w:t>
      </w:r>
      <w:r>
        <w:rPr>
          <w:rFonts w:ascii="Times New Roman" w:cs="Times New Roman" w:eastAsia="Times New Roman" w:hAnsi="Times New Roman"/>
          <w:sz w:val="13"/>
          <w:szCs w:val="13"/>
          <w:b w:val="1"/>
          <w:bCs w:val="1"/>
          <w:color w:val="0000FF"/>
        </w:rPr>
        <w:t>https://edge.media-server.com/mmc/p/ofqk9ouz</w:t>
      </w:r>
      <w:r>
        <w:rPr>
          <w:rFonts w:ascii="Times New Roman" w:cs="Times New Roman" w:eastAsia="Times New Roman" w:hAnsi="Times New Roman"/>
          <w:sz w:val="13"/>
          <w:szCs w:val="13"/>
          <w:color w:val="auto"/>
        </w:rPr>
        <w:t xml:space="preserve"> and will also be posted in the "Investor Relations" section of the Company's website at www.prioritycommerce.com.</w:t>
      </w:r>
    </w:p>
    <w:p>
      <w:pPr>
        <w:spacing w:after="0" w:line="11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3"/>
          <w:szCs w:val="13"/>
          <w:color w:val="auto"/>
        </w:rPr>
        <w:t xml:space="preserve">An audio replay of the call will be available shortly after the conference call until November 17, 2022 at 2:00 p.m. EST. To listen to the audio replay, dial (877) 344-7529 or (412) 317-0088 and enter conference ID number </w:t>
      </w:r>
      <w:r>
        <w:rPr>
          <w:rFonts w:ascii="Times New Roman" w:cs="Times New Roman" w:eastAsia="Times New Roman" w:hAnsi="Times New Roman"/>
          <w:sz w:val="13"/>
          <w:szCs w:val="13"/>
          <w:b w:val="1"/>
          <w:bCs w:val="1"/>
          <w:color w:val="auto"/>
        </w:rPr>
        <w:t>1085687</w:t>
      </w:r>
      <w:r>
        <w:rPr>
          <w:rFonts w:ascii="Times New Roman" w:cs="Times New Roman" w:eastAsia="Times New Roman" w:hAnsi="Times New Roman"/>
          <w:sz w:val="13"/>
          <w:szCs w:val="13"/>
          <w:color w:val="auto"/>
        </w:rPr>
        <w:t>. Alternatively, you may access the webcast replay in the "Investor Relations" section of the Company's website at www.prioritycommerce.com.</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Non-GAAP Financial Measures</w:t>
      </w:r>
    </w:p>
    <w:p>
      <w:pPr>
        <w:spacing w:after="0" w:line="186" w:lineRule="exact"/>
        <w:rPr>
          <w:sz w:val="20"/>
          <w:szCs w:val="20"/>
          <w:color w:val="auto"/>
        </w:rPr>
      </w:pPr>
    </w:p>
    <w:p>
      <w:pPr>
        <w:ind w:right="260"/>
        <w:spacing w:after="0" w:line="305" w:lineRule="auto"/>
        <w:rPr>
          <w:sz w:val="20"/>
          <w:szCs w:val="20"/>
          <w:color w:val="auto"/>
        </w:rPr>
      </w:pPr>
      <w:r>
        <w:rPr>
          <w:rFonts w:ascii="Times New Roman" w:cs="Times New Roman" w:eastAsia="Times New Roman" w:hAnsi="Times New Roman"/>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5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i w:val="1"/>
          <w:iCs w:val="1"/>
          <w:color w:val="auto"/>
        </w:rPr>
        <w:t>Gross Profit (non-GAAP) and Gross Profit Margin (non-GAAP)</w:t>
      </w:r>
    </w:p>
    <w:p>
      <w:pPr>
        <w:spacing w:after="0" w:line="15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3"/>
          <w:szCs w:val="13"/>
          <w:color w:val="auto"/>
        </w:rPr>
        <w:t>The Company's gross profit (non-GAAP) metric represents revenues less cost of revenue (excluding depreciation and amortization). Gross profit margin (non-GAAP) is gross profit (non-GAAP) divided by revenues. We review these non-GAAP measures to evaluate our underlying profit trends. The reconciliation of gross profit (non-GAAP) to its most comparable GAAP measure is provided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00" w:type="dxa"/>
            <w:vAlign w:val="bottom"/>
            <w:gridSpan w:val="3"/>
          </w:tcPr>
          <w:p>
            <w:pPr>
              <w:jc w:val="center"/>
              <w:ind w:right="434"/>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20" w:type="dxa"/>
            <w:vAlign w:val="bottom"/>
          </w:tcPr>
          <w:p>
            <w:pPr>
              <w:spacing w:after="0"/>
              <w:rPr>
                <w:sz w:val="15"/>
                <w:szCs w:val="15"/>
                <w:color w:val="auto"/>
              </w:rPr>
            </w:pPr>
          </w:p>
        </w:tc>
        <w:tc>
          <w:tcPr>
            <w:tcW w:w="3340" w:type="dxa"/>
            <w:vAlign w:val="bottom"/>
            <w:tcBorders>
              <w:bottom w:val="single" w:sz="8" w:color="auto"/>
            </w:tcBorders>
            <w:gridSpan w:val="4"/>
          </w:tcPr>
          <w:p>
            <w:pPr>
              <w:jc w:val="center"/>
              <w:ind w:left="67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220" w:type="dxa"/>
            <w:vAlign w:val="bottom"/>
          </w:tcPr>
          <w:p>
            <w:pPr>
              <w:spacing w:after="0"/>
              <w:rPr>
                <w:sz w:val="14"/>
                <w:szCs w:val="14"/>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2022</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2021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1240" w:type="dxa"/>
            <w:vAlign w:val="bottom"/>
          </w:tcPr>
          <w:p>
            <w:pPr>
              <w:jc w:val="right"/>
              <w:ind w:right="109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166,417</w:t>
            </w:r>
          </w:p>
        </w:tc>
        <w:tc>
          <w:tcPr>
            <w:tcW w:w="60" w:type="dxa"/>
            <w:vAlign w:val="bottom"/>
          </w:tcPr>
          <w:p>
            <w:pPr>
              <w:spacing w:after="0"/>
              <w:rPr>
                <w:sz w:val="13"/>
                <w:szCs w:val="13"/>
                <w:color w:val="auto"/>
              </w:rPr>
            </w:pPr>
          </w:p>
        </w:tc>
        <w:tc>
          <w:tcPr>
            <w:tcW w:w="1280" w:type="dxa"/>
            <w:vAlign w:val="bottom"/>
          </w:tcPr>
          <w:p>
            <w:pPr>
              <w:jc w:val="right"/>
              <w:ind w:right="11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132,542</w:t>
            </w: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 (excluding depreciation and amortization)</w:t>
            </w:r>
          </w:p>
        </w:tc>
        <w:tc>
          <w:tcPr>
            <w:tcW w:w="1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(107,958)</w:t>
            </w:r>
          </w:p>
        </w:tc>
        <w:tc>
          <w:tcPr>
            <w:tcW w:w="6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(92,833)</w:t>
            </w:r>
          </w:p>
        </w:tc>
        <w:tc>
          <w:tcPr>
            <w:tcW w:w="0" w:type="dxa"/>
            <w:vAlign w:val="bottom"/>
          </w:tcPr>
          <w:p>
            <w:pPr>
              <w:spacing w:after="0"/>
              <w:rPr>
                <w:sz w:val="1"/>
                <w:szCs w:val="1"/>
                <w:color w:val="auto"/>
              </w:rPr>
            </w:pPr>
          </w:p>
        </w:tc>
      </w:tr>
      <w:tr>
        <w:trPr>
          <w:trHeight w:val="163"/>
        </w:trPr>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Gross profit (non-GAAP)</w:t>
            </w:r>
          </w:p>
        </w:tc>
        <w:tc>
          <w:tcPr>
            <w:tcW w:w="1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58,459</w:t>
            </w:r>
          </w:p>
        </w:tc>
        <w:tc>
          <w:tcPr>
            <w:tcW w:w="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39,709</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Gross profit margin (non-GAAP)</w:t>
            </w: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22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35.1 %</w:t>
            </w: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30.0 %</w:t>
            </w: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 of revenue generating assets</w:t>
            </w:r>
          </w:p>
        </w:tc>
        <w:tc>
          <w:tcPr>
            <w:tcW w:w="1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(2,629)</w:t>
            </w:r>
          </w:p>
        </w:tc>
        <w:tc>
          <w:tcPr>
            <w:tcW w:w="6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(1,495)</w:t>
            </w:r>
          </w:p>
        </w:tc>
        <w:tc>
          <w:tcPr>
            <w:tcW w:w="0" w:type="dxa"/>
            <w:vAlign w:val="bottom"/>
          </w:tcPr>
          <w:p>
            <w:pPr>
              <w:spacing w:after="0"/>
              <w:rPr>
                <w:sz w:val="1"/>
                <w:szCs w:val="1"/>
                <w:color w:val="auto"/>
              </w:rPr>
            </w:pPr>
          </w:p>
        </w:tc>
      </w:tr>
      <w:tr>
        <w:trPr>
          <w:trHeight w:val="163"/>
        </w:trPr>
        <w:tc>
          <w:tcPr>
            <w:tcW w:w="722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1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55,830</w:t>
            </w:r>
          </w:p>
        </w:tc>
        <w:tc>
          <w:tcPr>
            <w:tcW w:w="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38,214</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22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33.5 %</w:t>
            </w: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28.8 %</w:t>
            </w:r>
          </w:p>
        </w:tc>
        <w:tc>
          <w:tcPr>
            <w:tcW w:w="0" w:type="dxa"/>
            <w:vAlign w:val="bottom"/>
          </w:tcPr>
          <w:p>
            <w:pPr>
              <w:spacing w:after="0"/>
              <w:rPr>
                <w:sz w:val="1"/>
                <w:szCs w:val="1"/>
                <w:color w:val="auto"/>
              </w:rPr>
            </w:pPr>
          </w:p>
        </w:tc>
      </w:tr>
    </w:tbl>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EBITDA and Adjusted EBITDA</w:t>
      </w:r>
    </w:p>
    <w:p>
      <w:pPr>
        <w:spacing w:after="0" w:line="197" w:lineRule="exact"/>
        <w:rPr>
          <w:sz w:val="20"/>
          <w:szCs w:val="20"/>
          <w:color w:val="auto"/>
        </w:rPr>
      </w:pPr>
    </w:p>
    <w:p>
      <w:pPr>
        <w:jc w:val="both"/>
        <w:ind w:right="60"/>
        <w:spacing w:after="0" w:line="310" w:lineRule="auto"/>
        <w:rPr>
          <w:sz w:val="20"/>
          <w:szCs w:val="20"/>
          <w:color w:val="auto"/>
        </w:rPr>
      </w:pPr>
      <w:r>
        <w:rPr>
          <w:rFonts w:ascii="Times New Roman" w:cs="Times New Roman" w:eastAsia="Times New Roman" w:hAnsi="Times New Roman"/>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The reconciliation of adjusted EBITDA to its most comparable GAAP measure is provided below:</w:t>
            </w: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120" w:type="dxa"/>
            <w:vAlign w:val="bottom"/>
            <w:gridSpan w:val="3"/>
          </w:tcPr>
          <w:p>
            <w:pPr>
              <w:jc w:val="right"/>
              <w:ind w:right="974"/>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50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2021</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720" w:type="dxa"/>
            <w:vAlign w:val="bottom"/>
          </w:tcPr>
          <w:p>
            <w:pPr>
              <w:spacing w:after="0"/>
              <w:rPr>
                <w:sz w:val="13"/>
                <w:szCs w:val="13"/>
                <w:color w:val="auto"/>
              </w:rPr>
            </w:pPr>
          </w:p>
        </w:tc>
        <w:tc>
          <w:tcPr>
            <w:tcW w:w="1380" w:type="dxa"/>
            <w:vAlign w:val="bottom"/>
          </w:tcPr>
          <w:p>
            <w:pPr>
              <w:jc w:val="right"/>
              <w:ind w:right="126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60" w:type="dxa"/>
            <w:vAlign w:val="bottom"/>
          </w:tcPr>
          <w:p>
            <w:pPr>
              <w:spacing w:after="0"/>
              <w:rPr>
                <w:sz w:val="13"/>
                <w:szCs w:val="13"/>
                <w:color w:val="auto"/>
              </w:rPr>
            </w:pPr>
          </w:p>
        </w:tc>
        <w:tc>
          <w:tcPr>
            <w:tcW w:w="1400" w:type="dxa"/>
            <w:vAlign w:val="bottom"/>
          </w:tcPr>
          <w:p>
            <w:pPr>
              <w:jc w:val="right"/>
              <w:ind w:right="125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13,412</w:t>
            </w: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8,155</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0" w:type="dxa"/>
            <w:vAlign w:val="bottom"/>
          </w:tcPr>
          <w:p>
            <w:pPr>
              <w:spacing w:after="0"/>
              <w:rPr>
                <w:sz w:val="1"/>
                <w:szCs w:val="1"/>
                <w:color w:val="auto"/>
              </w:rPr>
            </w:pPr>
          </w:p>
        </w:tc>
      </w:tr>
      <w:tr>
        <w:trPr>
          <w:trHeight w:val="172"/>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7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17,817</w:t>
            </w:r>
          </w:p>
        </w:tc>
        <w:tc>
          <w:tcPr>
            <w:tcW w:w="6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12,330</w:t>
            </w:r>
          </w:p>
        </w:tc>
        <w:tc>
          <w:tcPr>
            <w:tcW w:w="0" w:type="dxa"/>
            <w:vAlign w:val="bottom"/>
          </w:tcPr>
          <w:p>
            <w:pPr>
              <w:spacing w:after="0"/>
              <w:rPr>
                <w:sz w:val="1"/>
                <w:szCs w:val="1"/>
                <w:color w:val="auto"/>
              </w:rPr>
            </w:pPr>
          </w:p>
        </w:tc>
      </w:tr>
      <w:tr>
        <w:trPr>
          <w:trHeight w:val="159"/>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EBITDA</w:t>
            </w:r>
          </w:p>
        </w:tc>
        <w:tc>
          <w:tcPr>
            <w:tcW w:w="17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32,128</w:t>
            </w: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20,726</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 (non-recurring)</w:t>
            </w: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1,901</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stock-based compensation</w:t>
            </w: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0" w:type="dxa"/>
            <w:vAlign w:val="bottom"/>
          </w:tcPr>
          <w:p>
            <w:pPr>
              <w:spacing w:after="0"/>
              <w:rPr>
                <w:sz w:val="1"/>
                <w:szCs w:val="1"/>
                <w:color w:val="auto"/>
              </w:rPr>
            </w:pPr>
          </w:p>
        </w:tc>
      </w:tr>
      <w:tr>
        <w:trPr>
          <w:trHeight w:val="174"/>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the fair value of contingent consideration</w:t>
            </w:r>
          </w:p>
        </w:tc>
        <w:tc>
          <w:tcPr>
            <w:tcW w:w="17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1,072</w:t>
            </w:r>
          </w:p>
        </w:tc>
        <w:tc>
          <w:tcPr>
            <w:tcW w:w="6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5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720" w:type="dxa"/>
            <w:vAlign w:val="bottom"/>
          </w:tcPr>
          <w:p>
            <w:pPr>
              <w:spacing w:after="0"/>
              <w:rPr>
                <w:sz w:val="14"/>
                <w:szCs w:val="14"/>
                <w:color w:val="auto"/>
              </w:rPr>
            </w:pPr>
          </w:p>
        </w:tc>
        <w:tc>
          <w:tcPr>
            <w:tcW w:w="1380" w:type="dxa"/>
            <w:vAlign w:val="bottom"/>
            <w:tcBorders>
              <w:bottom w:val="single" w:sz="8" w:color="auto"/>
            </w:tcBorders>
          </w:tcPr>
          <w:p>
            <w:pPr>
              <w:jc w:val="right"/>
              <w:ind w:right="12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35,064</w:t>
            </w:r>
          </w:p>
        </w:tc>
        <w:tc>
          <w:tcPr>
            <w:tcW w:w="60" w:type="dxa"/>
            <w:vAlign w:val="bottom"/>
          </w:tcPr>
          <w:p>
            <w:pPr>
              <w:spacing w:after="0"/>
              <w:rPr>
                <w:sz w:val="14"/>
                <w:szCs w:val="14"/>
                <w:color w:val="auto"/>
              </w:rPr>
            </w:pPr>
          </w:p>
        </w:tc>
        <w:tc>
          <w:tcPr>
            <w:tcW w:w="1400" w:type="dxa"/>
            <w:vAlign w:val="bottom"/>
            <w:tcBorders>
              <w:bottom w:val="single" w:sz="8" w:color="auto"/>
            </w:tcBorders>
          </w:tcPr>
          <w:p>
            <w:pPr>
              <w:jc w:val="right"/>
              <w:ind w:right="12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23,562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20" w:type="dxa"/>
            <w:vAlign w:val="bottom"/>
            <w:vMerge w:val="restart"/>
          </w:tcPr>
          <w:p>
            <w:pPr>
              <w:jc w:val="right"/>
              <w:ind w:right="1380"/>
              <w:spacing w:after="0"/>
              <w:rPr>
                <w:sz w:val="20"/>
                <w:szCs w:val="20"/>
                <w:color w:val="auto"/>
              </w:rPr>
            </w:pPr>
            <w:r>
              <w:rPr>
                <w:rFonts w:ascii="Times New Roman" w:cs="Times New Roman" w:eastAsia="Times New Roman" w:hAnsi="Times New Roman"/>
                <w:sz w:val="12"/>
                <w:szCs w:val="12"/>
                <w:color w:val="auto"/>
              </w:rPr>
              <w:t>3</w:t>
            </w: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54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40" w:right="29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920" w:type="dxa"/>
            <w:vAlign w:val="bottom"/>
          </w:tcPr>
          <w:p>
            <w:pPr>
              <w:spacing w:after="0"/>
              <w:rPr>
                <w:sz w:val="20"/>
                <w:szCs w:val="20"/>
                <w:color w:val="auto"/>
              </w:rPr>
            </w:pPr>
            <w:r>
              <w:rPr>
                <w:rFonts w:ascii="Times New Roman" w:cs="Times New Roman" w:eastAsia="Times New Roman" w:hAnsi="Times New Roman"/>
                <w:sz w:val="13"/>
                <w:szCs w:val="13"/>
                <w:color w:val="auto"/>
              </w:rPr>
              <w:t>Further detail of certain of these adjustments, and where these items are recorded in our consolidated statements of operations, is provided below:</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920" w:type="dxa"/>
            <w:vAlign w:val="bottom"/>
          </w:tcPr>
          <w:p>
            <w:pPr>
              <w:spacing w:after="0"/>
              <w:rPr>
                <w:sz w:val="15"/>
                <w:szCs w:val="15"/>
                <w:color w:val="auto"/>
              </w:rPr>
            </w:pPr>
          </w:p>
        </w:tc>
        <w:tc>
          <w:tcPr>
            <w:tcW w:w="2360" w:type="dxa"/>
            <w:vAlign w:val="bottom"/>
            <w:tcBorders>
              <w:bottom w:val="single" w:sz="8" w:color="auto"/>
            </w:tcBorders>
            <w:gridSpan w:val="5"/>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0" w:type="dxa"/>
            <w:vAlign w:val="bottom"/>
          </w:tcPr>
          <w:p>
            <w:pPr>
              <w:spacing w:after="0"/>
              <w:rPr>
                <w:sz w:val="1"/>
                <w:szCs w:val="1"/>
                <w:color w:val="auto"/>
              </w:rPr>
            </w:pPr>
          </w:p>
        </w:tc>
      </w:tr>
      <w:tr>
        <w:trPr>
          <w:trHeight w:val="163"/>
        </w:trPr>
        <w:tc>
          <w:tcPr>
            <w:tcW w:w="89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 (non-recurring):</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45"/>
        </w:trPr>
        <w:tc>
          <w:tcPr>
            <w:tcW w:w="89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Certain legal fees</w:t>
            </w:r>
          </w:p>
        </w:tc>
        <w:tc>
          <w:tcPr>
            <w:tcW w:w="740" w:type="dxa"/>
            <w:vAlign w:val="bottom"/>
          </w:tcPr>
          <w:p>
            <w:pPr>
              <w:jc w:val="right"/>
              <w:ind w:right="59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tcPr>
          <w:p>
            <w:pPr>
              <w:spacing w:after="0"/>
              <w:rPr>
                <w:sz w:val="14"/>
                <w:szCs w:val="14"/>
                <w:color w:val="auto"/>
              </w:rPr>
            </w:pP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0" w:type="dxa"/>
            <w:vAlign w:val="bottom"/>
          </w:tcPr>
          <w:p>
            <w:pPr>
              <w:spacing w:after="0"/>
              <w:rPr>
                <w:sz w:val="1"/>
                <w:szCs w:val="1"/>
                <w:color w:val="auto"/>
              </w:rPr>
            </w:pPr>
          </w:p>
        </w:tc>
      </w:tr>
      <w:tr>
        <w:trPr>
          <w:trHeight w:val="171"/>
        </w:trPr>
        <w:tc>
          <w:tcPr>
            <w:tcW w:w="8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Professional, accounting and consulting fees</w:t>
            </w:r>
          </w:p>
        </w:tc>
        <w:tc>
          <w:tcPr>
            <w:tcW w:w="7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0" w:type="dxa"/>
            <w:vAlign w:val="bottom"/>
          </w:tcPr>
          <w:p>
            <w:pPr>
              <w:spacing w:after="0"/>
              <w:rPr>
                <w:sz w:val="1"/>
                <w:szCs w:val="1"/>
                <w:color w:val="auto"/>
              </w:rPr>
            </w:pPr>
          </w:p>
        </w:tc>
      </w:tr>
      <w:tr>
        <w:trPr>
          <w:trHeight w:val="174"/>
        </w:trPr>
        <w:tc>
          <w:tcPr>
            <w:tcW w:w="8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expenses</w:t>
            </w: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0" w:type="dxa"/>
            <w:vAlign w:val="bottom"/>
          </w:tcPr>
          <w:p>
            <w:pPr>
              <w:spacing w:after="0"/>
              <w:rPr>
                <w:sz w:val="1"/>
                <w:szCs w:val="1"/>
                <w:color w:val="auto"/>
              </w:rPr>
            </w:pPr>
          </w:p>
        </w:tc>
      </w:tr>
      <w:tr>
        <w:trPr>
          <w:trHeight w:val="163"/>
        </w:trPr>
        <w:tc>
          <w:tcPr>
            <w:tcW w:w="8920" w:type="dxa"/>
            <w:vAlign w:val="bottom"/>
          </w:tcPr>
          <w:p>
            <w:pPr>
              <w:spacing w:after="0"/>
              <w:rPr>
                <w:sz w:val="14"/>
                <w:szCs w:val="14"/>
                <w:color w:val="auto"/>
              </w:rPr>
            </w:pPr>
          </w:p>
        </w:tc>
        <w:tc>
          <w:tcPr>
            <w:tcW w:w="7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760</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1,901</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80"/>
          </w:cols>
          <w:pgMar w:left="300" w:top="818"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About Priority Technology Holdings, Inc.</w:t>
      </w:r>
    </w:p>
    <w:p>
      <w:pPr>
        <w:spacing w:after="0" w:line="168"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3"/>
          <w:szCs w:val="13"/>
          <w:color w:val="auto"/>
        </w:rPr>
        <w:t>Priority is a payments powerhouse driving the convergence of payments and banking. The company has built a single platform to collect, store, and send money that operates at scale. We help our customers take and make payments while managing business and consumer operating accounts to monetize payment networks. Our tailored, agile technology powers high-value, payments products bolstered by our industry-leading personalized support. Additional information can be found at www.prioritycommerce.com.</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Forward-Looking Statements</w:t>
      </w:r>
    </w:p>
    <w:p>
      <w:pPr>
        <w:spacing w:after="0" w:line="177"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2022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17" w:lineRule="exact"/>
        <w:rPr>
          <w:sz w:val="20"/>
          <w:szCs w:val="20"/>
          <w:color w:val="auto"/>
        </w:rPr>
      </w:pPr>
    </w:p>
    <w:p>
      <w:pPr>
        <w:jc w:val="both"/>
        <w:ind w:right="40"/>
        <w:spacing w:after="0" w:line="305" w:lineRule="auto"/>
        <w:rPr>
          <w:sz w:val="20"/>
          <w:szCs w:val="20"/>
          <w:color w:val="auto"/>
        </w:rPr>
      </w:pPr>
      <w:r>
        <w:rPr>
          <w:rFonts w:ascii="Times New Roman" w:cs="Times New Roman" w:eastAsia="Times New Roman" w:hAnsi="Times New Roman"/>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17, 2022 and our Quarterly Report on Form 10-Q filed with the SEC on August 9, 2022. These filings are available online at www.sec.gov or www.prioritycommerce.com.</w:t>
      </w:r>
    </w:p>
    <w:p>
      <w:pPr>
        <w:spacing w:after="0" w:line="122"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3"/>
          <w:szCs w:val="13"/>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636"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 except per share amounts)</w:t>
            </w:r>
          </w:p>
        </w:tc>
        <w:tc>
          <w:tcPr>
            <w:tcW w:w="320" w:type="dxa"/>
            <w:vAlign w:val="bottom"/>
          </w:tcPr>
          <w:p>
            <w:pPr>
              <w:spacing w:after="0"/>
              <w:rPr>
                <w:sz w:val="13"/>
                <w:szCs w:val="13"/>
                <w:color w:val="auto"/>
              </w:rPr>
            </w:pPr>
          </w:p>
        </w:tc>
        <w:tc>
          <w:tcPr>
            <w:tcW w:w="2760" w:type="dxa"/>
            <w:vAlign w:val="bottom"/>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340" w:type="dxa"/>
            <w:vAlign w:val="bottom"/>
          </w:tcPr>
          <w:p>
            <w:pPr>
              <w:spacing w:after="0"/>
              <w:rPr>
                <w:sz w:val="13"/>
                <w:szCs w:val="13"/>
                <w:color w:val="auto"/>
              </w:rPr>
            </w:pPr>
          </w:p>
        </w:tc>
        <w:tc>
          <w:tcPr>
            <w:tcW w:w="2640" w:type="dxa"/>
            <w:vAlign w:val="bottom"/>
            <w:gridSpan w:val="4"/>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242424"/>
              </w:rPr>
              <w:t>2022</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242424"/>
              </w:rPr>
              <w:t>2022</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166,417</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132,542</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486,086</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370,853</w:t>
            </w:r>
          </w:p>
        </w:tc>
        <w:tc>
          <w:tcPr>
            <w:tcW w:w="0" w:type="dxa"/>
            <w:vAlign w:val="bottom"/>
          </w:tcPr>
          <w:p>
            <w:pPr>
              <w:spacing w:after="0"/>
              <w:rPr>
                <w:sz w:val="1"/>
                <w:szCs w:val="1"/>
                <w:color w:val="auto"/>
              </w:rPr>
            </w:pPr>
          </w:p>
        </w:tc>
      </w:tr>
      <w:tr>
        <w:trPr>
          <w:trHeight w:val="131"/>
        </w:trPr>
        <w:tc>
          <w:tcPr>
            <w:tcW w:w="522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320" w:type="dxa"/>
            <w:vAlign w:val="bottom"/>
          </w:tcPr>
          <w:p>
            <w:pPr>
              <w:spacing w:after="0"/>
              <w:rPr>
                <w:sz w:val="13"/>
                <w:szCs w:val="13"/>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107,958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92,833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320,187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264,527</w:t>
            </w: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320" w:type="dxa"/>
            <w:vAlign w:val="bottom"/>
          </w:tcPr>
          <w:p>
            <w:pPr>
              <w:spacing w:after="0"/>
              <w:rPr>
                <w:sz w:val="13"/>
                <w:szCs w:val="13"/>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16,384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11,909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48,231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31,808</w:t>
            </w: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20" w:type="dxa"/>
            <w:vAlign w:val="bottom"/>
          </w:tcPr>
          <w:p>
            <w:pPr>
              <w:spacing w:after="0"/>
              <w:rPr>
                <w:sz w:val="13"/>
                <w:szCs w:val="13"/>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17,817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12,330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52,675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32,123</w:t>
            </w:r>
          </w:p>
        </w:tc>
        <w:tc>
          <w:tcPr>
            <w:tcW w:w="0" w:type="dxa"/>
            <w:vAlign w:val="bottom"/>
          </w:tcPr>
          <w:p>
            <w:pPr>
              <w:spacing w:after="0"/>
              <w:rPr>
                <w:sz w:val="1"/>
                <w:szCs w:val="1"/>
                <w:color w:val="auto"/>
              </w:rPr>
            </w:pPr>
          </w:p>
        </w:tc>
      </w:tr>
      <w:tr>
        <w:trPr>
          <w:trHeight w:val="155"/>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10,178</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7,220</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27,027</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22,213</w:t>
            </w:r>
          </w:p>
        </w:tc>
        <w:tc>
          <w:tcPr>
            <w:tcW w:w="0" w:type="dxa"/>
            <w:vAlign w:val="bottom"/>
          </w:tcPr>
          <w:p>
            <w:pPr>
              <w:spacing w:after="0"/>
              <w:rPr>
                <w:sz w:val="1"/>
                <w:szCs w:val="1"/>
                <w:color w:val="auto"/>
              </w:rPr>
            </w:pPr>
          </w:p>
        </w:tc>
      </w:tr>
      <w:tr>
        <w:trPr>
          <w:trHeight w:val="14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operating expenses</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152,337</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124,292</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448,120</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350,671</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14,080</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8,250</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37,966</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20,182</w:t>
            </w:r>
          </w:p>
        </w:tc>
        <w:tc>
          <w:tcPr>
            <w:tcW w:w="0" w:type="dxa"/>
            <w:vAlign w:val="bottom"/>
          </w:tcPr>
          <w:p>
            <w:pPr>
              <w:spacing w:after="0"/>
              <w:rPr>
                <w:sz w:val="1"/>
                <w:szCs w:val="1"/>
                <w:color w:val="auto"/>
              </w:rPr>
            </w:pPr>
          </w:p>
        </w:tc>
      </w:tr>
      <w:tr>
        <w:trPr>
          <w:trHeight w:val="131"/>
        </w:trPr>
        <w:tc>
          <w:tcPr>
            <w:tcW w:w="522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320" w:type="dxa"/>
            <w:vAlign w:val="bottom"/>
          </w:tcPr>
          <w:p>
            <w:pPr>
              <w:spacing w:after="0"/>
              <w:rPr>
                <w:sz w:val="13"/>
                <w:szCs w:val="13"/>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(13,412)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(8,155)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(37,282)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(24,608)</w:t>
            </w: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32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(8,322)</w:t>
            </w:r>
          </w:p>
        </w:tc>
        <w:tc>
          <w:tcPr>
            <w:tcW w:w="0" w:type="dxa"/>
            <w:vAlign w:val="bottom"/>
          </w:tcPr>
          <w:p>
            <w:pPr>
              <w:spacing w:after="0"/>
              <w:rPr>
                <w:sz w:val="1"/>
                <w:szCs w:val="1"/>
                <w:color w:val="auto"/>
              </w:rPr>
            </w:pPr>
          </w:p>
        </w:tc>
      </w:tr>
      <w:tr>
        <w:trPr>
          <w:trHeight w:val="155"/>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231</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146</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311</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14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other expense, net</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(13,181)</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(8,009)</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(36,971)</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(32,838)</w:t>
            </w:r>
          </w:p>
        </w:tc>
        <w:tc>
          <w:tcPr>
            <w:tcW w:w="0" w:type="dxa"/>
            <w:vAlign w:val="bottom"/>
          </w:tcPr>
          <w:p>
            <w:pPr>
              <w:spacing w:after="0"/>
              <w:rPr>
                <w:sz w:val="1"/>
                <w:szCs w:val="1"/>
                <w:color w:val="auto"/>
              </w:rPr>
            </w:pPr>
          </w:p>
        </w:tc>
      </w:tr>
      <w:tr>
        <w:trPr>
          <w:trHeight w:val="140"/>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Income (loss) before income taxes</w:t>
            </w:r>
          </w:p>
        </w:tc>
        <w:tc>
          <w:tcPr>
            <w:tcW w:w="320" w:type="dxa"/>
            <w:vAlign w:val="bottom"/>
          </w:tcPr>
          <w:p>
            <w:pPr>
              <w:spacing w:after="0"/>
              <w:rPr>
                <w:sz w:val="12"/>
                <w:szCs w:val="12"/>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899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241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995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(12,656)</w:t>
            </w:r>
          </w:p>
        </w:tc>
        <w:tc>
          <w:tcPr>
            <w:tcW w:w="0" w:type="dxa"/>
            <w:vAlign w:val="bottom"/>
          </w:tcPr>
          <w:p>
            <w:pPr>
              <w:spacing w:after="0"/>
              <w:rPr>
                <w:sz w:val="1"/>
                <w:szCs w:val="1"/>
                <w:color w:val="auto"/>
              </w:rPr>
            </w:pPr>
          </w:p>
        </w:tc>
      </w:tr>
      <w:tr>
        <w:trPr>
          <w:trHeight w:val="155"/>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1,691</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790</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1,833</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140"/>
        </w:trPr>
        <w:tc>
          <w:tcPr>
            <w:tcW w:w="5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320" w:type="dxa"/>
            <w:vAlign w:val="bottom"/>
          </w:tcPr>
          <w:p>
            <w:pPr>
              <w:spacing w:after="0"/>
              <w:rPr>
                <w:sz w:val="12"/>
                <w:szCs w:val="12"/>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(792)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(549)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(838)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(12,705)</w:t>
            </w:r>
          </w:p>
        </w:tc>
        <w:tc>
          <w:tcPr>
            <w:tcW w:w="0" w:type="dxa"/>
            <w:vAlign w:val="bottom"/>
          </w:tcPr>
          <w:p>
            <w:pPr>
              <w:spacing w:after="0"/>
              <w:rPr>
                <w:sz w:val="1"/>
                <w:szCs w:val="1"/>
                <w:color w:val="auto"/>
              </w:rPr>
            </w:pPr>
          </w:p>
        </w:tc>
      </w:tr>
      <w:tr>
        <w:trPr>
          <w:trHeight w:val="153"/>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320" w:type="dxa"/>
            <w:vAlign w:val="bottom"/>
          </w:tcPr>
          <w:p>
            <w:pPr>
              <w:spacing w:after="0"/>
              <w:rPr>
                <w:sz w:val="13"/>
                <w:szCs w:val="13"/>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(9,466)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(5,813)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(26,415)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(9,724)</w:t>
            </w:r>
          </w:p>
        </w:tc>
        <w:tc>
          <w:tcPr>
            <w:tcW w:w="0" w:type="dxa"/>
            <w:vAlign w:val="bottom"/>
          </w:tcPr>
          <w:p>
            <w:pPr>
              <w:spacing w:after="0"/>
              <w:rPr>
                <w:sz w:val="1"/>
                <w:szCs w:val="1"/>
                <w:color w:val="auto"/>
              </w:rPr>
            </w:pPr>
          </w:p>
        </w:tc>
      </w:tr>
      <w:tr>
        <w:trPr>
          <w:trHeight w:val="155"/>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NCI preferred unit redemptions</w:t>
            </w:r>
          </w:p>
        </w:tc>
        <w:tc>
          <w:tcPr>
            <w:tcW w:w="32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(10,777)</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attributable to common stockholders</w:t>
            </w: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(10,258)</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(6,362)</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(27,253)</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(33,206)</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Loss per common share:</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and diluted</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(0.09)</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(0.35)</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(0.48)</w:t>
            </w:r>
          </w:p>
        </w:tc>
        <w:tc>
          <w:tcPr>
            <w:tcW w:w="0" w:type="dxa"/>
            <w:vAlign w:val="bottom"/>
          </w:tcPr>
          <w:p>
            <w:pPr>
              <w:spacing w:after="0"/>
              <w:rPr>
                <w:sz w:val="1"/>
                <w:szCs w:val="1"/>
                <w:color w:val="auto"/>
              </w:rPr>
            </w:pPr>
          </w:p>
        </w:tc>
      </w:tr>
      <w:tr>
        <w:trPr>
          <w:trHeight w:val="331"/>
        </w:trPr>
        <w:tc>
          <w:tcPr>
            <w:tcW w:w="5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and diluted</w:t>
            </w: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77,984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71,979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78,392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280"/>
          </w:cols>
          <w:pgMar w:left="300" w:top="809"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Balance Sheets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7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September 30, 2022</w:t>
            </w:r>
          </w:p>
        </w:tc>
        <w:tc>
          <w:tcPr>
            <w:tcW w:w="300" w:type="dxa"/>
            <w:vAlign w:val="bottom"/>
          </w:tcPr>
          <w:p>
            <w:pPr>
              <w:spacing w:after="0"/>
              <w:rPr>
                <w:sz w:val="13"/>
                <w:szCs w:val="13"/>
                <w:color w:val="auto"/>
              </w:rPr>
            </w:pPr>
          </w:p>
        </w:tc>
        <w:tc>
          <w:tcPr>
            <w:tcW w:w="1680" w:type="dxa"/>
            <w:vAlign w:val="bottom"/>
            <w:vMerge w:val="restart"/>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0" w:type="dxa"/>
            <w:vAlign w:val="bottom"/>
          </w:tcPr>
          <w:p>
            <w:pPr>
              <w:spacing w:after="0"/>
              <w:rPr>
                <w:sz w:val="1"/>
                <w:szCs w:val="1"/>
                <w:color w:val="auto"/>
              </w:rPr>
            </w:pPr>
          </w:p>
        </w:tc>
      </w:tr>
      <w:tr>
        <w:trPr>
          <w:trHeight w:val="153"/>
        </w:trPr>
        <w:tc>
          <w:tcPr>
            <w:tcW w:w="47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74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12,707</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20,300</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11,624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28,859</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 net of allowances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69,688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58,423</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16,725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15,807</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notes receivable</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assets and customer account balances</w:t>
            </w:r>
          </w:p>
        </w:tc>
        <w:tc>
          <w:tcPr>
            <w:tcW w:w="2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516,687</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479,471</w:t>
            </w:r>
          </w:p>
        </w:tc>
        <w:tc>
          <w:tcPr>
            <w:tcW w:w="0" w:type="dxa"/>
            <w:vAlign w:val="bottom"/>
          </w:tcPr>
          <w:p>
            <w:pPr>
              <w:spacing w:after="0"/>
              <w:rPr>
                <w:sz w:val="1"/>
                <w:szCs w:val="1"/>
                <w:color w:val="auto"/>
              </w:rPr>
            </w:pPr>
          </w:p>
        </w:tc>
      </w:tr>
      <w:tr>
        <w:trPr>
          <w:trHeight w:val="140"/>
        </w:trPr>
        <w:tc>
          <w:tcPr>
            <w:tcW w:w="4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assets</w:t>
            </w:r>
          </w:p>
        </w:tc>
        <w:tc>
          <w:tcPr>
            <w:tcW w:w="2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628,417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603,132</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29,773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25,233</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365,347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365,740</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301,729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340,211</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 net</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12,058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8,265</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10,353</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9,256</w:t>
            </w:r>
          </w:p>
        </w:tc>
        <w:tc>
          <w:tcPr>
            <w:tcW w:w="0" w:type="dxa"/>
            <w:vAlign w:val="bottom"/>
          </w:tcPr>
          <w:p>
            <w:pPr>
              <w:spacing w:after="0"/>
              <w:rPr>
                <w:sz w:val="1"/>
                <w:szCs w:val="1"/>
                <w:color w:val="auto"/>
              </w:rPr>
            </w:pPr>
          </w:p>
        </w:tc>
      </w:tr>
      <w:tr>
        <w:trPr>
          <w:trHeight w:val="142"/>
        </w:trPr>
        <w:tc>
          <w:tcPr>
            <w:tcW w:w="474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44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1,349,749</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1,351,942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 Redeemable Senior Preferred Stock and Stockholders' Deficit</w:t>
            </w:r>
          </w:p>
        </w:tc>
        <w:tc>
          <w:tcPr>
            <w:tcW w:w="2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40" w:type="dxa"/>
            <w:vAlign w:val="bottom"/>
            <w:vMerge w:val="continue"/>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2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50,955</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42,523</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32,593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29,532</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5,021</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6,200</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 account obligations</w:t>
            </w:r>
          </w:p>
        </w:tc>
        <w:tc>
          <w:tcPr>
            <w:tcW w:w="2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517,008</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500,291</w:t>
            </w:r>
          </w:p>
        </w:tc>
        <w:tc>
          <w:tcPr>
            <w:tcW w:w="0" w:type="dxa"/>
            <w:vAlign w:val="bottom"/>
          </w:tcPr>
          <w:p>
            <w:pPr>
              <w:spacing w:after="0"/>
              <w:rPr>
                <w:sz w:val="1"/>
                <w:szCs w:val="1"/>
                <w:color w:val="auto"/>
              </w:rPr>
            </w:pPr>
          </w:p>
        </w:tc>
      </w:tr>
      <w:tr>
        <w:trPr>
          <w:trHeight w:val="140"/>
        </w:trPr>
        <w:tc>
          <w:tcPr>
            <w:tcW w:w="4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609,867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583,567</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593,068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604,105</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13,583</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18,349</w:t>
            </w:r>
          </w:p>
        </w:tc>
        <w:tc>
          <w:tcPr>
            <w:tcW w:w="0" w:type="dxa"/>
            <w:vAlign w:val="bottom"/>
          </w:tcPr>
          <w:p>
            <w:pPr>
              <w:spacing w:after="0"/>
              <w:rPr>
                <w:sz w:val="1"/>
                <w:szCs w:val="1"/>
                <w:color w:val="auto"/>
              </w:rPr>
            </w:pPr>
          </w:p>
        </w:tc>
      </w:tr>
      <w:tr>
        <w:trPr>
          <w:trHeight w:val="142"/>
        </w:trPr>
        <w:tc>
          <w:tcPr>
            <w:tcW w:w="4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noncurrent liabilities</w:t>
            </w:r>
          </w:p>
        </w:tc>
        <w:tc>
          <w:tcPr>
            <w:tcW w:w="2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606,651</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622,454</w:t>
            </w:r>
          </w:p>
        </w:tc>
        <w:tc>
          <w:tcPr>
            <w:tcW w:w="0" w:type="dxa"/>
            <w:vAlign w:val="bottom"/>
          </w:tcPr>
          <w:p>
            <w:pPr>
              <w:spacing w:after="0"/>
              <w:rPr>
                <w:sz w:val="1"/>
                <w:szCs w:val="1"/>
                <w:color w:val="auto"/>
              </w:rPr>
            </w:pPr>
          </w:p>
        </w:tc>
      </w:tr>
      <w:tr>
        <w:trPr>
          <w:trHeight w:val="142"/>
        </w:trPr>
        <w:tc>
          <w:tcPr>
            <w:tcW w:w="474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1,216,518</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1,206,021</w:t>
            </w:r>
          </w:p>
        </w:tc>
        <w:tc>
          <w:tcPr>
            <w:tcW w:w="0" w:type="dxa"/>
            <w:vAlign w:val="bottom"/>
          </w:tcPr>
          <w:p>
            <w:pPr>
              <w:spacing w:after="0"/>
              <w:rPr>
                <w:sz w:val="1"/>
                <w:szCs w:val="1"/>
                <w:color w:val="auto"/>
              </w:rPr>
            </w:pPr>
          </w:p>
        </w:tc>
      </w:tr>
      <w:tr>
        <w:trPr>
          <w:trHeight w:val="140"/>
        </w:trPr>
        <w:tc>
          <w:tcPr>
            <w:tcW w:w="47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Redeemable senior preferred stock</w:t>
            </w:r>
          </w:p>
        </w:tc>
        <w:tc>
          <w:tcPr>
            <w:tcW w:w="2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225,095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210,158</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deficit:</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Preferred stock</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17,719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39,835</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Treasury stock, at cost</w:t>
            </w:r>
          </w:p>
        </w:tc>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(8,765)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(4,091)</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(100,896)</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(100,058)</w:t>
            </w:r>
          </w:p>
        </w:tc>
        <w:tc>
          <w:tcPr>
            <w:tcW w:w="0" w:type="dxa"/>
            <w:vAlign w:val="bottom"/>
          </w:tcPr>
          <w:p>
            <w:pPr>
              <w:spacing w:after="0"/>
              <w:rPr>
                <w:sz w:val="1"/>
                <w:szCs w:val="1"/>
                <w:color w:val="auto"/>
              </w:rPr>
            </w:pPr>
          </w:p>
        </w:tc>
      </w:tr>
      <w:tr>
        <w:trPr>
          <w:trHeight w:val="142"/>
        </w:trPr>
        <w:tc>
          <w:tcPr>
            <w:tcW w:w="47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(91,864)</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(64,237)</w:t>
            </w:r>
          </w:p>
        </w:tc>
        <w:tc>
          <w:tcPr>
            <w:tcW w:w="0" w:type="dxa"/>
            <w:vAlign w:val="bottom"/>
          </w:tcPr>
          <w:p>
            <w:pPr>
              <w:spacing w:after="0"/>
              <w:rPr>
                <w:sz w:val="1"/>
                <w:szCs w:val="1"/>
                <w:color w:val="auto"/>
              </w:rPr>
            </w:pPr>
          </w:p>
        </w:tc>
      </w:tr>
      <w:tr>
        <w:trPr>
          <w:trHeight w:val="142"/>
        </w:trPr>
        <w:tc>
          <w:tcPr>
            <w:tcW w:w="4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redeemable senior preferred stock and stockholders' deficit</w:t>
            </w:r>
          </w:p>
        </w:tc>
        <w:tc>
          <w:tcPr>
            <w:tcW w:w="244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1,349,749</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1,351,942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40" w:type="dxa"/>
            <w:vAlign w:val="bottom"/>
            <w:vMerge w:val="restart"/>
          </w:tcPr>
          <w:p>
            <w:pPr>
              <w:jc w:val="right"/>
              <w:ind w:right="1440"/>
              <w:spacing w:after="0"/>
              <w:rPr>
                <w:sz w:val="20"/>
                <w:szCs w:val="20"/>
                <w:color w:val="auto"/>
              </w:rPr>
            </w:pPr>
            <w:r>
              <w:rPr>
                <w:rFonts w:ascii="Times New Roman" w:cs="Times New Roman" w:eastAsia="Times New Roman" w:hAnsi="Times New Roman"/>
                <w:sz w:val="12"/>
                <w:szCs w:val="12"/>
                <w:color w:val="auto"/>
              </w:rPr>
              <w:t>7</w:t>
            </w: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66" w:right="31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00" w:type="dxa"/>
            <w:vAlign w:val="bottom"/>
          </w:tcPr>
          <w:p>
            <w:pPr>
              <w:spacing w:after="0"/>
              <w:rPr>
                <w:sz w:val="13"/>
                <w:szCs w:val="13"/>
                <w:color w:val="auto"/>
              </w:rPr>
            </w:pPr>
          </w:p>
        </w:tc>
        <w:tc>
          <w:tcPr>
            <w:tcW w:w="4140" w:type="dxa"/>
            <w:vAlign w:val="bottom"/>
            <w:gridSpan w:val="2"/>
          </w:tcPr>
          <w:p>
            <w:pPr>
              <w:jc w:val="center"/>
              <w:ind w:right="1400"/>
              <w:spacing w:after="0"/>
              <w:rPr>
                <w:sz w:val="20"/>
                <w:szCs w:val="20"/>
                <w:color w:val="auto"/>
              </w:rPr>
            </w:pPr>
            <w:r>
              <w:rPr>
                <w:rFonts w:ascii="Times New Roman" w:cs="Times New Roman" w:eastAsia="Times New Roman" w:hAnsi="Times New Roman"/>
                <w:sz w:val="12"/>
                <w:szCs w:val="12"/>
                <w:b w:val="1"/>
                <w:bCs w:val="1"/>
                <w:color w:val="auto"/>
                <w:w w:val="99"/>
              </w:rPr>
              <w:t>Priority Technology Holdings, Inc.</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4140" w:type="dxa"/>
            <w:vAlign w:val="bottom"/>
            <w:gridSpan w:val="2"/>
          </w:tcPr>
          <w:p>
            <w:pPr>
              <w:jc w:val="center"/>
              <w:ind w:right="1400"/>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3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7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31"/>
        </w:trPr>
        <w:tc>
          <w:tcPr>
            <w:tcW w:w="4300" w:type="dxa"/>
            <w:vAlign w:val="bottom"/>
            <w:vMerge w:val="continue"/>
          </w:tcPr>
          <w:p>
            <w:pPr>
              <w:spacing w:after="0"/>
              <w:rPr>
                <w:sz w:val="11"/>
                <w:szCs w:val="11"/>
                <w:color w:val="auto"/>
              </w:rPr>
            </w:pPr>
          </w:p>
        </w:tc>
        <w:tc>
          <w:tcPr>
            <w:tcW w:w="3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loss</w:t>
            </w:r>
          </w:p>
        </w:tc>
        <w:tc>
          <w:tcPr>
            <w:tcW w:w="4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(838)</w:t>
            </w:r>
          </w:p>
        </w:tc>
        <w:tc>
          <w:tcPr>
            <w:tcW w:w="12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(12,705)</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(used in) operating activities:</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of assets</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52,675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32,123</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2,349</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discounts</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1,607</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Write-off of deferred loan costs and discount</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2,580</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 benefit</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(3,567)</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PIK interest paid</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(23,715)</w:t>
            </w:r>
          </w:p>
        </w:tc>
        <w:tc>
          <w:tcPr>
            <w:tcW w:w="0" w:type="dxa"/>
            <w:vAlign w:val="bottom"/>
          </w:tcPr>
          <w:p>
            <w:pPr>
              <w:spacing w:after="0"/>
              <w:rPr>
                <w:sz w:val="1"/>
                <w:szCs w:val="1"/>
                <w:color w:val="auto"/>
              </w:rPr>
            </w:pPr>
          </w:p>
        </w:tc>
      </w:tr>
      <w:tr>
        <w:trPr>
          <w:trHeight w:val="153"/>
        </w:trPr>
        <w:tc>
          <w:tcPr>
            <w:tcW w:w="43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non-cash items, net</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(11,265)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(10,847)</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(1,947)</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taxes (receivable) payable</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(1,541)</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Notes receivable</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payable and other accrued liabilities</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13,711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9,192</w:t>
            </w:r>
          </w:p>
        </w:tc>
        <w:tc>
          <w:tcPr>
            <w:tcW w:w="0" w:type="dxa"/>
            <w:vAlign w:val="bottom"/>
          </w:tcPr>
          <w:p>
            <w:pPr>
              <w:spacing w:after="0"/>
              <w:rPr>
                <w:sz w:val="1"/>
                <w:szCs w:val="1"/>
                <w:color w:val="auto"/>
              </w:rPr>
            </w:pPr>
          </w:p>
        </w:tc>
      </w:tr>
      <w:tr>
        <w:trPr>
          <w:trHeight w:val="153"/>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713</w:t>
            </w:r>
          </w:p>
        </w:tc>
        <w:tc>
          <w:tcPr>
            <w:tcW w:w="0" w:type="dxa"/>
            <w:vAlign w:val="bottom"/>
          </w:tcPr>
          <w:p>
            <w:pPr>
              <w:spacing w:after="0"/>
              <w:rPr>
                <w:sz w:val="1"/>
                <w:szCs w:val="1"/>
                <w:color w:val="auto"/>
              </w:rPr>
            </w:pPr>
          </w:p>
        </w:tc>
      </w:tr>
      <w:tr>
        <w:trPr>
          <w:trHeight w:val="155"/>
        </w:trPr>
        <w:tc>
          <w:tcPr>
            <w:tcW w:w="43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assets and liabilities, net</w:t>
            </w:r>
          </w:p>
        </w:tc>
        <w:tc>
          <w:tcPr>
            <w:tcW w:w="37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(3,908)</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42"/>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 (used in) operating activities</w:t>
            </w:r>
          </w:p>
        </w:tc>
        <w:tc>
          <w:tcPr>
            <w:tcW w:w="37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50,558</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(2,567)</w:t>
            </w:r>
          </w:p>
        </w:tc>
        <w:tc>
          <w:tcPr>
            <w:tcW w:w="0" w:type="dxa"/>
            <w:vAlign w:val="bottom"/>
          </w:tcPr>
          <w:p>
            <w:pPr>
              <w:spacing w:after="0"/>
              <w:rPr>
                <w:sz w:val="1"/>
                <w:szCs w:val="1"/>
                <w:color w:val="auto"/>
              </w:rPr>
            </w:pPr>
          </w:p>
        </w:tc>
      </w:tr>
      <w:tr>
        <w:trPr>
          <w:trHeight w:val="131"/>
        </w:trPr>
        <w:tc>
          <w:tcPr>
            <w:tcW w:w="430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Acquisitions of businesses, net of cash acquired</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(407,129)</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Additions to property, equipment and software</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(11,380)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(7,530)</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Notes receivable loan funding</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Acquisitions of intangible assets</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(48,219)</w:t>
            </w:r>
          </w:p>
        </w:tc>
        <w:tc>
          <w:tcPr>
            <w:tcW w:w="0" w:type="dxa"/>
            <w:vAlign w:val="bottom"/>
          </w:tcPr>
          <w:p>
            <w:pPr>
              <w:spacing w:after="0"/>
              <w:rPr>
                <w:sz w:val="1"/>
                <w:szCs w:val="1"/>
                <w:color w:val="auto"/>
              </w:rPr>
            </w:pPr>
          </w:p>
        </w:tc>
      </w:tr>
      <w:tr>
        <w:trPr>
          <w:trHeight w:val="155"/>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investing activities</w:t>
            </w:r>
          </w:p>
        </w:tc>
        <w:tc>
          <w:tcPr>
            <w:tcW w:w="37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37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(21,095)</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(462,878)</w:t>
            </w:r>
          </w:p>
        </w:tc>
        <w:tc>
          <w:tcPr>
            <w:tcW w:w="0" w:type="dxa"/>
            <w:vAlign w:val="bottom"/>
          </w:tcPr>
          <w:p>
            <w:pPr>
              <w:spacing w:after="0"/>
              <w:rPr>
                <w:sz w:val="1"/>
                <w:szCs w:val="1"/>
                <w:color w:val="auto"/>
              </w:rPr>
            </w:pPr>
          </w:p>
        </w:tc>
      </w:tr>
      <w:tr>
        <w:trPr>
          <w:trHeight w:val="131"/>
        </w:trPr>
        <w:tc>
          <w:tcPr>
            <w:tcW w:w="430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issuance of long-term debt, net of issue discount</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607,318</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issuance and modification costs paid</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(9,073)</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(359,875)</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Borrowings under revolving credit facility</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23,000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30,000</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borrowings under revolving credit facility</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(32,000)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the issuance of redeemable senior preferred stock, net of discount</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219,062</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Redeemable senior preferred stock issuance fees and costs</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(8,098)</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Repurchases of Common Stock and shares withheld for taxes</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(1,023)</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Dividends paid to redeemable senior preferred stockholders</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(11,478)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(4,015)</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exercise of stock options</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1,190</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 accounts obligations, net</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25,695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396,338</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Contingent consideration for business combinations and asset acquisitions</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financing activities</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(814)</w:t>
            </w:r>
          </w:p>
        </w:tc>
        <w:tc>
          <w:tcPr>
            <w:tcW w:w="0" w:type="dxa"/>
            <w:vAlign w:val="bottom"/>
          </w:tcPr>
          <w:p>
            <w:pPr>
              <w:spacing w:after="0"/>
              <w:rPr>
                <w:sz w:val="1"/>
                <w:szCs w:val="1"/>
                <w:color w:val="auto"/>
              </w:rPr>
            </w:pPr>
          </w:p>
        </w:tc>
      </w:tr>
      <w:tr>
        <w:trPr>
          <w:trHeight w:val="136"/>
        </w:trPr>
        <w:tc>
          <w:tcPr>
            <w:tcW w:w="430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b w:val="1"/>
                <w:bCs w:val="1"/>
                <w:color w:val="auto"/>
              </w:rPr>
              <w:t>Net cash (used in) provided by financing activities</w:t>
            </w:r>
          </w:p>
        </w:tc>
        <w:tc>
          <w:tcPr>
            <w:tcW w:w="37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(8,099)</w:t>
            </w: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871,010</w:t>
            </w:r>
          </w:p>
        </w:tc>
        <w:tc>
          <w:tcPr>
            <w:tcW w:w="0" w:type="dxa"/>
            <w:vAlign w:val="bottom"/>
          </w:tcPr>
          <w:p>
            <w:pPr>
              <w:spacing w:after="0"/>
              <w:rPr>
                <w:sz w:val="1"/>
                <w:szCs w:val="1"/>
                <w:color w:val="auto"/>
              </w:rPr>
            </w:pPr>
          </w:p>
        </w:tc>
      </w:tr>
      <w:tr>
        <w:trPr>
          <w:trHeight w:val="157"/>
        </w:trPr>
        <w:tc>
          <w:tcPr>
            <w:tcW w:w="43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change in cash and cash equivalents, and restricted cash:</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increase in cash and cash equivalents, and restricted cash</w:t>
            </w:r>
          </w:p>
        </w:tc>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21,364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405,565</w:t>
            </w:r>
          </w:p>
        </w:tc>
        <w:tc>
          <w:tcPr>
            <w:tcW w:w="0" w:type="dxa"/>
            <w:vAlign w:val="bottom"/>
          </w:tcPr>
          <w:p>
            <w:pPr>
              <w:spacing w:after="0"/>
              <w:rPr>
                <w:sz w:val="1"/>
                <w:szCs w:val="1"/>
                <w:color w:val="auto"/>
              </w:rPr>
            </w:pPr>
          </w:p>
        </w:tc>
      </w:tr>
      <w:tr>
        <w:trPr>
          <w:trHeight w:val="155"/>
        </w:trPr>
        <w:tc>
          <w:tcPr>
            <w:tcW w:w="4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and restricted cash at beginning of period</w:t>
            </w:r>
          </w:p>
        </w:tc>
        <w:tc>
          <w:tcPr>
            <w:tcW w:w="37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518,093</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88,120</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equivalents at end of period</w:t>
            </w:r>
          </w:p>
        </w:tc>
        <w:tc>
          <w:tcPr>
            <w:tcW w:w="37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539,457</w:t>
            </w:r>
          </w:p>
        </w:tc>
        <w:tc>
          <w:tcPr>
            <w:tcW w:w="12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493,685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780" w:type="dxa"/>
            <w:vAlign w:val="bottom"/>
            <w:vMerge w:val="restart"/>
          </w:tcPr>
          <w:p>
            <w:pPr>
              <w:jc w:val="center"/>
              <w:ind w:right="1020"/>
              <w:spacing w:after="0"/>
              <w:rPr>
                <w:sz w:val="20"/>
                <w:szCs w:val="20"/>
                <w:color w:val="auto"/>
              </w:rPr>
            </w:pPr>
            <w:r>
              <w:rPr>
                <w:rFonts w:ascii="Times New Roman" w:cs="Times New Roman" w:eastAsia="Times New Roman" w:hAnsi="Times New Roman"/>
                <w:sz w:val="12"/>
                <w:szCs w:val="12"/>
                <w:color w:val="auto"/>
                <w:w w:val="99"/>
              </w:rPr>
              <w:t>8</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30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47" w:right="31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cash and cash equivalents, and restricted cash:</w:t>
            </w:r>
          </w:p>
        </w:tc>
        <w:tc>
          <w:tcPr>
            <w:tcW w:w="3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94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12,707</w:t>
            </w:r>
          </w:p>
        </w:tc>
        <w:tc>
          <w:tcPr>
            <w:tcW w:w="12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16,974</w:t>
            </w:r>
          </w:p>
        </w:tc>
        <w:tc>
          <w:tcPr>
            <w:tcW w:w="0" w:type="dxa"/>
            <w:vAlign w:val="bottom"/>
          </w:tcPr>
          <w:p>
            <w:pPr>
              <w:spacing w:after="0"/>
              <w:rPr>
                <w:sz w:val="1"/>
                <w:szCs w:val="1"/>
                <w:color w:val="auto"/>
              </w:rPr>
            </w:pPr>
          </w:p>
        </w:tc>
      </w:tr>
      <w:tr>
        <w:trPr>
          <w:trHeight w:val="153"/>
        </w:trPr>
        <w:tc>
          <w:tcPr>
            <w:tcW w:w="4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3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11,624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17,258</w:t>
            </w:r>
          </w:p>
        </w:tc>
        <w:tc>
          <w:tcPr>
            <w:tcW w:w="0" w:type="dxa"/>
            <w:vAlign w:val="bottom"/>
          </w:tcPr>
          <w:p>
            <w:pPr>
              <w:spacing w:after="0"/>
              <w:rPr>
                <w:sz w:val="1"/>
                <w:szCs w:val="1"/>
                <w:color w:val="auto"/>
              </w:rPr>
            </w:pPr>
          </w:p>
        </w:tc>
      </w:tr>
      <w:tr>
        <w:trPr>
          <w:trHeight w:val="155"/>
        </w:trPr>
        <w:tc>
          <w:tcPr>
            <w:tcW w:w="4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included in settlement assets and customer account balances</w:t>
            </w:r>
          </w:p>
        </w:tc>
        <w:tc>
          <w:tcPr>
            <w:tcW w:w="3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515,126</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459,453</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cash and cash equivalents, and restricted cash</w:t>
            </w:r>
          </w:p>
        </w:tc>
        <w:tc>
          <w:tcPr>
            <w:tcW w:w="314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539,457</w:t>
            </w:r>
          </w:p>
        </w:tc>
        <w:tc>
          <w:tcPr>
            <w:tcW w:w="12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493,685</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140" w:type="dxa"/>
            <w:vAlign w:val="bottom"/>
            <w:vMerge w:val="restart"/>
          </w:tcPr>
          <w:p>
            <w:pPr>
              <w:jc w:val="right"/>
              <w:ind w:right="2340"/>
              <w:spacing w:after="0"/>
              <w:rPr>
                <w:sz w:val="20"/>
                <w:szCs w:val="20"/>
                <w:color w:val="auto"/>
              </w:rPr>
            </w:pPr>
            <w:r>
              <w:rPr>
                <w:rFonts w:ascii="Times New Roman" w:cs="Times New Roman" w:eastAsia="Times New Roman" w:hAnsi="Times New Roman"/>
                <w:sz w:val="12"/>
                <w:szCs w:val="12"/>
                <w:color w:val="auto"/>
              </w:rPr>
              <w:t>9</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49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65"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Reportable Segments' Results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60" w:type="dxa"/>
            <w:vAlign w:val="bottom"/>
          </w:tcPr>
          <w:p>
            <w:pPr>
              <w:spacing w:after="0"/>
              <w:rPr>
                <w:sz w:val="13"/>
                <w:szCs w:val="13"/>
                <w:color w:val="auto"/>
              </w:rPr>
            </w:pPr>
          </w:p>
        </w:tc>
        <w:tc>
          <w:tcPr>
            <w:tcW w:w="2880" w:type="dxa"/>
            <w:vAlign w:val="bottom"/>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360" w:type="dxa"/>
            <w:vAlign w:val="bottom"/>
          </w:tcPr>
          <w:p>
            <w:pPr>
              <w:spacing w:after="0"/>
              <w:rPr>
                <w:sz w:val="13"/>
                <w:szCs w:val="13"/>
                <w:color w:val="auto"/>
              </w:rPr>
            </w:pPr>
          </w:p>
        </w:tc>
        <w:tc>
          <w:tcPr>
            <w:tcW w:w="2820" w:type="dxa"/>
            <w:vAlign w:val="bottom"/>
            <w:gridSpan w:val="4"/>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40"/>
        </w:trPr>
        <w:tc>
          <w:tcPr>
            <w:tcW w:w="4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139,892</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124,737</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412,357</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354,149</w:t>
            </w:r>
          </w:p>
        </w:tc>
        <w:tc>
          <w:tcPr>
            <w:tcW w:w="0" w:type="dxa"/>
            <w:vAlign w:val="bottom"/>
          </w:tcPr>
          <w:p>
            <w:pPr>
              <w:spacing w:after="0"/>
              <w:rPr>
                <w:sz w:val="1"/>
                <w:szCs w:val="1"/>
                <w:color w:val="auto"/>
              </w:rPr>
            </w:pPr>
          </w:p>
        </w:tc>
      </w:tr>
      <w:tr>
        <w:trPr>
          <w:trHeight w:val="155"/>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126,445</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110,090</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372,429</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311,769</w:t>
            </w:r>
          </w:p>
        </w:tc>
        <w:tc>
          <w:tcPr>
            <w:tcW w:w="0" w:type="dxa"/>
            <w:vAlign w:val="bottom"/>
          </w:tcPr>
          <w:p>
            <w:pPr>
              <w:spacing w:after="0"/>
              <w:rPr>
                <w:sz w:val="1"/>
                <w:szCs w:val="1"/>
                <w:color w:val="auto"/>
              </w:rPr>
            </w:pPr>
          </w:p>
        </w:tc>
      </w:tr>
      <w:tr>
        <w:trPr>
          <w:trHeight w:val="142"/>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13,447</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14,647</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39,928</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42,380</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8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9.6 %</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11.7 %</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9.7 %</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12.0 %</w:t>
            </w:r>
          </w:p>
        </w:tc>
        <w:tc>
          <w:tcPr>
            <w:tcW w:w="0" w:type="dxa"/>
            <w:vAlign w:val="bottom"/>
          </w:tcPr>
          <w:p>
            <w:pPr>
              <w:spacing w:after="0"/>
              <w:rPr>
                <w:sz w:val="1"/>
                <w:szCs w:val="1"/>
                <w:color w:val="auto"/>
              </w:rPr>
            </w:pPr>
          </w:p>
        </w:tc>
      </w:tr>
      <w:tr>
        <w:trPr>
          <w:trHeight w:val="153"/>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11,040</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11,049</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32,844</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30,130</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15,098,450</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13,830,550</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44,577,857</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39,602,577</w:t>
            </w:r>
          </w:p>
        </w:tc>
        <w:tc>
          <w:tcPr>
            <w:tcW w:w="0" w:type="dxa"/>
            <w:vAlign w:val="bottom"/>
          </w:tcPr>
          <w:p>
            <w:pPr>
              <w:spacing w:after="0"/>
              <w:rPr>
                <w:sz w:val="1"/>
                <w:szCs w:val="1"/>
                <w:color w:val="auto"/>
              </w:rPr>
            </w:pPr>
          </w:p>
        </w:tc>
      </w:tr>
      <w:tr>
        <w:trPr>
          <w:trHeight w:val="149"/>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volume</w:t>
            </w:r>
          </w:p>
        </w:tc>
        <w:tc>
          <w:tcPr>
            <w:tcW w:w="360" w:type="dxa"/>
            <w:vAlign w:val="bottom"/>
          </w:tcPr>
          <w:p>
            <w:pPr>
              <w:spacing w:after="0"/>
              <w:rPr>
                <w:sz w:val="12"/>
                <w:szCs w:val="12"/>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165,796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153,053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476,084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431,369</w:t>
            </w:r>
          </w:p>
        </w:tc>
        <w:tc>
          <w:tcPr>
            <w:tcW w:w="0" w:type="dxa"/>
            <w:vAlign w:val="bottom"/>
          </w:tcPr>
          <w:p>
            <w:pPr>
              <w:spacing w:after="0"/>
              <w:rPr>
                <w:sz w:val="1"/>
                <w:szCs w:val="1"/>
                <w:color w:val="auto"/>
              </w:rPr>
            </w:pPr>
          </w:p>
        </w:tc>
      </w:tr>
      <w:tr>
        <w:trPr>
          <w:trHeight w:val="157"/>
        </w:trPr>
        <w:tc>
          <w:tcPr>
            <w:tcW w:w="4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4,868</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4,181</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16,088</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11,722</w:t>
            </w:r>
          </w:p>
        </w:tc>
        <w:tc>
          <w:tcPr>
            <w:tcW w:w="0" w:type="dxa"/>
            <w:vAlign w:val="bottom"/>
          </w:tcPr>
          <w:p>
            <w:pPr>
              <w:spacing w:after="0"/>
              <w:rPr>
                <w:sz w:val="1"/>
                <w:szCs w:val="1"/>
                <w:color w:val="auto"/>
              </w:rPr>
            </w:pPr>
          </w:p>
        </w:tc>
      </w:tr>
      <w:tr>
        <w:trPr>
          <w:trHeight w:val="155"/>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4,651</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4,210</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14,799</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12,139</w:t>
            </w:r>
          </w:p>
        </w:tc>
        <w:tc>
          <w:tcPr>
            <w:tcW w:w="0" w:type="dxa"/>
            <w:vAlign w:val="bottom"/>
          </w:tcPr>
          <w:p>
            <w:pPr>
              <w:spacing w:after="0"/>
              <w:rPr>
                <w:sz w:val="1"/>
                <w:szCs w:val="1"/>
                <w:color w:val="auto"/>
              </w:rPr>
            </w:pPr>
          </w:p>
        </w:tc>
      </w:tr>
      <w:tr>
        <w:trPr>
          <w:trHeight w:val="142"/>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income (loss)</w:t>
            </w: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217</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(29)</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1,289</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(417)</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8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4.5 %</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(0.7)%</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8.0 %</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(3.6)%</w:t>
            </w:r>
          </w:p>
        </w:tc>
        <w:tc>
          <w:tcPr>
            <w:tcW w:w="0" w:type="dxa"/>
            <w:vAlign w:val="bottom"/>
          </w:tcPr>
          <w:p>
            <w:pPr>
              <w:spacing w:after="0"/>
              <w:rPr>
                <w:sz w:val="1"/>
                <w:szCs w:val="1"/>
                <w:color w:val="auto"/>
              </w:rPr>
            </w:pPr>
          </w:p>
        </w:tc>
      </w:tr>
      <w:tr>
        <w:trPr>
          <w:trHeight w:val="153"/>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295</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441</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220</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116,348</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87,116</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380,217</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226,056</w:t>
            </w:r>
          </w:p>
        </w:tc>
        <w:tc>
          <w:tcPr>
            <w:tcW w:w="0" w:type="dxa"/>
            <w:vAlign w:val="bottom"/>
          </w:tcPr>
          <w:p>
            <w:pPr>
              <w:spacing w:after="0"/>
              <w:rPr>
                <w:sz w:val="1"/>
                <w:szCs w:val="1"/>
                <w:color w:val="auto"/>
              </w:rPr>
            </w:pPr>
          </w:p>
        </w:tc>
      </w:tr>
      <w:tr>
        <w:trPr>
          <w:trHeight w:val="149"/>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volume</w:t>
            </w:r>
          </w:p>
        </w:tc>
        <w:tc>
          <w:tcPr>
            <w:tcW w:w="360" w:type="dxa"/>
            <w:vAlign w:val="bottom"/>
          </w:tcPr>
          <w:p>
            <w:pPr>
              <w:spacing w:after="0"/>
              <w:rPr>
                <w:sz w:val="12"/>
                <w:szCs w:val="12"/>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239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143</w:t>
            </w:r>
          </w:p>
        </w:tc>
        <w:tc>
          <w:tcPr>
            <w:tcW w:w="0" w:type="dxa"/>
            <w:vAlign w:val="bottom"/>
          </w:tcPr>
          <w:p>
            <w:pPr>
              <w:spacing w:after="0"/>
              <w:rPr>
                <w:sz w:val="1"/>
                <w:szCs w:val="1"/>
                <w:color w:val="auto"/>
              </w:rPr>
            </w:pPr>
          </w:p>
        </w:tc>
      </w:tr>
      <w:tr>
        <w:trPr>
          <w:trHeight w:val="157"/>
        </w:trPr>
        <w:tc>
          <w:tcPr>
            <w:tcW w:w="4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21,657</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3,624</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57,641</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4,982</w:t>
            </w:r>
          </w:p>
        </w:tc>
        <w:tc>
          <w:tcPr>
            <w:tcW w:w="0" w:type="dxa"/>
            <w:vAlign w:val="bottom"/>
          </w:tcPr>
          <w:p>
            <w:pPr>
              <w:spacing w:after="0"/>
              <w:rPr>
                <w:sz w:val="1"/>
                <w:szCs w:val="1"/>
                <w:color w:val="auto"/>
              </w:rPr>
            </w:pPr>
          </w:p>
        </w:tc>
      </w:tr>
      <w:tr>
        <w:trPr>
          <w:trHeight w:val="155"/>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12,345</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2,395</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38,137</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3,418</w:t>
            </w:r>
          </w:p>
        </w:tc>
        <w:tc>
          <w:tcPr>
            <w:tcW w:w="0" w:type="dxa"/>
            <w:vAlign w:val="bottom"/>
          </w:tcPr>
          <w:p>
            <w:pPr>
              <w:spacing w:after="0"/>
              <w:rPr>
                <w:sz w:val="1"/>
                <w:szCs w:val="1"/>
                <w:color w:val="auto"/>
              </w:rPr>
            </w:pPr>
          </w:p>
        </w:tc>
      </w:tr>
      <w:tr>
        <w:trPr>
          <w:trHeight w:val="142"/>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9,312</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1,229</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19,504</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1,564</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8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43.0 %</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33.9 %</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33.8 %</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31.4 %</w:t>
            </w:r>
          </w:p>
        </w:tc>
        <w:tc>
          <w:tcPr>
            <w:tcW w:w="0" w:type="dxa"/>
            <w:vAlign w:val="bottom"/>
          </w:tcPr>
          <w:p>
            <w:pPr>
              <w:spacing w:after="0"/>
              <w:rPr>
                <w:sz w:val="1"/>
                <w:szCs w:val="1"/>
                <w:color w:val="auto"/>
              </w:rPr>
            </w:pPr>
          </w:p>
        </w:tc>
      </w:tr>
      <w:tr>
        <w:trPr>
          <w:trHeight w:val="153"/>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6,203</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939</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18,599</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939</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585,382</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1,189,034</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153"/>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volume</w:t>
            </w:r>
          </w:p>
        </w:tc>
        <w:tc>
          <w:tcPr>
            <w:tcW w:w="360" w:type="dxa"/>
            <w:vAlign w:val="bottom"/>
          </w:tcPr>
          <w:p>
            <w:pPr>
              <w:spacing w:after="0"/>
              <w:rPr>
                <w:sz w:val="13"/>
                <w:szCs w:val="13"/>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808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4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Average billed clients</w:t>
            </w:r>
          </w:p>
        </w:tc>
        <w:tc>
          <w:tcPr>
            <w:tcW w:w="360" w:type="dxa"/>
            <w:vAlign w:val="bottom"/>
          </w:tcPr>
          <w:p>
            <w:pPr>
              <w:spacing w:after="0"/>
              <w:rPr>
                <w:sz w:val="13"/>
                <w:szCs w:val="13"/>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387,384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342,789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363,993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342,789</w:t>
            </w:r>
          </w:p>
        </w:tc>
        <w:tc>
          <w:tcPr>
            <w:tcW w:w="0" w:type="dxa"/>
            <w:vAlign w:val="bottom"/>
          </w:tcPr>
          <w:p>
            <w:pPr>
              <w:spacing w:after="0"/>
              <w:rPr>
                <w:sz w:val="1"/>
                <w:szCs w:val="1"/>
                <w:color w:val="auto"/>
              </w:rPr>
            </w:pPr>
          </w:p>
        </w:tc>
      </w:tr>
      <w:tr>
        <w:trPr>
          <w:trHeight w:val="322"/>
        </w:trPr>
        <w:tc>
          <w:tcPr>
            <w:tcW w:w="4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 of reportable segments</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22,976</w:t>
            </w:r>
          </w:p>
        </w:tc>
        <w:tc>
          <w:tcPr>
            <w:tcW w:w="100" w:type="dxa"/>
            <w:vAlign w:val="bottom"/>
          </w:tcPr>
          <w:p>
            <w:pPr>
              <w:spacing w:after="0"/>
              <w:rPr>
                <w:sz w:val="24"/>
                <w:szCs w:val="2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15,847</w:t>
            </w:r>
          </w:p>
        </w:tc>
        <w:tc>
          <w:tcPr>
            <w:tcW w:w="80" w:type="dxa"/>
            <w:vAlign w:val="bottom"/>
          </w:tcPr>
          <w:p>
            <w:pPr>
              <w:spacing w:after="0"/>
              <w:rPr>
                <w:sz w:val="24"/>
                <w:szCs w:val="2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60,721</w:t>
            </w:r>
          </w:p>
        </w:tc>
        <w:tc>
          <w:tcPr>
            <w:tcW w:w="100" w:type="dxa"/>
            <w:vAlign w:val="bottom"/>
          </w:tcPr>
          <w:p>
            <w:pPr>
              <w:spacing w:after="0"/>
              <w:rPr>
                <w:sz w:val="24"/>
                <w:szCs w:val="2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43,527</w:t>
            </w:r>
          </w:p>
        </w:tc>
        <w:tc>
          <w:tcPr>
            <w:tcW w:w="0" w:type="dxa"/>
            <w:vAlign w:val="bottom"/>
          </w:tcPr>
          <w:p>
            <w:pPr>
              <w:spacing w:after="0"/>
              <w:rPr>
                <w:sz w:val="1"/>
                <w:szCs w:val="1"/>
                <w:color w:val="auto"/>
              </w:rPr>
            </w:pPr>
          </w:p>
        </w:tc>
      </w:tr>
      <w:tr>
        <w:trPr>
          <w:trHeight w:val="155"/>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Corporate expense</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(8,896)</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(7,597)</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(22,755)</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(23,345)</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Consolidated operating income</w:t>
            </w: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14,080</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8,250</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37,966</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20,182</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Corporate depreciation and amortization</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860" w:type="dxa"/>
            <w:vAlign w:val="bottom"/>
            <w:vMerge w:val="continue"/>
          </w:tcPr>
          <w:p>
            <w:pPr>
              <w:spacing w:after="0"/>
              <w:rPr>
                <w:sz w:val="11"/>
                <w:szCs w:val="11"/>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279</w:t>
            </w:r>
          </w:p>
        </w:tc>
        <w:tc>
          <w:tcPr>
            <w:tcW w:w="100" w:type="dxa"/>
            <w:vAlign w:val="bottom"/>
          </w:tcPr>
          <w:p>
            <w:pPr>
              <w:spacing w:after="0"/>
              <w:rPr>
                <w:sz w:val="11"/>
                <w:szCs w:val="11"/>
                <w:color w:val="auto"/>
              </w:rPr>
            </w:pPr>
          </w:p>
        </w:tc>
        <w:tc>
          <w:tcPr>
            <w:tcW w:w="360" w:type="dxa"/>
            <w:vAlign w:val="bottom"/>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269</w:t>
            </w:r>
          </w:p>
        </w:tc>
        <w:tc>
          <w:tcPr>
            <w:tcW w:w="80" w:type="dxa"/>
            <w:vAlign w:val="bottom"/>
          </w:tcPr>
          <w:p>
            <w:pPr>
              <w:spacing w:after="0"/>
              <w:rPr>
                <w:sz w:val="11"/>
                <w:szCs w:val="11"/>
                <w:color w:val="auto"/>
              </w:rPr>
            </w:pPr>
          </w:p>
        </w:tc>
        <w:tc>
          <w:tcPr>
            <w:tcW w:w="360" w:type="dxa"/>
            <w:vAlign w:val="bottom"/>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791</w:t>
            </w:r>
          </w:p>
        </w:tc>
        <w:tc>
          <w:tcPr>
            <w:tcW w:w="100" w:type="dxa"/>
            <w:vAlign w:val="bottom"/>
          </w:tcPr>
          <w:p>
            <w:pPr>
              <w:spacing w:after="0"/>
              <w:rPr>
                <w:sz w:val="11"/>
                <w:szCs w:val="11"/>
                <w:color w:val="auto"/>
              </w:rPr>
            </w:pPr>
          </w:p>
        </w:tc>
        <w:tc>
          <w:tcPr>
            <w:tcW w:w="360" w:type="dxa"/>
            <w:vAlign w:val="bottom"/>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834</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15,800,180</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13,917,689</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46,147,108</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39,828,656</w:t>
            </w:r>
          </w:p>
        </w:tc>
        <w:tc>
          <w:tcPr>
            <w:tcW w:w="0" w:type="dxa"/>
            <w:vAlign w:val="bottom"/>
          </w:tcPr>
          <w:p>
            <w:pPr>
              <w:spacing w:after="0"/>
              <w:rPr>
                <w:sz w:val="1"/>
                <w:szCs w:val="1"/>
                <w:color w:val="auto"/>
              </w:rPr>
            </w:pPr>
          </w:p>
        </w:tc>
      </w:tr>
      <w:tr>
        <w:trPr>
          <w:trHeight w:val="153"/>
        </w:trPr>
        <w:tc>
          <w:tcPr>
            <w:tcW w:w="48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volume</w:t>
            </w:r>
          </w:p>
        </w:tc>
        <w:tc>
          <w:tcPr>
            <w:tcW w:w="360" w:type="dxa"/>
            <w:vAlign w:val="bottom"/>
          </w:tcPr>
          <w:p>
            <w:pPr>
              <w:spacing w:after="0"/>
              <w:rPr>
                <w:sz w:val="13"/>
                <w:szCs w:val="13"/>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166,667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153,108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478,346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431,512</w:t>
            </w:r>
          </w:p>
        </w:tc>
        <w:tc>
          <w:tcPr>
            <w:tcW w:w="0" w:type="dxa"/>
            <w:vAlign w:val="bottom"/>
          </w:tcPr>
          <w:p>
            <w:pPr>
              <w:spacing w:after="0"/>
              <w:rPr>
                <w:sz w:val="1"/>
                <w:szCs w:val="1"/>
                <w:color w:val="auto"/>
              </w:rPr>
            </w:pPr>
          </w:p>
        </w:tc>
      </w:tr>
      <w:tr>
        <w:trPr>
          <w:trHeight w:val="155"/>
        </w:trPr>
        <w:tc>
          <w:tcPr>
            <w:tcW w:w="4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Average billed clients</w:t>
            </w:r>
          </w:p>
        </w:tc>
        <w:tc>
          <w:tcPr>
            <w:tcW w:w="360" w:type="dxa"/>
            <w:vAlign w:val="bottom"/>
          </w:tcPr>
          <w:p>
            <w:pPr>
              <w:spacing w:after="0"/>
              <w:rPr>
                <w:sz w:val="13"/>
                <w:szCs w:val="13"/>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387,384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342,789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363,993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342,789</w:t>
            </w:r>
          </w:p>
        </w:tc>
        <w:tc>
          <w:tcPr>
            <w:tcW w:w="0" w:type="dxa"/>
            <w:vAlign w:val="bottom"/>
          </w:tcPr>
          <w:p>
            <w:pPr>
              <w:spacing w:after="0"/>
              <w:rPr>
                <w:sz w:val="1"/>
                <w:szCs w:val="1"/>
                <w:color w:val="auto"/>
              </w:rPr>
            </w:pPr>
          </w:p>
        </w:tc>
      </w:tr>
      <w:tr>
        <w:trPr>
          <w:trHeight w:val="873"/>
        </w:trPr>
        <w:tc>
          <w:tcPr>
            <w:tcW w:w="4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640"/>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47" w:right="319" w:bottom="1440"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3759835</wp:posOffset>
            </wp:positionV>
            <wp:extent cx="713041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2022-11-10T06:34:02Z</dcterms:created>
  <dcterms:modified xsi:type="dcterms:W3CDTF">2022-11-10T06:34:02Z</dcterms:modified>
</cp:coreProperties>
</file>