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December 8, 2025</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2229485</wp:posOffset>
            </wp:positionH>
            <wp:positionV relativeFrom="paragraph">
              <wp:posOffset>139065</wp:posOffset>
            </wp:positionV>
            <wp:extent cx="2263775" cy="716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63775" cy="716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Priority Technology Holdings, Inc.</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7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001-37872</w:t>
            </w:r>
          </w:p>
        </w:tc>
        <w:tc>
          <w:tcPr>
            <w:tcW w:w="1000" w:type="dxa"/>
            <w:vAlign w:val="bottom"/>
          </w:tcPr>
          <w:p>
            <w:pPr>
              <w:spacing w:after="0"/>
              <w:rPr>
                <w:sz w:val="17"/>
                <w:szCs w:val="17"/>
                <w:color w:val="auto"/>
              </w:rPr>
            </w:pPr>
          </w:p>
        </w:tc>
        <w:tc>
          <w:tcPr>
            <w:tcW w:w="3600" w:type="dxa"/>
            <w:vAlign w:val="bottom"/>
            <w:gridSpan w:val="2"/>
          </w:tcPr>
          <w:p>
            <w:pPr>
              <w:jc w:val="right"/>
              <w:ind w:right="1202"/>
              <w:spacing w:after="0"/>
              <w:rPr>
                <w:sz w:val="20"/>
                <w:szCs w:val="20"/>
                <w:color w:val="auto"/>
              </w:rPr>
            </w:pPr>
            <w:r>
              <w:rPr>
                <w:rFonts w:ascii="Times New Roman" w:cs="Times New Roman" w:eastAsia="Times New Roman" w:hAnsi="Times New Roman"/>
                <w:sz w:val="16"/>
                <w:szCs w:val="16"/>
                <w:b w:val="1"/>
                <w:bCs w:val="1"/>
                <w:color w:val="auto"/>
              </w:rPr>
              <w:t>47-4257046</w:t>
            </w:r>
          </w:p>
        </w:tc>
        <w:tc>
          <w:tcPr>
            <w:tcW w:w="20" w:type="dxa"/>
            <w:vAlign w:val="bottom"/>
          </w:tcPr>
          <w:p>
            <w:pPr>
              <w:spacing w:after="0"/>
              <w:rPr>
                <w:sz w:val="17"/>
                <w:szCs w:val="17"/>
                <w:color w:val="auto"/>
              </w:rPr>
            </w:pPr>
          </w:p>
        </w:tc>
      </w:tr>
      <w:tr>
        <w:trPr>
          <w:trHeight w:val="196"/>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(State or other jurisdiction of incorporation)</w:t>
            </w:r>
          </w:p>
        </w:tc>
        <w:tc>
          <w:tcPr>
            <w:tcW w:w="280" w:type="dxa"/>
            <w:vAlign w:val="bottom"/>
          </w:tcPr>
          <w:p>
            <w:pPr>
              <w:spacing w:after="0"/>
              <w:rPr>
                <w:sz w:val="17"/>
                <w:szCs w:val="17"/>
                <w:color w:val="auto"/>
              </w:rPr>
            </w:pPr>
          </w:p>
        </w:tc>
        <w:tc>
          <w:tcPr>
            <w:tcW w:w="31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7"/>
              </w:rPr>
              <w:t>(Commission File Number)</w:t>
            </w:r>
          </w:p>
        </w:tc>
        <w:tc>
          <w:tcPr>
            <w:tcW w:w="260" w:type="dxa"/>
            <w:vAlign w:val="bottom"/>
          </w:tcPr>
          <w:p>
            <w:pPr>
              <w:spacing w:after="0"/>
              <w:rPr>
                <w:sz w:val="17"/>
                <w:szCs w:val="17"/>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(I.R.S. Employer Identification No.)</w:t>
            </w:r>
          </w:p>
        </w:tc>
        <w:tc>
          <w:tcPr>
            <w:tcW w:w="20" w:type="dxa"/>
            <w:vAlign w:val="bottom"/>
          </w:tcPr>
          <w:p>
            <w:pPr>
              <w:spacing w:after="0"/>
              <w:rPr>
                <w:sz w:val="17"/>
                <w:szCs w:val="17"/>
                <w:color w:val="auto"/>
              </w:rPr>
            </w:pPr>
          </w:p>
        </w:tc>
      </w:tr>
      <w:tr>
        <w:trPr>
          <w:trHeight w:val="550"/>
        </w:trPr>
        <w:tc>
          <w:tcPr>
            <w:tcW w:w="3760" w:type="dxa"/>
            <w:vAlign w:val="bottom"/>
            <w:gridSpan w:val="2"/>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98"/>
              </w:rPr>
              <w:t>2001 Westside Parkway</w:t>
            </w: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3760" w:type="dxa"/>
            <w:vAlign w:val="bottom"/>
            <w:gridSpan w:val="2"/>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95"/>
              </w:rPr>
              <w:t>Suite 155</w:t>
            </w: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3760" w:type="dxa"/>
            <w:vAlign w:val="bottom"/>
            <w:gridSpan w:val="2"/>
          </w:tcPr>
          <w:p>
            <w:pPr>
              <w:ind w:left="1060"/>
              <w:spacing w:after="0"/>
              <w:rPr>
                <w:sz w:val="20"/>
                <w:szCs w:val="20"/>
                <w:color w:val="auto"/>
              </w:rPr>
            </w:pPr>
            <w:r>
              <w:rPr>
                <w:rFonts w:ascii="Times New Roman" w:cs="Times New Roman" w:eastAsia="Times New Roman" w:hAnsi="Times New Roman"/>
                <w:sz w:val="16"/>
                <w:szCs w:val="16"/>
                <w:b w:val="1"/>
                <w:bCs w:val="1"/>
                <w:color w:val="auto"/>
              </w:rPr>
              <w:t>Alpharetta,</w:t>
            </w:r>
          </w:p>
        </w:tc>
        <w:tc>
          <w:tcPr>
            <w:tcW w:w="318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Georgia</w:t>
            </w:r>
          </w:p>
        </w:tc>
        <w:tc>
          <w:tcPr>
            <w:tcW w:w="3600" w:type="dxa"/>
            <w:vAlign w:val="bottom"/>
            <w:gridSpan w:val="2"/>
          </w:tcPr>
          <w:p>
            <w:pPr>
              <w:jc w:val="right"/>
              <w:ind w:right="2022"/>
              <w:spacing w:after="0"/>
              <w:rPr>
                <w:sz w:val="20"/>
                <w:szCs w:val="20"/>
                <w:color w:val="auto"/>
              </w:rPr>
            </w:pPr>
            <w:r>
              <w:rPr>
                <w:rFonts w:ascii="Times New Roman" w:cs="Times New Roman" w:eastAsia="Times New Roman" w:hAnsi="Times New Roman"/>
                <w:sz w:val="16"/>
                <w:szCs w:val="16"/>
                <w:b w:val="1"/>
                <w:bCs w:val="1"/>
                <w:color w:val="auto"/>
              </w:rPr>
              <w:t>30004</w:t>
            </w:r>
          </w:p>
        </w:tc>
        <w:tc>
          <w:tcPr>
            <w:tcW w:w="20" w:type="dxa"/>
            <w:vAlign w:val="bottom"/>
          </w:tcPr>
          <w:p>
            <w:pPr>
              <w:spacing w:after="0"/>
              <w:rPr>
                <w:sz w:val="17"/>
                <w:szCs w:val="17"/>
                <w:color w:val="auto"/>
              </w:rPr>
            </w:pPr>
          </w:p>
        </w:tc>
      </w:tr>
      <w:tr>
        <w:trPr>
          <w:trHeight w:val="196"/>
        </w:trPr>
        <w:tc>
          <w:tcPr>
            <w:tcW w:w="56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3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jc w:val="center"/>
              <w:ind w:right="1182"/>
              <w:spacing w:after="0"/>
              <w:rPr>
                <w:sz w:val="20"/>
                <w:szCs w:val="20"/>
                <w:color w:val="auto"/>
              </w:rPr>
            </w:pPr>
            <w:r>
              <w:rPr>
                <w:rFonts w:ascii="Times New Roman" w:cs="Times New Roman" w:eastAsia="Times New Roman" w:hAnsi="Times New Roman"/>
                <w:sz w:val="16"/>
                <w:szCs w:val="16"/>
                <w:color w:val="auto"/>
                <w:w w:val="96"/>
              </w:rPr>
              <w:t>(Zip Code)</w:t>
            </w:r>
          </w:p>
        </w:tc>
        <w:tc>
          <w:tcPr>
            <w:tcW w:w="20" w:type="dxa"/>
            <w:vAlign w:val="bottom"/>
            <w:tcBorders>
              <w:top w:val="single" w:sz="8" w:color="auto"/>
            </w:tcBorders>
          </w:tcPr>
          <w:p>
            <w:pPr>
              <w:spacing w:after="0"/>
              <w:rPr>
                <w:sz w:val="17"/>
                <w:szCs w:val="17"/>
                <w:color w:val="auto"/>
              </w:rPr>
            </w:pPr>
          </w:p>
        </w:tc>
      </w:tr>
    </w:tbl>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(800) 935-5961</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76" w:lineRule="exact"/>
        <w:rPr>
          <w:sz w:val="24"/>
          <w:szCs w:val="24"/>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u w:val="single" w:color="auto"/>
          <w:color w:val="auto"/>
        </w:rPr>
        <w:t>see</w:t>
      </w:r>
      <w:r>
        <w:rPr>
          <w:rFonts w:ascii="Times New Roman" w:cs="Times New Roman" w:eastAsia="Times New Roman" w:hAnsi="Times New Roman"/>
          <w:sz w:val="16"/>
          <w:szCs w:val="16"/>
          <w:color w:val="auto"/>
        </w:rPr>
        <w:t xml:space="preserve"> General Instruction A.2. below):</w:t>
      </w:r>
    </w:p>
    <w:p>
      <w:pPr>
        <w:spacing w:after="0" w:line="143"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76" w:lineRule="exact"/>
        <w:rPr>
          <w:rFonts w:ascii="MS PGothic" w:cs="MS PGothic" w:eastAsia="MS PGothic" w:hAnsi="MS PGothic"/>
          <w:sz w:val="16"/>
          <w:szCs w:val="16"/>
          <w:color w:val="auto"/>
        </w:rPr>
      </w:pPr>
    </w:p>
    <w:p>
      <w:pPr>
        <w:ind w:left="380" w:hanging="374"/>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76" w:lineRule="exact"/>
        <w:rPr>
          <w:rFonts w:ascii="MS PGothic" w:cs="MS PGothic" w:eastAsia="MS PGothic" w:hAnsi="MS PGothic"/>
          <w:sz w:val="16"/>
          <w:szCs w:val="16"/>
          <w:color w:val="auto"/>
        </w:rPr>
      </w:pPr>
    </w:p>
    <w:p>
      <w:pPr>
        <w:ind w:left="380" w:hanging="374"/>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76" w:lineRule="exact"/>
        <w:rPr>
          <w:rFonts w:ascii="MS PGothic" w:cs="MS PGothic" w:eastAsia="MS PGothic" w:hAnsi="MS PGothic"/>
          <w:sz w:val="16"/>
          <w:szCs w:val="16"/>
          <w:color w:val="auto"/>
        </w:rPr>
      </w:pPr>
    </w:p>
    <w:p>
      <w:pPr>
        <w:ind w:left="380" w:hanging="374"/>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240" w:type="dxa"/>
            <w:vAlign w:val="bottom"/>
            <w:gridSpan w:val="6"/>
          </w:tcPr>
          <w:p>
            <w:pPr>
              <w:ind w:left="1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89"/>
        </w:trPr>
        <w:tc>
          <w:tcPr>
            <w:tcW w:w="540" w:type="dxa"/>
            <w:vAlign w:val="bottom"/>
          </w:tcPr>
          <w:p>
            <w:pPr>
              <w:spacing w:after="0"/>
              <w:rPr>
                <w:sz w:val="24"/>
                <w:szCs w:val="24"/>
                <w:color w:val="auto"/>
              </w:rPr>
            </w:pPr>
          </w:p>
        </w:tc>
        <w:tc>
          <w:tcPr>
            <w:tcW w:w="2780" w:type="dxa"/>
            <w:vAlign w:val="bottom"/>
          </w:tcPr>
          <w:p>
            <w:pPr>
              <w:jc w:val="center"/>
              <w:ind w:left="282"/>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 Symbol</w:t>
            </w:r>
          </w:p>
        </w:tc>
        <w:tc>
          <w:tcPr>
            <w:tcW w:w="180" w:type="dxa"/>
            <w:vAlign w:val="bottom"/>
          </w:tcPr>
          <w:p>
            <w:pPr>
              <w:spacing w:after="0"/>
              <w:rPr>
                <w:sz w:val="24"/>
                <w:szCs w:val="24"/>
                <w:color w:val="auto"/>
              </w:rPr>
            </w:pPr>
          </w:p>
        </w:tc>
        <w:tc>
          <w:tcPr>
            <w:tcW w:w="45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7"/>
              </w:rPr>
              <w:t>Name of each exchange on which registered</w:t>
            </w:r>
          </w:p>
        </w:tc>
      </w:tr>
      <w:tr>
        <w:trPr>
          <w:trHeight w:val="196"/>
        </w:trPr>
        <w:tc>
          <w:tcPr>
            <w:tcW w:w="540" w:type="dxa"/>
            <w:vAlign w:val="bottom"/>
          </w:tcPr>
          <w:p>
            <w:pPr>
              <w:spacing w:after="0"/>
              <w:rPr>
                <w:sz w:val="17"/>
                <w:szCs w:val="17"/>
                <w:color w:val="auto"/>
              </w:rPr>
            </w:pPr>
          </w:p>
        </w:tc>
        <w:tc>
          <w:tcPr>
            <w:tcW w:w="2780" w:type="dxa"/>
            <w:vAlign w:val="bottom"/>
            <w:tcBorders>
              <w:top w:val="single" w:sz="8" w:color="auto"/>
            </w:tcBorders>
          </w:tcPr>
          <w:p>
            <w:pPr>
              <w:jc w:val="center"/>
              <w:ind w:left="282"/>
              <w:spacing w:after="0"/>
              <w:rPr>
                <w:sz w:val="20"/>
                <w:szCs w:val="20"/>
                <w:color w:val="auto"/>
              </w:rPr>
            </w:pPr>
            <w:r>
              <w:rPr>
                <w:rFonts w:ascii="Times New Roman" w:cs="Times New Roman" w:eastAsia="Times New Roman" w:hAnsi="Times New Roman"/>
                <w:sz w:val="16"/>
                <w:szCs w:val="16"/>
                <w:color w:val="auto"/>
                <w:w w:val="96"/>
              </w:rPr>
              <w:t>Common stock, $0.001 par value</w:t>
            </w:r>
          </w:p>
        </w:tc>
        <w:tc>
          <w:tcPr>
            <w:tcW w:w="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PRTH</w:t>
            </w:r>
          </w:p>
        </w:tc>
        <w:tc>
          <w:tcPr>
            <w:tcW w:w="180" w:type="dxa"/>
            <w:vAlign w:val="bottom"/>
          </w:tcPr>
          <w:p>
            <w:pPr>
              <w:spacing w:after="0"/>
              <w:rPr>
                <w:sz w:val="17"/>
                <w:szCs w:val="17"/>
                <w:color w:val="auto"/>
              </w:rPr>
            </w:pPr>
          </w:p>
        </w:tc>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NASDAQ</w:t>
            </w:r>
          </w:p>
        </w:tc>
        <w:tc>
          <w:tcPr>
            <w:tcW w:w="520" w:type="dxa"/>
            <w:vAlign w:val="bottom"/>
          </w:tcPr>
          <w:p>
            <w:pPr>
              <w:spacing w:after="0"/>
              <w:rPr>
                <w:sz w:val="17"/>
                <w:szCs w:val="17"/>
                <w:color w:val="auto"/>
              </w:rPr>
            </w:pPr>
          </w:p>
        </w:tc>
      </w:tr>
      <w:tr>
        <w:trPr>
          <w:trHeight w:val="1093"/>
        </w:trPr>
        <w:tc>
          <w:tcPr>
            <w:tcW w:w="540" w:type="dxa"/>
            <w:vAlign w:val="bottom"/>
            <w:tcBorders>
              <w:bottom w:val="single" w:sz="8" w:color="EEEEEE"/>
            </w:tcBorders>
          </w:tcPr>
          <w:p>
            <w:pPr>
              <w:spacing w:after="0"/>
              <w:rPr>
                <w:sz w:val="24"/>
                <w:szCs w:val="24"/>
                <w:color w:val="auto"/>
              </w:rPr>
            </w:pPr>
          </w:p>
        </w:tc>
        <w:tc>
          <w:tcPr>
            <w:tcW w:w="278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9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06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39" w:right="680"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7" w:lineRule="exact"/>
        <w:rPr>
          <w:sz w:val="20"/>
          <w:szCs w:val="20"/>
          <w:color w:val="auto"/>
        </w:rPr>
      </w:pPr>
    </w:p>
    <w:p>
      <w:pPr>
        <w:ind w:left="15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460375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41" w:right="68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21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On December 8, 2025, Priority Technology Holdings, Inc. (the “Company”) issued a press release to announce that its special committee of independent and disinterested directors of the Company’s Board of Directors (the “Special Committee”) has retained Barclays to act as its financial advisor and Paul, Weiss, Rifkind, Wharton &amp; Garrison LLP to act as its independent legal counsel in connection with the Special Committee’s evaluation of the preliminary, non-binding proposal, dated November 9, 2025, by Thomas Priore, the Company’s Chairman and Executive Officer. The press release is furnished as Exhibit 99.1 hereto and is incorporated herein by reference.</w:t>
      </w:r>
    </w:p>
    <w:p>
      <w:pPr>
        <w:spacing w:after="0" w:line="19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 – The following exhibit is furnished as part of this Current Report on Form 8-K.</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9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6"/>
        </w:trPr>
        <w:tc>
          <w:tcPr>
            <w:tcW w:w="1420" w:type="dxa"/>
            <w:vAlign w:val="bottom"/>
          </w:tcPr>
          <w:p>
            <w:pPr>
              <w:ind w:left="20"/>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99.1</w:t>
              </w:r>
            </w:hyperlink>
          </w:p>
        </w:tc>
        <w:tc>
          <w:tcPr>
            <w:tcW w:w="9140" w:type="dxa"/>
            <w:vAlign w:val="bottom"/>
          </w:tcPr>
          <w:p>
            <w:pPr>
              <w:ind w:left="320"/>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Press Release, of Priority Technology Holdings, Inc. dated December 8, 2025</w:t>
              </w:r>
            </w:hyperlink>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9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December 8, 2025</w:t>
      </w:r>
    </w:p>
    <w:p>
      <w:pPr>
        <w:spacing w:after="0" w:line="2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PRIORITY TECHNOLOGY HOLDINGS, INC.</w:t>
      </w:r>
    </w:p>
    <w:p>
      <w:pPr>
        <w:spacing w:after="0" w:line="2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u w:val="single" w:color="auto"/>
          <w:color w:val="auto"/>
        </w:rPr>
        <w:t>By: /s/ Timothy O'Leary</w:t>
      </w:r>
    </w:p>
    <w:p>
      <w:pPr>
        <w:spacing w:after="0" w:line="2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Name: Timothy O'Leary</w:t>
      </w:r>
    </w:p>
    <w:p>
      <w:pPr>
        <w:spacing w:after="0" w:line="2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Title: Chief Financial Officer</w:t>
      </w:r>
    </w:p>
    <w:p>
      <w:pPr>
        <w:sectPr>
          <w:pgSz w:w="11900" w:h="16840" w:orient="portrait"/>
          <w:cols w:equalWidth="0" w:num="1">
            <w:col w:w="10560"/>
          </w:cols>
          <w:pgMar w:left="660" w:top="1239" w:right="680"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9"/>
          <w:szCs w:val="19"/>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line="272" w:lineRule="auto"/>
        <w:rPr>
          <w:sz w:val="20"/>
          <w:szCs w:val="20"/>
          <w:color w:val="auto"/>
        </w:rPr>
      </w:pPr>
      <w:r>
        <w:rPr>
          <w:rFonts w:ascii="Times New Roman" w:cs="Times New Roman" w:eastAsia="Times New Roman" w:hAnsi="Times New Roman"/>
          <w:sz w:val="23"/>
          <w:szCs w:val="23"/>
          <w:b w:val="1"/>
          <w:bCs w:val="1"/>
          <w:color w:val="auto"/>
        </w:rPr>
        <w:t>Priority Technology Holdings, Inc. Special Committee Retains Financial Advisor and Independent Legal Counsel</w:t>
      </w:r>
    </w:p>
    <w:p>
      <w:pPr>
        <w:spacing w:after="0" w:line="17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ALPHARETTA, Ga.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December 8, 2025 </w:t>
      </w:r>
      <w:r>
        <w:rPr>
          <w:rFonts w:ascii="Times New Roman" w:cs="Times New Roman" w:eastAsia="Times New Roman" w:hAnsi="Times New Roman"/>
          <w:sz w:val="19"/>
          <w:szCs w:val="19"/>
          <w:color w:val="auto"/>
        </w:rPr>
        <w:t>– Priority Technology Holdings, Inc. (the “Company” or “Priority”) (NASDAQ: PRTH)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announced that a committee of independent and disinterested directors of the Company’s Board of Directors (the “Special Committee”) has retained Barclays to act as its financial advisor and Paul, Weiss, Rifkind, Wharton &amp; Garrison LLP to act as its independent legal counsel in connection with the Special Committee’s evaluation of the preliminary, non-binding proposal, dated November 9, 2025, by Thomas Priore, the Company’s Chairman and Executive Officer.</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As previously announced, following receipt of the preliminary, non-binding take-private proposal made by an investor group led by Thomas Priore, Priority formed the Special Committee to consider the offer and other strategic alternatives. The Special Committee has not set a definitive timetable for completion of its evaluation of the offer or any other alternative.</w:t>
      </w:r>
    </w:p>
    <w:p>
      <w:pPr>
        <w:spacing w:after="0" w:line="1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9"/>
          <w:szCs w:val="19"/>
          <w:color w:val="auto"/>
        </w:rPr>
        <w:t>There can be no assurance that any definitive offer will be made, that any agreement will be executed or that this or any other transaction will be approved or consummated. Priority does not intend to comment on or disclose further developments with respect to this matter unless and until further disclosure is appropriate or required.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Priority</w:t>
      </w:r>
    </w:p>
    <w:p>
      <w:pPr>
        <w:spacing w:after="0" w:line="2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Priority is the payments and banking solution that enables businesses to collect, store, lend and send funds through a unified commerce engine. Our platform combines payables, merchant solutions, and treasury solutions so leaders can streamline financial operations efficiently — and our innovative industry experts help businesses navigate and build momentum on the path to growth. With the Priority Commerce Engine, leaders can accelerate cash flow, optimize working capital, reduce unnecessary costs, and unlock new revenue opportunities. To learn more about Priority (NASDAQ: PRTH), visit prioritycommerce.com.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 Looking Statements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Private Securities Litigation Reform Act of 1995. Forward-looking statements may be identified by the use of words such as “anticipate,” “believe,” “expect,” “intend,” “plan” and “will” or, in each case, their negative, or other variations or comparable terminology. By their nature, forward-looking statements involve risks and uncertainties because they relate to events and depend on circumstances that may or may not occur in the future, including statements regarding the potential acquisition of the Company and the Company’s evaluation of the Proposal. Forward-looking statements are subject to risks and uncertainties that could cause actual results to differ materially from those expressed or implied by such statements, including, among others, the possibility that no agreement will be reached or that any transaction will not be completed. We</w:t>
      </w:r>
    </w:p>
    <w:p>
      <w:pPr>
        <w:sectPr>
          <w:pgSz w:w="11900" w:h="16840" w:orient="portrait"/>
          <w:cols w:equalWidth="0" w:num="1">
            <w:col w:w="10580"/>
          </w:cols>
          <w:pgMar w:left="660" w:top="556" w:right="660" w:bottom="1440" w:gutter="0" w:footer="0" w:header="0"/>
        </w:sectPr>
      </w:pPr>
    </w:p>
    <w:bookmarkStart w:id="4" w:name="page5"/>
    <w:bookmarkEnd w:id="4"/>
    <w:p>
      <w:pPr>
        <w:ind w:left="9420"/>
        <w:spacing w:after="0"/>
        <w:rPr>
          <w:sz w:val="20"/>
          <w:szCs w:val="20"/>
          <w:color w:val="auto"/>
        </w:rPr>
      </w:pPr>
      <w:r>
        <w:rPr>
          <w:rFonts w:ascii="Times New Roman" w:cs="Times New Roman" w:eastAsia="Times New Roman" w:hAnsi="Times New Roman"/>
          <w:sz w:val="19"/>
          <w:szCs w:val="19"/>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color w:val="auto"/>
        </w:rPr>
        <w:t xml:space="preserve">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6, 2025. These filings are available online at www.sec.gov or </w:t>
      </w:r>
      <w:r>
        <w:rPr>
          <w:rFonts w:ascii="Times New Roman" w:cs="Times New Roman" w:eastAsia="Times New Roman" w:hAnsi="Times New Roman"/>
          <w:sz w:val="19"/>
          <w:szCs w:val="19"/>
          <w:u w:val="single" w:color="auto"/>
          <w:color w:val="0000FF"/>
        </w:rPr>
        <w:t>www.prioritycommerce.com</w:t>
      </w:r>
      <w:r>
        <w:rPr>
          <w:rFonts w:ascii="Times New Roman" w:cs="Times New Roman" w:eastAsia="Times New Roman" w:hAnsi="Times New Roman"/>
          <w:sz w:val="19"/>
          <w:szCs w:val="19"/>
          <w:color w:val="auto"/>
        </w:rPr>
        <w:t>. Readers are cautioned not to place undue reliance on these forward-looking statements, which speak only as of the date hereof. The Company undertakes no obligation to update any forward-looking statements, except as required by applicable law. We qualify all of our forward-looking statements by these cautionary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CONTACT: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Special Committee: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Paul Caminiti / Delia Cannan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Reevemark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(212) 433-4600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PRTH-Special-Cmte@reevemark.com</w:t>
      </w:r>
    </w:p>
    <w:p>
      <w:pPr>
        <w:sectPr>
          <w:pgSz w:w="11900" w:h="16840" w:orient="portrait"/>
          <w:cols w:equalWidth="0" w:num="1">
            <w:col w:w="10580"/>
          </w:cols>
          <w:pgMar w:left="660" w:top="556" w:right="660" w:bottom="1440" w:gutter="0" w:footer="0" w:header="0"/>
        </w:sectPr>
      </w:pPr>
    </w:p>
    <w:bookmarkStart w:id="5" w:name="page6"/>
    <w:bookmarkEnd w:id="5"/>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2025-12-08T09:04:06Z</dcterms:created>
  <dcterms:modified xsi:type="dcterms:W3CDTF">2025-12-08T09:04:06Z</dcterms:modified>
</cp:coreProperties>
</file>