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June 24, 2019</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gridSpan w:val="3"/>
          </w:tcPr>
          <w:p>
            <w:pPr>
              <w:jc w:val="right"/>
              <w:ind w:right="1380"/>
              <w:spacing w:after="0"/>
              <w:rPr>
                <w:sz w:val="20"/>
                <w:szCs w:val="20"/>
                <w:color w:val="auto"/>
              </w:rPr>
            </w:pPr>
            <w:r>
              <w:rPr>
                <w:rFonts w:ascii="Arial" w:cs="Arial" w:eastAsia="Arial" w:hAnsi="Arial"/>
                <w:sz w:val="18"/>
                <w:szCs w:val="18"/>
                <w:b w:val="1"/>
                <w:bCs w:val="1"/>
                <w:color w:val="auto"/>
              </w:rPr>
              <w:t>001-37872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20" w:type="dxa"/>
            <w:vAlign w:val="bottom"/>
          </w:tcPr>
          <w:p>
            <w:pPr>
              <w:jc w:val="right"/>
              <w:ind w:right="13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56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(State or other jurisdiction of incorporation)</w:t>
            </w:r>
          </w:p>
        </w:tc>
        <w:tc>
          <w:tcPr>
            <w:tcW w:w="3620" w:type="dxa"/>
            <w:vAlign w:val="bottom"/>
            <w:gridSpan w:val="5"/>
          </w:tcPr>
          <w:p>
            <w:pPr>
              <w:jc w:val="center"/>
              <w:ind w:right="1200"/>
              <w:spacing w:after="0"/>
              <w:rPr>
                <w:sz w:val="20"/>
                <w:szCs w:val="20"/>
                <w:color w:val="auto"/>
              </w:rPr>
            </w:pPr>
            <w:r>
              <w:rPr>
                <w:rFonts w:ascii="Arial" w:cs="Arial" w:eastAsia="Arial" w:hAnsi="Arial"/>
                <w:sz w:val="18"/>
                <w:szCs w:val="18"/>
                <w:color w:val="auto"/>
                <w:w w:val="92"/>
              </w:rPr>
              <w:t>(Commission File Number)</w:t>
            </w:r>
          </w:p>
        </w:tc>
        <w:tc>
          <w:tcPr>
            <w:tcW w:w="3220" w:type="dxa"/>
            <w:vAlign w:val="bottom"/>
          </w:tcPr>
          <w:p>
            <w:pPr>
              <w:ind w:left="2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20"/>
                <w:szCs w:val="20"/>
                <w:color w:val="auto"/>
              </w:rPr>
            </w:pPr>
          </w:p>
        </w:tc>
      </w:tr>
      <w:tr>
        <w:trPr>
          <w:trHeight w:val="603"/>
        </w:trPr>
        <w:tc>
          <w:tcPr>
            <w:tcW w:w="456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0"/>
              </w:rPr>
              <w:t>2001 Westside Parkway</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5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Suite 155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5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5"/>
              </w:rPr>
              <w:t>Alpharetta, GA</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20" w:type="dxa"/>
            <w:vAlign w:val="bottom"/>
          </w:tcPr>
          <w:p>
            <w:pPr>
              <w:jc w:val="right"/>
              <w:ind w:right="247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0"/>
                <w:szCs w:val="20"/>
                <w:color w:val="auto"/>
              </w:rPr>
            </w:pPr>
          </w:p>
        </w:tc>
      </w:tr>
      <w:tr>
        <w:trPr>
          <w:trHeight w:val="27"/>
        </w:trPr>
        <w:tc>
          <w:tcPr>
            <w:tcW w:w="45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560" w:type="dxa"/>
            <w:vAlign w:val="bottom"/>
            <w:gridSpan w:val="3"/>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20"/>
                <w:szCs w:val="20"/>
                <w:color w:val="auto"/>
              </w:rPr>
            </w:pPr>
          </w:p>
        </w:tc>
      </w:tr>
      <w:tr>
        <w:trPr>
          <w:trHeight w:val="243"/>
        </w:trPr>
        <w:tc>
          <w:tcPr>
            <w:tcW w:w="8180" w:type="dxa"/>
            <w:vAlign w:val="bottom"/>
            <w:gridSpan w:val="8"/>
          </w:tcPr>
          <w:p>
            <w:pPr>
              <w:jc w:val="center"/>
              <w:ind w:left="31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(800) 935-5961</w:t>
            </w: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8"/>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gridSpan w:val="5"/>
          </w:tcPr>
          <w:p>
            <w:pPr>
              <w:jc w:val="center"/>
              <w:ind w:right="1320"/>
              <w:spacing w:after="0"/>
              <w:rPr>
                <w:sz w:val="20"/>
                <w:szCs w:val="20"/>
                <w:color w:val="auto"/>
              </w:rPr>
            </w:pPr>
            <w:r>
              <w:rPr>
                <w:rFonts w:ascii="Arial" w:cs="Arial" w:eastAsia="Arial" w:hAnsi="Arial"/>
                <w:sz w:val="18"/>
                <w:szCs w:val="18"/>
                <w:b w:val="1"/>
                <w:bCs w:val="1"/>
                <w:color w:val="auto"/>
                <w:w w:val="96"/>
              </w:rPr>
              <w:t>N/A</w:t>
            </w: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180" w:type="dxa"/>
            <w:vAlign w:val="bottom"/>
            <w:gridSpan w:val="8"/>
          </w:tcPr>
          <w:p>
            <w:pPr>
              <w:jc w:val="center"/>
              <w:ind w:left="311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4"/>
          <w:szCs w:val="24"/>
          <w:color w:val="auto"/>
        </w:rPr>
      </w:pPr>
    </w:p>
    <w:p>
      <w:pPr>
        <w:ind w:left="340" w:right="14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660" w:firstLine="8"/>
        <w:spacing w:after="0" w:line="462"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3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Borders>
              <w:top w:val="single" w:sz="8" w:color="auto"/>
              <w:right w:val="single" w:sz="8" w:color="auto"/>
            </w:tcBorders>
          </w:tcPr>
          <w:p>
            <w:pPr>
              <w:spacing w:after="0"/>
              <w:rPr>
                <w:sz w:val="20"/>
                <w:szCs w:val="20"/>
                <w:color w:val="auto"/>
              </w:rPr>
            </w:pP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20" w:type="dxa"/>
            <w:vAlign w:val="bottom"/>
            <w:tcBorders>
              <w:top w:val="single" w:sz="8" w:color="auto"/>
              <w:right w:val="single" w:sz="8" w:color="auto"/>
            </w:tcBorders>
          </w:tcPr>
          <w:p>
            <w:pPr>
              <w:spacing w:after="0"/>
              <w:rPr>
                <w:sz w:val="20"/>
                <w:szCs w:val="20"/>
                <w:color w:val="auto"/>
              </w:rPr>
            </w:pPr>
          </w:p>
        </w:tc>
        <w:tc>
          <w:tcPr>
            <w:tcW w:w="5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r>
      <w:tr>
        <w:trPr>
          <w:trHeight w:val="237"/>
        </w:trPr>
        <w:tc>
          <w:tcPr>
            <w:tcW w:w="3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2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PRTH</w:t>
            </w:r>
          </w:p>
        </w:tc>
        <w:tc>
          <w:tcPr>
            <w:tcW w:w="120" w:type="dxa"/>
            <w:vAlign w:val="bottom"/>
            <w:tcBorders>
              <w:right w:val="single" w:sz="8" w:color="auto"/>
            </w:tcBorders>
          </w:tcPr>
          <w:p>
            <w:pPr>
              <w:spacing w:after="0"/>
              <w:rPr>
                <w:sz w:val="20"/>
                <w:szCs w:val="20"/>
                <w:color w:val="auto"/>
              </w:rPr>
            </w:pPr>
          </w:p>
        </w:tc>
        <w:tc>
          <w:tcPr>
            <w:tcW w:w="5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54"/>
        </w:trPr>
        <w:tc>
          <w:tcPr>
            <w:tcW w:w="35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r>
    </w:tbl>
    <w:p>
      <w:pPr>
        <w:spacing w:after="0" w:line="323" w:lineRule="exact"/>
        <w:rPr>
          <w:sz w:val="24"/>
          <w:szCs w:val="24"/>
          <w:color w:val="auto"/>
        </w:rPr>
      </w:pPr>
    </w:p>
    <w:p>
      <w:pPr>
        <w:jc w:val="both"/>
        <w:ind w:right="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40"/>
          </w:cols>
          <w:pgMar w:left="240" w:top="729"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24, 2019, Priority Technology Holdings, Inc. (the “Company”) held its 2019 annual meeting of stockholders (the “Annual Meeting”). A total of 61,711,046 shares, or approximately 92.05%, of the Company’s outstanding shares of common stock as of the record date for the Annual Meeting, were represented in person or by proxy at the Annual Meeting, constituting a quorum. At the Annual Meeting, the stockholders of the Company voted on the following two proposals: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Proposal 1 - Election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 Company’s stockholders elected each of the persons listed below to serve as director until the next annual meeting in 2020, or until his earlier resignation, death, or removal. The votes were cast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Name of Nominee</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For</w:t>
            </w:r>
          </w:p>
        </w:tc>
        <w:tc>
          <w:tcPr>
            <w:tcW w:w="2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Against</w:t>
            </w:r>
          </w:p>
        </w:tc>
        <w:tc>
          <w:tcPr>
            <w:tcW w:w="2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Abstain</w:t>
            </w:r>
          </w:p>
        </w:tc>
        <w:tc>
          <w:tcPr>
            <w:tcW w:w="24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0"/>
              </w:rPr>
              <w:t>Broker Non-Votes</w:t>
            </w:r>
          </w:p>
        </w:tc>
      </w:tr>
      <w:tr>
        <w:trPr>
          <w:trHeight w:val="135"/>
        </w:trPr>
        <w:tc>
          <w:tcPr>
            <w:tcW w:w="2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277"/>
        </w:trPr>
        <w:tc>
          <w:tcPr>
            <w:tcW w:w="2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Thomas Priore</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61,165,662</w:t>
            </w:r>
          </w:p>
        </w:tc>
        <w:tc>
          <w:tcPr>
            <w:tcW w:w="2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545,384</w:t>
            </w:r>
          </w:p>
        </w:tc>
        <w:tc>
          <w:tcPr>
            <w:tcW w:w="21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0</w:t>
            </w:r>
          </w:p>
        </w:tc>
        <w:tc>
          <w:tcPr>
            <w:tcW w:w="24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0</w:t>
            </w:r>
          </w:p>
        </w:tc>
      </w:tr>
      <w:tr>
        <w:trPr>
          <w:trHeight w:val="243"/>
        </w:trPr>
        <w:tc>
          <w:tcPr>
            <w:tcW w:w="2260" w:type="dxa"/>
            <w:vAlign w:val="bottom"/>
          </w:tcPr>
          <w:p>
            <w:pPr>
              <w:ind w:left="60"/>
              <w:spacing w:after="0"/>
              <w:rPr>
                <w:sz w:val="20"/>
                <w:szCs w:val="20"/>
                <w:color w:val="auto"/>
              </w:rPr>
            </w:pPr>
            <w:r>
              <w:rPr>
                <w:rFonts w:ascii="Arial" w:cs="Arial" w:eastAsia="Arial" w:hAnsi="Arial"/>
                <w:sz w:val="18"/>
                <w:szCs w:val="18"/>
                <w:color w:val="auto"/>
              </w:rPr>
              <w:t>John Priore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61,162,059</w:t>
            </w:r>
          </w:p>
        </w:tc>
        <w:tc>
          <w:tcPr>
            <w:tcW w:w="2220" w:type="dxa"/>
            <w:vAlign w:val="bottom"/>
          </w:tcPr>
          <w:p>
            <w:pPr>
              <w:ind w:left="800"/>
              <w:spacing w:after="0"/>
              <w:rPr>
                <w:sz w:val="20"/>
                <w:szCs w:val="20"/>
                <w:color w:val="auto"/>
              </w:rPr>
            </w:pPr>
            <w:r>
              <w:rPr>
                <w:rFonts w:ascii="Arial" w:cs="Arial" w:eastAsia="Arial" w:hAnsi="Arial"/>
                <w:sz w:val="18"/>
                <w:szCs w:val="18"/>
                <w:color w:val="auto"/>
              </w:rPr>
              <w:t>548,987</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r>
      <w:tr>
        <w:trPr>
          <w:trHeight w:val="54"/>
        </w:trPr>
        <w:tc>
          <w:tcPr>
            <w:tcW w:w="22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77"/>
        </w:trPr>
        <w:tc>
          <w:tcPr>
            <w:tcW w:w="2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William Gahan</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61,168,988</w:t>
            </w:r>
          </w:p>
        </w:tc>
        <w:tc>
          <w:tcPr>
            <w:tcW w:w="2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540,558</w:t>
            </w:r>
          </w:p>
        </w:tc>
        <w:tc>
          <w:tcPr>
            <w:tcW w:w="21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3"/>
              </w:rPr>
              <w:t>1,500</w:t>
            </w:r>
          </w:p>
        </w:tc>
        <w:tc>
          <w:tcPr>
            <w:tcW w:w="24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0</w:t>
            </w:r>
          </w:p>
        </w:tc>
      </w:tr>
      <w:tr>
        <w:trPr>
          <w:trHeight w:val="243"/>
        </w:trPr>
        <w:tc>
          <w:tcPr>
            <w:tcW w:w="2260" w:type="dxa"/>
            <w:vAlign w:val="bottom"/>
          </w:tcPr>
          <w:p>
            <w:pPr>
              <w:ind w:left="60"/>
              <w:spacing w:after="0"/>
              <w:rPr>
                <w:sz w:val="20"/>
                <w:szCs w:val="20"/>
                <w:color w:val="auto"/>
              </w:rPr>
            </w:pPr>
            <w:r>
              <w:rPr>
                <w:rFonts w:ascii="Arial" w:cs="Arial" w:eastAsia="Arial" w:hAnsi="Arial"/>
                <w:sz w:val="18"/>
                <w:szCs w:val="18"/>
                <w:color w:val="auto"/>
              </w:rPr>
              <w:t>Matthew Kearney</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61,168,988</w:t>
            </w:r>
          </w:p>
        </w:tc>
        <w:tc>
          <w:tcPr>
            <w:tcW w:w="2220" w:type="dxa"/>
            <w:vAlign w:val="bottom"/>
          </w:tcPr>
          <w:p>
            <w:pPr>
              <w:ind w:left="800"/>
              <w:spacing w:after="0"/>
              <w:rPr>
                <w:sz w:val="20"/>
                <w:szCs w:val="20"/>
                <w:color w:val="auto"/>
              </w:rPr>
            </w:pPr>
            <w:r>
              <w:rPr>
                <w:rFonts w:ascii="Arial" w:cs="Arial" w:eastAsia="Arial" w:hAnsi="Arial"/>
                <w:sz w:val="18"/>
                <w:szCs w:val="18"/>
                <w:color w:val="auto"/>
              </w:rPr>
              <w:t>540,558</w:t>
            </w:r>
          </w:p>
        </w:tc>
        <w:tc>
          <w:tcPr>
            <w:tcW w:w="2100" w:type="dxa"/>
            <w:vAlign w:val="bottom"/>
          </w:tcPr>
          <w:p>
            <w:pPr>
              <w:jc w:val="center"/>
              <w:ind w:left="110"/>
              <w:spacing w:after="0"/>
              <w:rPr>
                <w:sz w:val="20"/>
                <w:szCs w:val="20"/>
                <w:color w:val="auto"/>
              </w:rPr>
            </w:pPr>
            <w:r>
              <w:rPr>
                <w:rFonts w:ascii="Arial" w:cs="Arial" w:eastAsia="Arial" w:hAnsi="Arial"/>
                <w:sz w:val="18"/>
                <w:szCs w:val="18"/>
                <w:color w:val="auto"/>
                <w:w w:val="93"/>
              </w:rPr>
              <w:t>1,500</w:t>
            </w:r>
          </w:p>
        </w:tc>
        <w:tc>
          <w:tcPr>
            <w:tcW w:w="246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r>
      <w:tr>
        <w:trPr>
          <w:trHeight w:val="54"/>
        </w:trPr>
        <w:tc>
          <w:tcPr>
            <w:tcW w:w="22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43"/>
        </w:trPr>
        <w:tc>
          <w:tcPr>
            <w:tcW w:w="2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Michael K. Passilla</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61,387,086</w:t>
            </w:r>
          </w:p>
        </w:tc>
        <w:tc>
          <w:tcPr>
            <w:tcW w:w="2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322,460</w:t>
            </w:r>
          </w:p>
        </w:tc>
        <w:tc>
          <w:tcPr>
            <w:tcW w:w="21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1,500</w:t>
            </w:r>
          </w:p>
        </w:tc>
        <w:tc>
          <w:tcPr>
            <w:tcW w:w="24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0</w:t>
            </w:r>
          </w:p>
        </w:tc>
      </w:tr>
      <w:tr>
        <w:trPr>
          <w:trHeight w:val="54"/>
        </w:trPr>
        <w:tc>
          <w:tcPr>
            <w:tcW w:w="2260" w:type="dxa"/>
            <w:vAlign w:val="bottom"/>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222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24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Proposal 2 - Ratification of the appointment of RSM US LLP as the Company’s independent registered public accounting firm for the year ending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stockholders ratified the appointment of RSM US LLP as the Company’s independent registered public accounting firm for the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votes were cast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6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0"/>
              </w:rPr>
              <w:t>Abstain</w:t>
            </w:r>
          </w:p>
        </w:tc>
        <w:tc>
          <w:tcPr>
            <w:tcW w:w="30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0"/>
              </w:rPr>
              <w:t>Broker Non-Votes</w:t>
            </w:r>
          </w:p>
        </w:tc>
      </w:tr>
      <w:tr>
        <w:trPr>
          <w:trHeight w:val="135"/>
        </w:trPr>
        <w:tc>
          <w:tcPr>
            <w:tcW w:w="29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040" w:type="dxa"/>
            <w:vAlign w:val="bottom"/>
          </w:tcPr>
          <w:p>
            <w:pPr>
              <w:spacing w:after="0"/>
              <w:rPr>
                <w:sz w:val="11"/>
                <w:szCs w:val="11"/>
                <w:color w:val="auto"/>
              </w:rPr>
            </w:pPr>
          </w:p>
        </w:tc>
      </w:tr>
      <w:tr>
        <w:trPr>
          <w:trHeight w:val="243"/>
        </w:trPr>
        <w:tc>
          <w:tcPr>
            <w:tcW w:w="29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61,691,632</w:t>
            </w:r>
          </w:p>
        </w:tc>
        <w:tc>
          <w:tcPr>
            <w:tcW w:w="28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17,800</w:t>
            </w:r>
          </w:p>
        </w:tc>
        <w:tc>
          <w:tcPr>
            <w:tcW w:w="26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1,614</w:t>
            </w:r>
          </w:p>
        </w:tc>
        <w:tc>
          <w:tcPr>
            <w:tcW w:w="304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w:t>
            </w:r>
          </w:p>
        </w:tc>
      </w:tr>
      <w:tr>
        <w:trPr>
          <w:trHeight w:val="54"/>
        </w:trPr>
        <w:tc>
          <w:tcPr>
            <w:tcW w:w="2940" w:type="dxa"/>
            <w:vAlign w:val="bottom"/>
            <w:shd w:val="clear" w:color="auto" w:fill="CCEEFF"/>
          </w:tcPr>
          <w:p>
            <w:pPr>
              <w:spacing w:after="0"/>
              <w:rPr>
                <w:sz w:val="4"/>
                <w:szCs w:val="4"/>
                <w:color w:val="auto"/>
              </w:rPr>
            </w:pPr>
          </w:p>
        </w:tc>
        <w:tc>
          <w:tcPr>
            <w:tcW w:w="2800" w:type="dxa"/>
            <w:vAlign w:val="bottom"/>
            <w:shd w:val="clear" w:color="auto" w:fill="CCEEFF"/>
          </w:tcPr>
          <w:p>
            <w:pPr>
              <w:spacing w:after="0"/>
              <w:rPr>
                <w:sz w:val="4"/>
                <w:szCs w:val="4"/>
                <w:color w:val="auto"/>
              </w:rPr>
            </w:pPr>
          </w:p>
        </w:tc>
        <w:tc>
          <w:tcPr>
            <w:tcW w:w="2640" w:type="dxa"/>
            <w:vAlign w:val="bottom"/>
            <w:shd w:val="clear" w:color="auto" w:fill="CCEEFF"/>
          </w:tcPr>
          <w:p>
            <w:pPr>
              <w:spacing w:after="0"/>
              <w:rPr>
                <w:sz w:val="4"/>
                <w:szCs w:val="4"/>
                <w:color w:val="auto"/>
              </w:rPr>
            </w:pPr>
          </w:p>
        </w:tc>
        <w:tc>
          <w:tcPr>
            <w:tcW w:w="3040" w:type="dxa"/>
            <w:vAlign w:val="bottom"/>
            <w:shd w:val="clear" w:color="auto" w:fill="CCEEFF"/>
          </w:tcPr>
          <w:p>
            <w:pPr>
              <w:spacing w:after="0"/>
              <w:rPr>
                <w:sz w:val="4"/>
                <w:szCs w:val="4"/>
                <w:color w:val="auto"/>
              </w:rPr>
            </w:pPr>
          </w:p>
        </w:tc>
      </w:tr>
    </w:tbl>
    <w:p>
      <w:pPr>
        <w:sectPr>
          <w:pgSz w:w="11900" w:h="16838" w:orient="portrait"/>
          <w:cols w:equalWidth="0" w:num="1">
            <w:col w:w="11420"/>
          </w:cols>
          <w:pgMar w:left="240" w:top="8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26, 2019</w:t>
      </w:r>
    </w:p>
    <w:p>
      <w:pPr>
        <w:spacing w:after="0" w:line="36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PRIORITY TECHNOLOGY HOLDINGS, INC.</w:t>
      </w:r>
    </w:p>
    <w:p>
      <w:pPr>
        <w:spacing w:after="0" w:line="36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Michael Vollkommer</w:t>
      </w:r>
    </w:p>
    <w:p>
      <w:pPr>
        <w:spacing w:after="0" w:line="6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2019-12-01T11:19:21Z</dcterms:created>
  <dcterms:modified xsi:type="dcterms:W3CDTF">2019-12-01T11:19:21Z</dcterms:modified>
</cp:coreProperties>
</file>